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1"/>
        <w:tabs>
          <w:tab w:val="left" w:pos="567"/>
          <w:tab w:val="right" w:pos="10065"/>
        </w:tabs>
        <w:rPr>
          <w:rFonts w:ascii="Arial" w:hAnsi="Arial" w:cs="Arial"/>
          <w:b/>
          <w:sz w:val="24"/>
          <w:szCs w:val="24"/>
          <w:lang w:eastAsia="ja-JP"/>
        </w:rPr>
      </w:pPr>
      <w:r>
        <w:rPr>
          <w:rFonts w:ascii="Arial" w:hAnsi="Arial" w:cs="Arial"/>
          <w:b/>
          <w:sz w:val="24"/>
          <w:szCs w:val="24"/>
        </w:rPr>
        <w:t>3GPP TSG RAN meeting #102</w:t>
      </w:r>
      <w:r>
        <w:rPr>
          <w:rFonts w:ascii="Arial" w:hAnsi="Arial" w:cs="Arial"/>
          <w:b/>
          <w:sz w:val="24"/>
          <w:szCs w:val="24"/>
        </w:rPr>
        <w:tab/>
      </w:r>
      <w:r>
        <w:rPr>
          <w:rFonts w:ascii="Arial" w:hAnsi="Arial" w:cs="Arial"/>
          <w:b/>
          <w:i/>
          <w:iCs/>
          <w:sz w:val="24"/>
          <w:szCs w:val="24"/>
        </w:rPr>
        <w:t xml:space="preserve"> </w:t>
      </w:r>
      <w:r>
        <w:rPr>
          <w:rFonts w:ascii="Arial" w:hAnsi="Arial" w:cs="Arial"/>
          <w:b/>
          <w:sz w:val="24"/>
          <w:szCs w:val="24"/>
        </w:rPr>
        <w:t>RP-23xxxx</w:t>
      </w:r>
    </w:p>
    <w:p>
      <w:pPr>
        <w:tabs>
          <w:tab w:val="left" w:pos="567"/>
        </w:tabs>
        <w:rPr>
          <w:rFonts w:ascii="Arial" w:hAnsi="Arial" w:cs="Arial"/>
          <w:b/>
          <w:sz w:val="24"/>
        </w:rPr>
      </w:pPr>
      <w:r>
        <w:rPr>
          <w:rFonts w:ascii="Arial" w:hAnsi="Arial" w:cs="Arial"/>
          <w:b/>
          <w:sz w:val="24"/>
        </w:rPr>
        <w:t>Edinburg, GB, December 11-15, 2023</w:t>
      </w:r>
    </w:p>
    <w:p>
      <w:pPr>
        <w:pStyle w:val="3"/>
        <w:jc w:val="center"/>
        <w:rPr>
          <w:u w:val="single"/>
        </w:rPr>
      </w:pPr>
      <w:r>
        <w:rPr>
          <w:u w:val="single"/>
        </w:rPr>
        <w:t>Status Report to TSG</w:t>
      </w:r>
    </w:p>
    <w:p>
      <w:pPr>
        <w:tabs>
          <w:tab w:val="left" w:pos="567"/>
        </w:tabs>
        <w:rPr>
          <w:rFonts w:ascii="Arial" w:hAnsi="Arial" w:cs="Arial"/>
        </w:rPr>
      </w:pPr>
      <w:r>
        <w:rPr>
          <w:rFonts w:ascii="Arial" w:hAnsi="Arial" w:cs="Arial"/>
          <w:b/>
        </w:rPr>
        <w:t>Agenda item:</w:t>
      </w:r>
      <w:r>
        <w:rPr>
          <w:rFonts w:ascii="Arial" w:hAnsi="Arial" w:cs="Arial"/>
        </w:rPr>
        <w:t xml:space="preserve"> 10.2.1 IoT (Internet of Things) NTN (non-terrestrial network) enhancements</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1846"/>
        <w:gridCol w:w="1842"/>
        <w:gridCol w:w="2268"/>
        <w:gridCol w:w="41"/>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
              </w:rPr>
            </w:pPr>
            <w:r>
              <w:rPr>
                <w:rFonts w:ascii="Arial" w:hAnsi="Arial" w:cs="Arial"/>
                <w:b/>
              </w:rPr>
              <w:t>WI / SI Name</w:t>
            </w:r>
          </w:p>
        </w:tc>
        <w:tc>
          <w:tcPr>
            <w:tcW w:w="7650" w:type="dxa"/>
            <w:gridSpan w:val="5"/>
          </w:tcPr>
          <w:p>
            <w:pPr>
              <w:tabs>
                <w:tab w:val="left" w:pos="567"/>
              </w:tabs>
              <w:spacing w:after="0"/>
              <w:rPr>
                <w:rFonts w:ascii="Arial" w:hAnsi="Arial" w:cs="Arial"/>
                <w:highlight w:val="yellow"/>
              </w:rPr>
            </w:pPr>
            <w:r>
              <w:rPr>
                <w:rFonts w:ascii="Arial" w:hAnsi="Arial" w:cs="Arial"/>
              </w:rPr>
              <w:t>IoT (Internet of Things) NTN (non-terrestrial network)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shd w:val="clear" w:color="auto" w:fill="auto"/>
          </w:tcPr>
          <w:p>
            <w:pPr>
              <w:tabs>
                <w:tab w:val="left" w:pos="567"/>
              </w:tabs>
              <w:spacing w:after="0"/>
              <w:rPr>
                <w:rFonts w:ascii="Arial" w:hAnsi="Arial" w:cs="Arial"/>
                <w:bCs/>
              </w:rPr>
            </w:pPr>
            <w:r>
              <w:rPr>
                <w:rFonts w:ascii="Arial" w:hAnsi="Arial" w:cs="Arial"/>
                <w:bCs/>
              </w:rPr>
              <w:t>included in this status report</w:t>
            </w:r>
          </w:p>
        </w:tc>
        <w:tc>
          <w:tcPr>
            <w:tcW w:w="1846" w:type="dxa"/>
          </w:tcPr>
          <w:p>
            <w:pPr>
              <w:tabs>
                <w:tab w:val="left" w:pos="567"/>
              </w:tabs>
              <w:spacing w:after="0"/>
              <w:rPr>
                <w:rFonts w:ascii="Arial" w:hAnsi="Arial" w:cs="Arial"/>
                <w:lang w:eastAsia="ja-JP"/>
              </w:rPr>
            </w:pPr>
            <w:r>
              <w:rPr>
                <w:rFonts w:ascii="Arial" w:hAnsi="Arial" w:cs="Arial"/>
              </w:rPr>
              <w:t>Study Item:</w:t>
            </w:r>
            <w:r>
              <w:rPr>
                <w:rFonts w:hint="eastAsia" w:ascii="Arial" w:hAnsi="Arial" w:cs="Arial"/>
                <w:lang w:eastAsia="ja-JP"/>
              </w:rPr>
              <w:t xml:space="preserve"> </w:t>
            </w:r>
          </w:p>
          <w:p>
            <w:pPr>
              <w:tabs>
                <w:tab w:val="left" w:pos="567"/>
              </w:tabs>
              <w:spacing w:after="0"/>
              <w:rPr>
                <w:rFonts w:ascii="Arial" w:hAnsi="Arial" w:cs="Arial"/>
              </w:rPr>
            </w:pPr>
            <w:r>
              <w:rPr>
                <w:rFonts w:ascii="Arial" w:hAnsi="Arial" w:cs="Arial"/>
                <w:lang w:eastAsia="ja-JP"/>
              </w:rPr>
              <w:t>No</w:t>
            </w:r>
          </w:p>
        </w:tc>
        <w:tc>
          <w:tcPr>
            <w:tcW w:w="1842" w:type="dxa"/>
          </w:tcPr>
          <w:p>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pPr>
              <w:tabs>
                <w:tab w:val="left" w:pos="567"/>
              </w:tabs>
              <w:spacing w:after="0"/>
              <w:rPr>
                <w:rFonts w:ascii="Arial" w:hAnsi="Arial" w:cs="Arial"/>
              </w:rPr>
            </w:pPr>
            <w:r>
              <w:rPr>
                <w:rFonts w:ascii="Arial" w:hAnsi="Arial" w:cs="Arial"/>
              </w:rPr>
              <w:t>Performance part:</w:t>
            </w:r>
          </w:p>
          <w:p>
            <w:pPr>
              <w:tabs>
                <w:tab w:val="left" w:pos="567"/>
              </w:tabs>
              <w:spacing w:after="0"/>
              <w:rPr>
                <w:rFonts w:ascii="Arial" w:hAnsi="Arial" w:cs="Arial"/>
                <w:lang w:eastAsia="ja-JP"/>
              </w:rPr>
            </w:pPr>
            <w:r>
              <w:rPr>
                <w:rFonts w:ascii="Arial" w:hAnsi="Arial" w:cs="Arial"/>
                <w:lang w:eastAsia="ja-JP"/>
              </w:rPr>
              <w:t>Yes</w:t>
            </w:r>
          </w:p>
        </w:tc>
        <w:tc>
          <w:tcPr>
            <w:tcW w:w="1653" w:type="dxa"/>
          </w:tcPr>
          <w:p>
            <w:pPr>
              <w:tabs>
                <w:tab w:val="left" w:pos="567"/>
              </w:tabs>
              <w:spacing w:after="0"/>
              <w:rPr>
                <w:rFonts w:ascii="Arial" w:hAnsi="Arial" w:cs="Arial"/>
              </w:rPr>
            </w:pPr>
            <w:r>
              <w:rPr>
                <w:rFonts w:ascii="Arial" w:hAnsi="Arial" w:cs="Arial"/>
              </w:rPr>
              <w:t>Testing part:</w:t>
            </w:r>
          </w:p>
          <w:p>
            <w:pPr>
              <w:tabs>
                <w:tab w:val="left" w:pos="567"/>
              </w:tabs>
              <w:spacing w:after="0"/>
              <w:rPr>
                <w:rFonts w:ascii="Arial" w:hAnsi="Arial" w:cs="Arial"/>
                <w:lang w:eastAsia="ja-JP"/>
              </w:rPr>
            </w:pPr>
            <w:r>
              <w:rPr>
                <w:rFonts w:ascii="Arial" w:hAnsi="Arial" w:cs="Arial"/>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rPr>
            </w:pPr>
            <w:r>
              <w:rPr>
                <w:rFonts w:ascii="Arial" w:hAnsi="Arial" w:cs="Arial"/>
                <w:b/>
              </w:rPr>
              <w:t>Acronym</w:t>
            </w:r>
          </w:p>
        </w:tc>
        <w:tc>
          <w:tcPr>
            <w:tcW w:w="7650" w:type="dxa"/>
            <w:gridSpan w:val="5"/>
          </w:tcPr>
          <w:p>
            <w:pPr>
              <w:tabs>
                <w:tab w:val="left" w:pos="567"/>
              </w:tabs>
              <w:spacing w:after="0"/>
              <w:rPr>
                <w:rFonts w:ascii="Arial" w:hAnsi="Arial" w:cs="Arial"/>
              </w:rPr>
            </w:pPr>
            <w:r>
              <w:rPr>
                <w:rFonts w:ascii="Arial" w:hAnsi="Arial" w:cs="Arial"/>
              </w:rPr>
              <w:t>IoT_NTN_enh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rPr>
            </w:pPr>
            <w:r>
              <w:rPr>
                <w:rFonts w:ascii="Arial" w:hAnsi="Arial" w:cs="Arial"/>
                <w:b/>
              </w:rPr>
              <w:t>Unique ID</w:t>
            </w:r>
          </w:p>
        </w:tc>
        <w:tc>
          <w:tcPr>
            <w:tcW w:w="7650" w:type="dxa"/>
            <w:gridSpan w:val="5"/>
          </w:tcPr>
          <w:p>
            <w:pPr>
              <w:tabs>
                <w:tab w:val="left" w:pos="567"/>
              </w:tabs>
              <w:spacing w:after="0"/>
              <w:rPr>
                <w:rFonts w:ascii="Arial" w:hAnsi="Arial" w:cs="Arial"/>
                <w:lang w:eastAsia="ja-JP"/>
              </w:rPr>
            </w:pPr>
            <w:r>
              <w:rPr>
                <w:rFonts w:ascii="Arial" w:hAnsi="Arial" w:cs="Arial"/>
                <w:lang w:eastAsia="ja-JP"/>
              </w:rPr>
              <w:t>941004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rPr>
            </w:pPr>
            <w:r>
              <w:rPr>
                <w:rFonts w:ascii="Arial" w:hAnsi="Arial" w:cs="Arial"/>
                <w:b/>
              </w:rPr>
              <w:t>TSG Tdoc of latest approved WI/SI description (if any)</w:t>
            </w:r>
          </w:p>
        </w:tc>
        <w:tc>
          <w:tcPr>
            <w:tcW w:w="7650" w:type="dxa"/>
            <w:gridSpan w:val="5"/>
          </w:tcPr>
          <w:p>
            <w:pPr>
              <w:tabs>
                <w:tab w:val="left" w:pos="567"/>
              </w:tabs>
              <w:spacing w:after="0"/>
              <w:rPr>
                <w:rFonts w:ascii="Arial" w:hAnsi="Arial" w:cs="Arial"/>
                <w:lang w:eastAsia="ja-JP"/>
              </w:rPr>
            </w:pPr>
            <w:r>
              <w:rPr>
                <w:rFonts w:ascii="Arial" w:hAnsi="Arial" w:cs="Arial"/>
                <w:lang w:eastAsia="ja-JP"/>
              </w:rPr>
              <w:t>RP-231407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rPr>
            </w:pPr>
            <w:r>
              <w:rPr>
                <w:rFonts w:ascii="Arial" w:hAnsi="Arial" w:cs="Arial"/>
                <w:b/>
              </w:rPr>
              <w:t>Target Completion Date</w:t>
            </w:r>
          </w:p>
          <w:p>
            <w:pPr>
              <w:tabs>
                <w:tab w:val="left" w:pos="567"/>
              </w:tabs>
              <w:spacing w:after="0"/>
              <w:rPr>
                <w:rFonts w:ascii="Arial" w:hAnsi="Arial" w:cs="Arial"/>
                <w:b/>
              </w:rPr>
            </w:pPr>
            <w:r>
              <w:rPr>
                <w:rFonts w:ascii="Arial" w:hAnsi="Arial" w:cs="Arial"/>
                <w:b/>
              </w:rPr>
              <w:t>(indicate if changed)</w:t>
            </w:r>
          </w:p>
        </w:tc>
        <w:tc>
          <w:tcPr>
            <w:tcW w:w="1846" w:type="dxa"/>
          </w:tcPr>
          <w:p>
            <w:pPr>
              <w:tabs>
                <w:tab w:val="left" w:pos="567"/>
              </w:tabs>
              <w:spacing w:after="0"/>
              <w:rPr>
                <w:rFonts w:ascii="Arial" w:hAnsi="Arial" w:cs="Arial"/>
                <w:lang w:eastAsia="ja-JP"/>
              </w:rPr>
            </w:pPr>
            <w:r>
              <w:rPr>
                <w:rFonts w:ascii="Arial" w:hAnsi="Arial" w:cs="Arial"/>
                <w:lang w:eastAsia="ja-JP"/>
              </w:rPr>
              <w:t xml:space="preserve">Study Item: </w:t>
            </w:r>
          </w:p>
          <w:p>
            <w:pPr>
              <w:tabs>
                <w:tab w:val="left" w:pos="567"/>
              </w:tabs>
              <w:spacing w:after="0"/>
              <w:rPr>
                <w:rFonts w:ascii="Arial" w:hAnsi="Arial" w:cs="Arial"/>
                <w:lang w:eastAsia="ja-JP"/>
              </w:rPr>
            </w:pPr>
          </w:p>
        </w:tc>
        <w:tc>
          <w:tcPr>
            <w:tcW w:w="1842" w:type="dxa"/>
          </w:tcPr>
          <w:p>
            <w:pPr>
              <w:tabs>
                <w:tab w:val="left" w:pos="567"/>
              </w:tabs>
              <w:spacing w:after="0"/>
              <w:rPr>
                <w:rFonts w:ascii="Arial" w:hAnsi="Arial" w:cs="Arial"/>
                <w:lang w:eastAsia="ja-JP"/>
              </w:rPr>
            </w:pPr>
            <w:r>
              <w:rPr>
                <w:rFonts w:ascii="Arial" w:hAnsi="Arial" w:cs="Arial"/>
                <w:lang w:eastAsia="ja-JP"/>
              </w:rPr>
              <w:t>Core part:</w:t>
            </w:r>
          </w:p>
          <w:p>
            <w:pPr>
              <w:tabs>
                <w:tab w:val="left" w:pos="567"/>
              </w:tabs>
              <w:spacing w:after="0"/>
              <w:rPr>
                <w:rFonts w:ascii="Arial" w:hAnsi="Arial" w:cs="Arial"/>
                <w:lang w:eastAsia="ja-JP"/>
              </w:rPr>
            </w:pPr>
            <w:r>
              <w:rPr>
                <w:rFonts w:ascii="Arial" w:hAnsi="Arial" w:cs="Arial"/>
                <w:lang w:eastAsia="ja-JP"/>
              </w:rPr>
              <w:t xml:space="preserve">12/2023 </w:t>
            </w:r>
          </w:p>
        </w:tc>
        <w:tc>
          <w:tcPr>
            <w:tcW w:w="2268" w:type="dxa"/>
          </w:tcPr>
          <w:p>
            <w:pPr>
              <w:tabs>
                <w:tab w:val="left" w:pos="567"/>
              </w:tabs>
              <w:spacing w:after="0"/>
              <w:rPr>
                <w:rFonts w:ascii="Arial" w:hAnsi="Arial" w:cs="Arial"/>
                <w:lang w:eastAsia="ja-JP"/>
              </w:rPr>
            </w:pPr>
            <w:r>
              <w:rPr>
                <w:rFonts w:ascii="Arial" w:hAnsi="Arial" w:cs="Arial"/>
                <w:lang w:eastAsia="ja-JP"/>
              </w:rPr>
              <w:t xml:space="preserve">Performance part: </w:t>
            </w:r>
          </w:p>
          <w:p>
            <w:pPr>
              <w:tabs>
                <w:tab w:val="left" w:pos="567"/>
              </w:tabs>
              <w:spacing w:after="0"/>
              <w:rPr>
                <w:rFonts w:ascii="Arial" w:hAnsi="Arial" w:cs="Arial"/>
                <w:lang w:eastAsia="ja-JP"/>
              </w:rPr>
            </w:pPr>
            <w:r>
              <w:rPr>
                <w:rFonts w:ascii="Arial" w:hAnsi="Arial" w:cs="Arial"/>
                <w:lang w:eastAsia="ja-JP"/>
              </w:rPr>
              <w:t>06/2024</w:t>
            </w:r>
          </w:p>
        </w:tc>
        <w:tc>
          <w:tcPr>
            <w:tcW w:w="1694" w:type="dxa"/>
            <w:gridSpan w:val="2"/>
          </w:tcPr>
          <w:p>
            <w:pPr>
              <w:tabs>
                <w:tab w:val="left" w:pos="567"/>
              </w:tabs>
              <w:spacing w:after="0"/>
              <w:rPr>
                <w:rFonts w:ascii="Arial" w:hAnsi="Arial" w:cs="Arial"/>
                <w:highlight w:val="yellow"/>
                <w:lang w:eastAsia="ja-JP"/>
              </w:rPr>
            </w:pPr>
            <w:r>
              <w:rPr>
                <w:rFonts w:ascii="Arial" w:hAnsi="Arial" w:cs="Arial"/>
                <w:lang w:eastAsia="ja-JP"/>
              </w:rPr>
              <w:t>Testing part: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tabs>
                <w:tab w:val="left" w:pos="567"/>
              </w:tabs>
              <w:spacing w:after="0"/>
              <w:rPr>
                <w:rFonts w:ascii="Arial" w:hAnsi="Arial" w:cs="Arial"/>
                <w:b/>
              </w:rPr>
            </w:pPr>
            <w:r>
              <w:rPr>
                <w:rFonts w:ascii="Arial" w:hAnsi="Arial" w:cs="Arial"/>
                <w:b/>
              </w:rPr>
              <w:t>Overall Completion level</w:t>
            </w:r>
          </w:p>
        </w:tc>
        <w:tc>
          <w:tcPr>
            <w:tcW w:w="1846" w:type="dxa"/>
          </w:tcPr>
          <w:p>
            <w:pPr>
              <w:tabs>
                <w:tab w:val="left" w:pos="567"/>
              </w:tabs>
              <w:spacing w:after="0"/>
              <w:rPr>
                <w:rFonts w:ascii="Arial" w:hAnsi="Arial" w:cs="Arial"/>
                <w:color w:val="FF0000"/>
                <w:lang w:eastAsia="ja-JP"/>
              </w:rPr>
            </w:pPr>
            <w:r>
              <w:rPr>
                <w:rFonts w:ascii="Arial" w:hAnsi="Arial" w:cs="Arial"/>
                <w:color w:val="000000" w:themeColor="text1"/>
                <w:lang w:eastAsia="ja-JP"/>
                <w14:textFill>
                  <w14:solidFill>
                    <w14:schemeClr w14:val="tx1"/>
                  </w14:solidFill>
                </w14:textFill>
              </w:rPr>
              <w:t>Study Item:</w:t>
            </w:r>
            <w:r>
              <w:rPr>
                <w:rFonts w:ascii="Arial" w:hAnsi="Arial" w:cs="Arial"/>
                <w:color w:val="FF0000"/>
                <w:lang w:eastAsia="ja-JP"/>
              </w:rPr>
              <w:t xml:space="preserve"> </w:t>
            </w:r>
          </w:p>
          <w:p>
            <w:pPr>
              <w:tabs>
                <w:tab w:val="left" w:pos="567"/>
              </w:tabs>
              <w:spacing w:after="0"/>
              <w:rPr>
                <w:rFonts w:ascii="Arial" w:hAnsi="Arial" w:cs="Arial"/>
                <w:color w:val="00B050"/>
                <w:lang w:eastAsia="ja-JP"/>
              </w:rPr>
            </w:pPr>
          </w:p>
        </w:tc>
        <w:tc>
          <w:tcPr>
            <w:tcW w:w="1842" w:type="dxa"/>
          </w:tcPr>
          <w:p>
            <w:pPr>
              <w:tabs>
                <w:tab w:val="left" w:pos="567"/>
              </w:tabs>
              <w:spacing w:after="0"/>
              <w:rPr>
                <w:rFonts w:ascii="Arial" w:hAnsi="Arial" w:cs="Arial"/>
                <w:lang w:eastAsia="ja-JP"/>
              </w:rPr>
            </w:pPr>
            <w:r>
              <w:rPr>
                <w:rFonts w:ascii="Arial" w:hAnsi="Arial" w:cs="Arial"/>
                <w:lang w:eastAsia="ja-JP"/>
              </w:rPr>
              <w:t xml:space="preserve">Core part: </w:t>
            </w:r>
          </w:p>
          <w:p>
            <w:pPr>
              <w:tabs>
                <w:tab w:val="left" w:pos="567"/>
              </w:tabs>
              <w:spacing w:after="0"/>
              <w:rPr>
                <w:rFonts w:ascii="Arial" w:hAnsi="Arial" w:cs="Arial"/>
                <w:color w:val="00B050"/>
                <w:lang w:eastAsia="ja-JP"/>
              </w:rPr>
            </w:pPr>
            <w:r>
              <w:rPr>
                <w:rFonts w:ascii="Arial" w:hAnsi="Arial" w:cs="Arial"/>
                <w:color w:val="00B050"/>
                <w:lang w:eastAsia="ja-JP"/>
              </w:rPr>
              <w:t>Overall: 100%</w:t>
            </w:r>
          </w:p>
          <w:p>
            <w:pPr>
              <w:tabs>
                <w:tab w:val="left" w:pos="567"/>
              </w:tabs>
              <w:spacing w:after="0"/>
              <w:rPr>
                <w:rFonts w:ascii="Arial" w:hAnsi="Arial" w:cs="Arial"/>
                <w:color w:val="00B050"/>
                <w:lang w:eastAsia="ja-JP"/>
              </w:rPr>
            </w:pPr>
          </w:p>
          <w:p>
            <w:pPr>
              <w:tabs>
                <w:tab w:val="left" w:pos="567"/>
              </w:tabs>
              <w:spacing w:after="0"/>
              <w:rPr>
                <w:rFonts w:ascii="Arial" w:hAnsi="Arial" w:cs="Arial"/>
                <w:lang w:eastAsia="ja-JP"/>
              </w:rPr>
            </w:pPr>
            <w:r>
              <w:rPr>
                <w:rFonts w:ascii="Arial" w:hAnsi="Arial" w:cs="Arial"/>
                <w:lang w:eastAsia="ja-JP"/>
              </w:rPr>
              <w:t>For information</w:t>
            </w:r>
          </w:p>
          <w:p>
            <w:pPr>
              <w:tabs>
                <w:tab w:val="left" w:pos="567"/>
              </w:tabs>
              <w:spacing w:after="0"/>
              <w:rPr>
                <w:rFonts w:ascii="Arial" w:hAnsi="Arial" w:cs="Arial"/>
                <w:color w:val="00B050"/>
                <w:lang w:eastAsia="ja-JP"/>
              </w:rPr>
            </w:pPr>
            <w:r>
              <w:rPr>
                <w:rFonts w:ascii="Arial" w:hAnsi="Arial" w:cs="Arial"/>
                <w:color w:val="00B050"/>
                <w:lang w:eastAsia="ja-JP"/>
              </w:rPr>
              <w:t xml:space="preserve">RAN1: 100% </w:t>
            </w:r>
          </w:p>
          <w:p>
            <w:pPr>
              <w:tabs>
                <w:tab w:val="left" w:pos="567"/>
              </w:tabs>
              <w:spacing w:after="0"/>
              <w:rPr>
                <w:rFonts w:ascii="Arial" w:hAnsi="Arial" w:cs="Arial"/>
                <w:color w:val="00B050"/>
                <w:lang w:eastAsia="ja-JP"/>
              </w:rPr>
            </w:pPr>
            <w:r>
              <w:rPr>
                <w:rFonts w:ascii="Arial" w:hAnsi="Arial" w:cs="Arial"/>
                <w:color w:val="00B050"/>
                <w:lang w:eastAsia="ja-JP"/>
              </w:rPr>
              <w:t>RAN2: 100%</w:t>
            </w:r>
          </w:p>
          <w:p>
            <w:pPr>
              <w:tabs>
                <w:tab w:val="left" w:pos="567"/>
              </w:tabs>
              <w:spacing w:after="0"/>
              <w:rPr>
                <w:rFonts w:ascii="Arial" w:hAnsi="Arial" w:cs="Arial"/>
                <w:color w:val="00B050"/>
                <w:lang w:eastAsia="ja-JP"/>
              </w:rPr>
            </w:pPr>
            <w:r>
              <w:rPr>
                <w:rFonts w:ascii="Arial" w:hAnsi="Arial" w:cs="Arial"/>
                <w:color w:val="00B050"/>
                <w:lang w:eastAsia="ja-JP"/>
              </w:rPr>
              <w:t>RAN3: 100%</w:t>
            </w:r>
          </w:p>
          <w:p>
            <w:pPr>
              <w:tabs>
                <w:tab w:val="left" w:pos="567"/>
              </w:tabs>
              <w:spacing w:after="0"/>
              <w:rPr>
                <w:rFonts w:ascii="Arial" w:hAnsi="Arial" w:cs="Arial"/>
                <w:color w:val="00B050"/>
                <w:lang w:eastAsia="ja-JP"/>
              </w:rPr>
            </w:pPr>
            <w:r>
              <w:rPr>
                <w:rFonts w:ascii="Arial" w:hAnsi="Arial" w:cs="Arial"/>
                <w:color w:val="00B050"/>
                <w:lang w:eastAsia="ja-JP"/>
              </w:rPr>
              <w:t xml:space="preserve">RAN4: </w:t>
            </w:r>
            <w:r>
              <w:rPr>
                <w:rFonts w:hint="eastAsia" w:ascii="Arial" w:hAnsi="Arial" w:cs="Arial"/>
                <w:color w:val="00B050"/>
                <w:lang w:eastAsia="ja-JP"/>
              </w:rPr>
              <w:t>100</w:t>
            </w:r>
            <w:r>
              <w:rPr>
                <w:rFonts w:ascii="Arial" w:hAnsi="Arial" w:cs="Arial"/>
                <w:color w:val="00B050"/>
                <w:lang w:eastAsia="ja-JP"/>
              </w:rPr>
              <w:t>%</w:t>
            </w:r>
          </w:p>
        </w:tc>
        <w:tc>
          <w:tcPr>
            <w:tcW w:w="2268" w:type="dxa"/>
          </w:tcPr>
          <w:p>
            <w:pPr>
              <w:tabs>
                <w:tab w:val="left" w:pos="567"/>
              </w:tabs>
              <w:spacing w:after="0"/>
              <w:rPr>
                <w:rFonts w:ascii="Arial" w:hAnsi="Arial" w:cs="Arial"/>
                <w:lang w:eastAsia="ja-JP"/>
              </w:rPr>
            </w:pPr>
            <w:r>
              <w:rPr>
                <w:rFonts w:ascii="Arial" w:hAnsi="Arial" w:cs="Arial"/>
                <w:lang w:eastAsia="ja-JP"/>
              </w:rPr>
              <w:t xml:space="preserve">Performance Part: </w:t>
            </w:r>
            <w:r>
              <w:rPr>
                <w:rFonts w:hint="eastAsia" w:ascii="Arial" w:hAnsi="Arial" w:cs="Arial"/>
                <w:color w:val="00B050"/>
                <w:lang w:eastAsia="ja-JP"/>
              </w:rPr>
              <w:t>10</w:t>
            </w:r>
            <w:r>
              <w:rPr>
                <w:rFonts w:ascii="Arial" w:hAnsi="Arial" w:cs="Arial"/>
                <w:color w:val="00B050"/>
                <w:lang w:eastAsia="ja-JP"/>
              </w:rPr>
              <w:t>%</w:t>
            </w:r>
          </w:p>
          <w:p>
            <w:pPr>
              <w:tabs>
                <w:tab w:val="left" w:pos="567"/>
              </w:tabs>
              <w:spacing w:after="0"/>
              <w:rPr>
                <w:rFonts w:ascii="Arial" w:hAnsi="Arial" w:cs="Arial"/>
                <w:lang w:eastAsia="ja-JP"/>
              </w:rPr>
            </w:pPr>
          </w:p>
        </w:tc>
        <w:tc>
          <w:tcPr>
            <w:tcW w:w="1694" w:type="dxa"/>
            <w:gridSpan w:val="2"/>
          </w:tcPr>
          <w:p>
            <w:pPr>
              <w:tabs>
                <w:tab w:val="left" w:pos="567"/>
              </w:tabs>
              <w:spacing w:after="0"/>
              <w:rPr>
                <w:rFonts w:ascii="Arial" w:hAnsi="Arial" w:cs="Arial"/>
                <w:highlight w:val="yellow"/>
                <w:lang w:eastAsia="ja-JP"/>
              </w:rPr>
            </w:pPr>
            <w:r>
              <w:rPr>
                <w:rFonts w:ascii="Arial" w:hAnsi="Arial" w:cs="Arial"/>
                <w:lang w:eastAsia="ja-JP"/>
              </w:rPr>
              <w:t xml:space="preserve">Testing part: </w:t>
            </w:r>
            <w:r>
              <w:rPr>
                <w:rFonts w:ascii="Arial" w:hAnsi="Arial" w:cs="Arial"/>
                <w:color w:val="FF0000"/>
                <w:lang w:eastAsia="ja-JP"/>
              </w:rPr>
              <w:t>-</w:t>
            </w:r>
          </w:p>
        </w:tc>
      </w:tr>
    </w:tbl>
    <w:p>
      <w:pPr>
        <w:tabs>
          <w:tab w:val="left" w:pos="567"/>
        </w:tabs>
        <w:spacing w:after="0"/>
        <w:rPr>
          <w:rFonts w:ascii="Arial" w:hAnsi="Arial" w:cs="Arial"/>
        </w:rPr>
      </w:pPr>
      <w:r>
        <w:rPr>
          <w:rFonts w:ascii="Arial" w:hAnsi="Arial" w:cs="Arial"/>
        </w:rPr>
        <w:t>Note: Overall completion level percentage numbers should use one of the colors below:</w:t>
      </w:r>
    </w:p>
    <w:p>
      <w:pPr>
        <w:pStyle w:val="132"/>
        <w:numPr>
          <w:ilvl w:val="0"/>
          <w:numId w:val="7"/>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pPr>
        <w:pStyle w:val="132"/>
        <w:numPr>
          <w:ilvl w:val="0"/>
          <w:numId w:val="7"/>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pPr>
        <w:pStyle w:val="132"/>
        <w:numPr>
          <w:ilvl w:val="0"/>
          <w:numId w:val="7"/>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pPr>
        <w:pStyle w:val="132"/>
        <w:tabs>
          <w:tab w:val="left" w:pos="567"/>
        </w:tabs>
        <w:ind w:left="924" w:leftChars="0"/>
        <w:rPr>
          <w:rFonts w:ascii="Arial" w:hAnsi="Arial" w:cs="Arial"/>
          <w:color w:val="FF0000"/>
        </w:rPr>
      </w:pPr>
    </w:p>
    <w:p>
      <w:pPr>
        <w:tabs>
          <w:tab w:val="left" w:pos="567"/>
        </w:tabs>
        <w:spacing w:after="60"/>
        <w:rPr>
          <w:rFonts w:ascii="Arial" w:hAnsi="Arial" w:cs="Arial"/>
          <w:b/>
        </w:rPr>
      </w:pPr>
      <w:r>
        <w:rPr>
          <w:rFonts w:ascii="Arial" w:hAnsi="Arial" w:cs="Arial"/>
          <w:b/>
        </w:rPr>
        <w:t>Source:</w:t>
      </w:r>
    </w:p>
    <w:p>
      <w:pPr>
        <w:pBdr>
          <w:bottom w:val="single" w:color="auto" w:sz="4" w:space="1"/>
        </w:pBdr>
        <w:spacing w:after="0"/>
        <w:rPr>
          <w:rFonts w:ascii="Arial" w:hAnsi="Arial" w:cs="Arial"/>
        </w:rPr>
      </w:pP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1333"/>
        <w:gridCol w:w="7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tcPr>
          <w:p>
            <w:pPr>
              <w:tabs>
                <w:tab w:val="left" w:pos="567"/>
              </w:tabs>
              <w:spacing w:after="0"/>
              <w:rPr>
                <w:rFonts w:ascii="Arial" w:hAnsi="Arial" w:cs="Arial"/>
                <w:b/>
              </w:rPr>
            </w:pPr>
            <w:r>
              <w:rPr>
                <w:rFonts w:ascii="Arial" w:hAnsi="Arial" w:cs="Arial"/>
                <w:b/>
              </w:rPr>
              <w:t>Leading WG</w:t>
            </w:r>
          </w:p>
        </w:tc>
        <w:tc>
          <w:tcPr>
            <w:tcW w:w="7338" w:type="dxa"/>
          </w:tcPr>
          <w:p>
            <w:pPr>
              <w:tabs>
                <w:tab w:val="left" w:pos="567"/>
              </w:tabs>
              <w:spacing w:after="0"/>
              <w:rPr>
                <w:rFonts w:ascii="Arial" w:hAnsi="Arial" w:cs="Arial"/>
                <w:color w:val="FF0000"/>
              </w:rPr>
            </w:pPr>
            <w:r>
              <w:rPr>
                <w:rFonts w:ascii="Arial" w:hAnsi="Arial" w:cs="Arial"/>
              </w:rPr>
              <w:t>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restart"/>
            <w:vAlign w:val="center"/>
          </w:tcPr>
          <w:p>
            <w:pPr>
              <w:tabs>
                <w:tab w:val="left" w:pos="567"/>
              </w:tabs>
              <w:rPr>
                <w:rFonts w:ascii="Arial" w:hAnsi="Arial" w:cs="Arial"/>
                <w:b/>
              </w:rPr>
            </w:pPr>
            <w:r>
              <w:rPr>
                <w:rFonts w:ascii="Arial" w:hAnsi="Arial" w:cs="Arial"/>
                <w:b/>
              </w:rPr>
              <w:t>Rapporteur</w:t>
            </w:r>
          </w:p>
        </w:tc>
        <w:tc>
          <w:tcPr>
            <w:tcW w:w="1333" w:type="dxa"/>
          </w:tcPr>
          <w:p>
            <w:pPr>
              <w:tabs>
                <w:tab w:val="left" w:pos="567"/>
              </w:tabs>
              <w:spacing w:after="0"/>
              <w:rPr>
                <w:rFonts w:ascii="Arial" w:hAnsi="Arial" w:cs="Arial"/>
                <w:b/>
              </w:rPr>
            </w:pPr>
            <w:r>
              <w:rPr>
                <w:rFonts w:ascii="Arial" w:hAnsi="Arial" w:cs="Arial"/>
                <w:b/>
              </w:rPr>
              <w:t>Name</w:t>
            </w:r>
          </w:p>
        </w:tc>
        <w:tc>
          <w:tcPr>
            <w:tcW w:w="7338" w:type="dxa"/>
          </w:tcPr>
          <w:p>
            <w:pPr>
              <w:tabs>
                <w:tab w:val="left" w:pos="567"/>
              </w:tabs>
              <w:spacing w:after="0"/>
              <w:rPr>
                <w:rFonts w:ascii="Arial" w:hAnsi="Arial" w:cs="Arial"/>
                <w:lang w:eastAsia="ja-JP"/>
              </w:rPr>
            </w:pPr>
            <w:r>
              <w:rPr>
                <w:rFonts w:ascii="Arial" w:hAnsi="Arial" w:cs="Arial"/>
                <w:lang w:eastAsia="ja-JP"/>
              </w:rPr>
              <w:t>Abhishek Roy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tabs>
                <w:tab w:val="left" w:pos="567"/>
              </w:tabs>
              <w:rPr>
                <w:rFonts w:ascii="Arial" w:hAnsi="Arial" w:cs="Arial"/>
                <w:b/>
              </w:rPr>
            </w:pPr>
          </w:p>
        </w:tc>
        <w:tc>
          <w:tcPr>
            <w:tcW w:w="1333" w:type="dxa"/>
          </w:tcPr>
          <w:p>
            <w:pPr>
              <w:tabs>
                <w:tab w:val="left" w:pos="567"/>
              </w:tabs>
              <w:spacing w:after="0"/>
              <w:rPr>
                <w:rFonts w:ascii="Arial" w:hAnsi="Arial" w:cs="Arial"/>
                <w:b/>
              </w:rPr>
            </w:pPr>
            <w:r>
              <w:rPr>
                <w:rFonts w:ascii="Arial" w:hAnsi="Arial" w:cs="Arial"/>
                <w:b/>
              </w:rPr>
              <w:t>Company</w:t>
            </w:r>
          </w:p>
        </w:tc>
        <w:tc>
          <w:tcPr>
            <w:tcW w:w="7338" w:type="dxa"/>
          </w:tcPr>
          <w:p>
            <w:pPr>
              <w:tabs>
                <w:tab w:val="left" w:pos="567"/>
              </w:tabs>
              <w:spacing w:after="0"/>
              <w:rPr>
                <w:rFonts w:ascii="Arial" w:hAnsi="Arial" w:cs="Arial"/>
                <w:lang w:eastAsia="ja-JP"/>
              </w:rPr>
            </w:pPr>
            <w:r>
              <w:rPr>
                <w:rFonts w:ascii="Arial" w:hAnsi="Arial" w:cs="Arial"/>
                <w:lang w:eastAsia="ja-JP"/>
              </w:rPr>
              <w:t>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5" w:type="dxa"/>
            <w:vMerge w:val="continue"/>
          </w:tcPr>
          <w:p>
            <w:pPr>
              <w:tabs>
                <w:tab w:val="left" w:pos="567"/>
              </w:tabs>
              <w:rPr>
                <w:rFonts w:ascii="Arial" w:hAnsi="Arial" w:cs="Arial"/>
                <w:b/>
              </w:rPr>
            </w:pPr>
          </w:p>
        </w:tc>
        <w:tc>
          <w:tcPr>
            <w:tcW w:w="1333" w:type="dxa"/>
          </w:tcPr>
          <w:p>
            <w:pPr>
              <w:tabs>
                <w:tab w:val="left" w:pos="567"/>
              </w:tabs>
              <w:spacing w:after="0"/>
              <w:rPr>
                <w:rFonts w:ascii="Arial" w:hAnsi="Arial" w:cs="Arial"/>
                <w:b/>
              </w:rPr>
            </w:pPr>
            <w:r>
              <w:rPr>
                <w:rFonts w:ascii="Arial" w:hAnsi="Arial" w:cs="Arial"/>
                <w:b/>
              </w:rPr>
              <w:t>Email</w:t>
            </w:r>
          </w:p>
        </w:tc>
        <w:tc>
          <w:tcPr>
            <w:tcW w:w="7338" w:type="dxa"/>
          </w:tcPr>
          <w:p>
            <w:r>
              <w:fldChar w:fldCharType="begin"/>
            </w:r>
            <w:r>
              <w:instrText xml:space="preserve"> HYPERLINK "mailto:abhishek.roy@mediatek.com" </w:instrText>
            </w:r>
            <w:r>
              <w:fldChar w:fldCharType="separate"/>
            </w:r>
            <w:r>
              <w:rPr>
                <w:rStyle w:val="58"/>
              </w:rPr>
              <w:t>abhishek.roy@mediatek.com</w:t>
            </w:r>
            <w:r>
              <w:rPr>
                <w:rStyle w:val="58"/>
              </w:rPr>
              <w:fldChar w:fldCharType="end"/>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8" w:type="dxa"/>
            <w:gridSpan w:val="2"/>
          </w:tcPr>
          <w:p>
            <w:pPr>
              <w:tabs>
                <w:tab w:val="left" w:pos="567"/>
              </w:tabs>
              <w:spacing w:after="0"/>
              <w:rPr>
                <w:rFonts w:ascii="Arial" w:hAnsi="Arial" w:eastAsia="宋体" w:cs="Arial"/>
                <w:b/>
                <w:lang w:val="en-US" w:eastAsia="zh-CN"/>
              </w:rPr>
            </w:pPr>
            <w:r>
              <w:rPr>
                <w:rFonts w:hint="eastAsia" w:ascii="Arial" w:hAnsi="Arial" w:eastAsia="宋体" w:cs="Arial"/>
                <w:b/>
                <w:lang w:val="en-US" w:eastAsia="zh-CN"/>
              </w:rPr>
              <w:t>Secondary</w:t>
            </w:r>
            <w:r>
              <w:rPr>
                <w:rFonts w:ascii="Arial" w:hAnsi="Arial" w:cs="Arial"/>
                <w:b/>
              </w:rPr>
              <w:t xml:space="preserve"> WG</w:t>
            </w:r>
          </w:p>
        </w:tc>
        <w:tc>
          <w:tcPr>
            <w:tcW w:w="7338" w:type="dxa"/>
          </w:tcPr>
          <w:p>
            <w:pPr>
              <w:tabs>
                <w:tab w:val="left" w:pos="567"/>
              </w:tabs>
              <w:spacing w:after="0"/>
              <w:rPr>
                <w:rFonts w:ascii="Arial" w:hAnsi="Arial" w:cs="Arial"/>
              </w:rPr>
            </w:pPr>
            <w:r>
              <w:rPr>
                <w:rFonts w:ascii="Arial" w:hAnsi="Arial" w:cs="Arial"/>
              </w:rPr>
              <w:t>RAN2</w:t>
            </w:r>
          </w:p>
        </w:tc>
      </w:tr>
    </w:tbl>
    <w:p>
      <w:pPr>
        <w:pBdr>
          <w:bottom w:val="single" w:color="auto" w:sz="4" w:space="1"/>
        </w:pBdr>
        <w:rPr>
          <w:rFonts w:ascii="Arial" w:hAnsi="Arial" w:cs="Arial"/>
        </w:rPr>
      </w:pPr>
    </w:p>
    <w:p>
      <w:pPr>
        <w:pBdr>
          <w:bottom w:val="single" w:color="auto" w:sz="4" w:space="1"/>
        </w:pBdr>
        <w:rPr>
          <w:rFonts w:ascii="Arial" w:hAnsi="Arial" w:cs="Arial"/>
        </w:rPr>
      </w:pPr>
    </w:p>
    <w:p>
      <w:pPr>
        <w:pStyle w:val="3"/>
      </w:pPr>
      <w:r>
        <w:t>1</w:t>
      </w:r>
      <w:r>
        <w:tab/>
      </w:r>
      <w:r>
        <w:t>Work plan related evaluation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5" w:type="dxa"/>
            <w:shd w:val="clear" w:color="auto" w:fill="E0E0E0"/>
          </w:tcPr>
          <w:p>
            <w:pPr>
              <w:pStyle w:val="67"/>
              <w:jc w:val="center"/>
              <w:rPr>
                <w:b/>
                <w:bCs/>
              </w:rPr>
            </w:pPr>
            <w:r>
              <w:rPr>
                <w:b/>
                <w:bCs/>
              </w:rPr>
              <w:t>Do you want to modify the time budget for this WI/SI compared to what was endorsed at the last RAN meeting?</w:t>
            </w:r>
          </w:p>
        </w:tc>
        <w:tc>
          <w:tcPr>
            <w:tcW w:w="1037" w:type="dxa"/>
            <w:vAlign w:val="center"/>
          </w:tcPr>
          <w:p>
            <w:pPr>
              <w:pStyle w:val="67"/>
              <w:jc w:val="center"/>
              <w:rPr>
                <w:color w:val="FF0000"/>
                <w:lang w:eastAsia="ja-JP"/>
              </w:rPr>
            </w:pPr>
            <w:r>
              <w:rPr>
                <w:color w:val="000000" w:themeColor="text1"/>
                <w:lang w:eastAsia="ja-JP"/>
                <w14:textFill>
                  <w14:solidFill>
                    <w14:schemeClr w14:val="tx1"/>
                  </w14:solidFill>
                </w14:textFill>
              </w:rPr>
              <w:t>No</w:t>
            </w:r>
          </w:p>
        </w:tc>
      </w:tr>
    </w:tbl>
    <w:p>
      <w:pPr>
        <w:spacing w:after="0"/>
        <w:rPr>
          <w:rFonts w:ascii="Arial" w:hAnsi="Arial" w:cs="Arial"/>
        </w:rPr>
      </w:pPr>
    </w:p>
    <w:p>
      <w:pPr>
        <w:pStyle w:val="70"/>
        <w:rPr>
          <w:rFonts w:ascii="Arial" w:hAnsi="Arial" w:cs="Arial"/>
          <w:i/>
        </w:rPr>
      </w:pPr>
      <w:r>
        <w:rPr>
          <w:rFonts w:ascii="Arial" w:hAnsi="Arial" w:cs="Arial"/>
          <w:i/>
        </w:rPr>
        <w:t>If you answered No:</w:t>
      </w:r>
      <w:r>
        <w:rPr>
          <w:rFonts w:ascii="Arial" w:hAnsi="Arial" w:cs="Arial"/>
          <w:i/>
        </w:rPr>
        <w:tab/>
      </w:r>
      <w:r>
        <w:rPr>
          <w:rFonts w:ascii="Arial" w:hAnsi="Arial" w:cs="Arial"/>
          <w:i/>
        </w:rPr>
        <w:t>Then please remove the Excel file from the zip file of this status report.</w:t>
      </w:r>
    </w:p>
    <w:p>
      <w:pPr>
        <w:pStyle w:val="70"/>
        <w:rPr>
          <w:rFonts w:ascii="Arial" w:hAnsi="Arial" w:cs="Arial"/>
          <w:i/>
        </w:rPr>
      </w:pPr>
      <w:r>
        <w:rPr>
          <w:rFonts w:ascii="Arial" w:hAnsi="Arial" w:cs="Arial"/>
          <w:i/>
        </w:rPr>
        <w:t>If you answered Yes:</w:t>
      </w:r>
      <w:r>
        <w:rPr>
          <w:rFonts w:ascii="Arial" w:hAnsi="Arial" w:cs="Arial"/>
          <w:i/>
        </w:rPr>
        <w:tab/>
      </w:r>
      <w:r>
        <w:rPr>
          <w:rFonts w:ascii="Arial" w:hAnsi="Arial" w:cs="Arial"/>
          <w:i/>
        </w:rPr>
        <w:t xml:space="preserve">Then please fill out the attached Excel template to request a modification of the time </w:t>
      </w:r>
      <w:r>
        <w:rPr>
          <w:rFonts w:ascii="Arial" w:hAnsi="Arial" w:cs="Arial"/>
          <w:i/>
        </w:rPr>
        <w:tab/>
      </w:r>
      <w:r>
        <w:rPr>
          <w:rFonts w:ascii="Arial" w:hAnsi="Arial" w:cs="Arial"/>
          <w:i/>
        </w:rPr>
        <w:tab/>
      </w:r>
      <w:r>
        <w:rPr>
          <w:rFonts w:ascii="Arial" w:hAnsi="Arial" w:cs="Arial"/>
          <w:i/>
        </w:rPr>
        <w:t xml:space="preserve">budgets for your WI /SI. The Excel table has to be filled out for all affected RAN WGs and </w:t>
      </w:r>
      <w:r>
        <w:rPr>
          <w:rFonts w:ascii="Arial" w:hAnsi="Arial" w:cs="Arial"/>
          <w:i/>
        </w:rPr>
        <w:tab/>
      </w:r>
      <w:r>
        <w:rPr>
          <w:rFonts w:ascii="Arial" w:hAnsi="Arial" w:cs="Arial"/>
          <w:i/>
        </w:rPr>
        <w:tab/>
      </w:r>
      <w:r>
        <w:rPr>
          <w:rFonts w:ascii="Arial" w:hAnsi="Arial" w:cs="Arial"/>
          <w:i/>
        </w:rPr>
        <w:t xml:space="preserve">up to the target date of the WI/SI. The basis are the endorsed time budgets of the last </w:t>
      </w:r>
      <w:r>
        <w:rPr>
          <w:rFonts w:ascii="Arial" w:hAnsi="Arial" w:cs="Arial"/>
          <w:i/>
        </w:rPr>
        <w:tab/>
      </w:r>
      <w:r>
        <w:rPr>
          <w:rFonts w:ascii="Arial" w:hAnsi="Arial" w:cs="Arial"/>
          <w:i/>
        </w:rPr>
        <w:tab/>
      </w:r>
      <w:r>
        <w:rPr>
          <w:rFonts w:ascii="Arial" w:hAnsi="Arial" w:cs="Arial"/>
          <w:i/>
        </w:rPr>
        <w:t>RAN meeting. Please highlight all changes of the values.</w:t>
      </w:r>
      <w:r>
        <w:rPr>
          <w:rFonts w:ascii="Arial" w:hAnsi="Arial" w:cs="Arial"/>
          <w:i/>
        </w:rPr>
        <w:br w:type="textWrapping"/>
      </w:r>
      <w:r>
        <w:rPr>
          <w:rFonts w:ascii="Arial" w:hAnsi="Arial" w:cs="Arial"/>
          <w:i/>
        </w:rPr>
        <w:tab/>
      </w:r>
      <w:r>
        <w:rPr>
          <w:rFonts w:ascii="Arial" w:hAnsi="Arial" w:cs="Arial"/>
          <w:i/>
        </w:rPr>
        <w:tab/>
      </w:r>
      <w:r>
        <w:rPr>
          <w:rFonts w:ascii="Arial" w:hAnsi="Arial" w:cs="Arial"/>
          <w:i/>
        </w:rPr>
        <w:t>One time unit (TU) corresponds to ~ 2 hours in the meeting.</w:t>
      </w:r>
      <w:r>
        <w:rPr>
          <w:rFonts w:ascii="Arial" w:hAnsi="Arial" w:cs="Arial"/>
          <w:i/>
        </w:rPr>
        <w:br w:type="textWrapping"/>
      </w:r>
      <w:r>
        <w:rPr>
          <w:rFonts w:ascii="Arial" w:hAnsi="Arial" w:cs="Arial"/>
          <w:i/>
        </w:rPr>
        <w:tab/>
      </w:r>
      <w:r>
        <w:rPr>
          <w:rFonts w:ascii="Arial" w:hAnsi="Arial" w:cs="Arial"/>
          <w:i/>
        </w:rPr>
        <w:tab/>
      </w:r>
      <w:r>
        <w:rPr>
          <w:rFonts w:ascii="Arial" w:hAnsi="Arial" w:cs="Arial"/>
          <w:i/>
        </w:rPr>
        <w:t xml:space="preserve">If this status report covers a WI with Core and Performance part, then please have one </w:t>
      </w:r>
      <w:r>
        <w:rPr>
          <w:rFonts w:ascii="Arial" w:hAnsi="Arial" w:cs="Arial"/>
          <w:i/>
        </w:rPr>
        <w:tab/>
      </w:r>
      <w:r>
        <w:rPr>
          <w:rFonts w:ascii="Arial" w:hAnsi="Arial" w:cs="Arial"/>
          <w:i/>
        </w:rPr>
        <w:tab/>
      </w:r>
      <w:r>
        <w:rPr>
          <w:rFonts w:ascii="Arial" w:hAnsi="Arial" w:cs="Arial"/>
          <w:i/>
        </w:rPr>
        <w:t>line for each in the attached Excel table.</w:t>
      </w:r>
      <w:r>
        <w:rPr>
          <w:rFonts w:ascii="Arial" w:hAnsi="Arial" w:cs="Arial"/>
          <w:i/>
        </w:rPr>
        <w:br w:type="textWrapping"/>
      </w:r>
      <w:r>
        <w:rPr>
          <w:rFonts w:ascii="Arial" w:hAnsi="Arial" w:cs="Arial"/>
          <w:i/>
        </w:rPr>
        <w:tab/>
      </w:r>
      <w:r>
        <w:rPr>
          <w:rFonts w:ascii="Arial" w:hAnsi="Arial" w:cs="Arial"/>
          <w:i/>
        </w:rPr>
        <w:tab/>
      </w:r>
      <w:r>
        <w:rPr>
          <w:rFonts w:ascii="Arial" w:hAnsi="Arial" w:cs="Arial"/>
          <w:i/>
        </w:rPr>
        <w:t>Note: If no Excel table is attached, then this means no time budget change.</w:t>
      </w:r>
    </w:p>
    <w:p>
      <w:pPr>
        <w:spacing w:after="0"/>
        <w:rPr>
          <w:rFonts w:ascii="Arial" w:hAnsi="Arial" w:cs="Arial"/>
          <w:b/>
        </w:rPr>
      </w:pPr>
      <w:r>
        <w:rPr>
          <w:rFonts w:ascii="Arial" w:hAnsi="Arial" w:cs="Arial"/>
          <w:b/>
        </w:rPr>
        <w:t>Additional explanations/motivations for the time budget changes in the attached Excel table:</w:t>
      </w:r>
    </w:p>
    <w:p>
      <w:pPr>
        <w:spacing w:after="0"/>
        <w:rPr>
          <w:rFonts w:ascii="Arial" w:hAnsi="Arial" w:cs="Arial"/>
        </w:rPr>
      </w:pPr>
    </w:p>
    <w:p>
      <w:pPr>
        <w:spacing w:after="0"/>
        <w:rPr>
          <w:rFonts w:ascii="Arial" w:hAnsi="Arial" w:cs="Arial"/>
          <w:color w:val="FF0000"/>
        </w:rPr>
      </w:pPr>
    </w:p>
    <w:p>
      <w:pPr>
        <w:pStyle w:val="3"/>
      </w:pPr>
      <w:r>
        <w:t>2.</w:t>
      </w:r>
      <w:r>
        <w:tab/>
      </w:r>
      <w:r>
        <w:t>Detailed progress in RAN WGs since last TSG meeting (for all involved WGs)</w:t>
      </w:r>
    </w:p>
    <w:p>
      <w:pPr>
        <w:rPr>
          <w:rFonts w:ascii="Arial" w:hAnsi="Arial" w:cs="Arial"/>
          <w:color w:val="FF0000"/>
        </w:rPr>
      </w:pPr>
      <w:r>
        <w:tab/>
      </w:r>
      <w:r>
        <w:rPr>
          <w:rFonts w:ascii="Arial" w:hAnsi="Arial" w:cs="Arial"/>
          <w:color w:val="FF0000"/>
        </w:rPr>
        <w:t>NOTE: Agreements and Open issues impacted cross-TSG aspects shall be explicitly highlighted</w:t>
      </w:r>
    </w:p>
    <w:p>
      <w:pPr>
        <w:rPr>
          <w:rFonts w:ascii="Arial" w:hAnsi="Arial" w:cs="Arial"/>
          <w:color w:val="FF0000"/>
        </w:rPr>
      </w:pPr>
    </w:p>
    <w:p>
      <w:pPr>
        <w:pStyle w:val="3"/>
        <w:keepNext w:val="0"/>
        <w:rPr>
          <w:rFonts w:cs="Arial"/>
          <w:lang w:eastAsia="ja-JP"/>
        </w:rPr>
      </w:pPr>
      <w:r>
        <w:rPr>
          <w:rFonts w:cs="Arial"/>
          <w:lang w:eastAsia="ja-JP"/>
        </w:rPr>
        <w:t>2.1</w:t>
      </w:r>
      <w:r>
        <w:rPr>
          <w:rFonts w:cs="Arial"/>
          <w:lang w:eastAsia="ja-JP"/>
        </w:rPr>
        <w:tab/>
      </w:r>
      <w:r>
        <w:rPr>
          <w:rFonts w:cs="Arial"/>
          <w:lang w:eastAsia="ja-JP"/>
        </w:rPr>
        <w:t>RAN1</w:t>
      </w:r>
    </w:p>
    <w:p>
      <w:pPr>
        <w:pStyle w:val="5"/>
        <w:keepNext w:val="0"/>
        <w:rPr>
          <w:rFonts w:cs="Arial"/>
          <w:lang w:eastAsia="ja-JP"/>
        </w:rPr>
      </w:pPr>
      <w:r>
        <w:rPr>
          <w:rFonts w:cs="Arial"/>
          <w:lang w:eastAsia="ja-JP"/>
        </w:rPr>
        <w:t>2.1.1</w:t>
      </w:r>
      <w:r>
        <w:rPr>
          <w:rFonts w:cs="Arial"/>
          <w:lang w:eastAsia="ja-JP"/>
        </w:rPr>
        <w:tab/>
      </w:r>
      <w:r>
        <w:rPr>
          <w:rFonts w:cs="Arial"/>
          <w:lang w:eastAsia="ja-JP"/>
        </w:rPr>
        <w:t>Agreements</w:t>
      </w:r>
    </w:p>
    <w:p>
      <w:pPr>
        <w:outlineLvl w:val="5"/>
        <w:rPr>
          <w:rFonts w:ascii="Arial" w:hAnsi="Arial" w:cs="Arial"/>
          <w:b/>
          <w:lang w:eastAsia="en-US"/>
        </w:rPr>
      </w:pPr>
      <w:r>
        <w:rPr>
          <w:rFonts w:ascii="Arial" w:hAnsi="Arial" w:cs="Arial"/>
          <w:b/>
          <w:lang w:eastAsia="en-US"/>
        </w:rPr>
        <w:t>RAN1#114-bis,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pPr>
        <w:rPr>
          <w:rFonts w:ascii="Arial" w:hAnsi="Arial" w:cs="Arial"/>
          <w:b/>
          <w:lang w:eastAsia="ja-JP"/>
        </w:rPr>
      </w:pPr>
      <w:r>
        <w:rPr>
          <w:rFonts w:ascii="Arial" w:hAnsi="Arial" w:cs="Arial"/>
          <w:b/>
          <w:u w:val="single"/>
          <w:lang w:eastAsia="ja-JP"/>
        </w:rPr>
        <w:t>Agreements on “8.13.3 Disabling of HARQ feedback for IoT NTN”</w:t>
      </w:r>
    </w:p>
    <w:p>
      <w:pPr>
        <w:rPr>
          <w:rFonts w:ascii="Arial" w:hAnsi="Arial" w:cs="Arial"/>
          <w:lang w:eastAsia="zh-CN"/>
        </w:rPr>
      </w:pPr>
      <w:r>
        <w:rPr>
          <w:rFonts w:ascii="Arial" w:hAnsi="Arial" w:cs="Arial"/>
          <w:highlight w:val="green"/>
          <w:lang w:eastAsia="zh-CN"/>
        </w:rPr>
        <w:t>Agreement</w:t>
      </w:r>
    </w:p>
    <w:p>
      <w:pPr>
        <w:rPr>
          <w:rFonts w:ascii="Arial" w:hAnsi="Arial" w:cs="Arial"/>
          <w:lang w:eastAsia="en-US"/>
        </w:rPr>
      </w:pPr>
      <w:r>
        <w:rPr>
          <w:rFonts w:ascii="Arial" w:hAnsi="Arial" w:cs="Arial"/>
        </w:rPr>
        <w:t>Confirm the following working assumptions from RAN1#113:</w:t>
      </w:r>
    </w:p>
    <w:p>
      <w:pPr>
        <w:ind w:left="360"/>
        <w:rPr>
          <w:rFonts w:ascii="Arial" w:hAnsi="Arial" w:cs="Arial"/>
          <w:sz w:val="18"/>
          <w:szCs w:val="18"/>
        </w:rPr>
      </w:pPr>
      <w:r>
        <w:rPr>
          <w:rFonts w:ascii="Arial" w:hAnsi="Arial" w:cs="Arial"/>
          <w:sz w:val="18"/>
          <w:szCs w:val="18"/>
        </w:rPr>
        <w:t xml:space="preserve">For single TB scheduled by DCI, </w:t>
      </w:r>
    </w:p>
    <w:p>
      <w:pPr>
        <w:numPr>
          <w:ilvl w:val="0"/>
          <w:numId w:val="8"/>
        </w:numPr>
        <w:snapToGrid w:val="0"/>
        <w:spacing w:after="0" w:line="240" w:lineRule="auto"/>
        <w:ind w:left="1080"/>
        <w:contextualSpacing/>
        <w:textAlignment w:val="baseline"/>
        <w:rPr>
          <w:rFonts w:ascii="Arial" w:hAnsi="Arial" w:cs="Arial"/>
          <w:sz w:val="18"/>
          <w:szCs w:val="18"/>
        </w:rPr>
      </w:pPr>
      <w:r>
        <w:rPr>
          <w:rFonts w:ascii="Arial" w:hAnsi="Arial" w:cs="Arial"/>
          <w:color w:val="FFFFFF" w:themeColor="background1"/>
          <w:sz w:val="18"/>
          <w:szCs w:val="18"/>
          <w:highlight w:val="darkYellow"/>
          <w14:textFill>
            <w14:solidFill>
              <w14:schemeClr w14:val="bg1"/>
            </w14:solidFill>
          </w14:textFill>
        </w:rPr>
        <w:t>Working assumption 2</w:t>
      </w:r>
      <w:r>
        <w:rPr>
          <w:rFonts w:ascii="Arial" w:hAnsi="Arial" w:cs="Arial"/>
          <w:color w:val="FFFFFF" w:themeColor="background1"/>
          <w:sz w:val="18"/>
          <w:szCs w:val="18"/>
          <w14:textFill>
            <w14:solidFill>
              <w14:schemeClr w14:val="bg1"/>
            </w14:solidFill>
          </w14:textFill>
        </w:rPr>
        <w:t xml:space="preserve"> </w:t>
      </w:r>
      <w:r>
        <w:rPr>
          <w:rFonts w:ascii="Arial" w:hAnsi="Arial" w:cs="Arial"/>
          <w:sz w:val="18"/>
          <w:szCs w:val="18"/>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pPr>
        <w:rPr>
          <w:rFonts w:ascii="Arial" w:hAnsi="Arial" w:eastAsia="Batang" w:cs="Arial"/>
          <w:szCs w:val="24"/>
        </w:rPr>
      </w:pPr>
    </w:p>
    <w:p>
      <w:pPr>
        <w:tabs>
          <w:tab w:val="left" w:pos="1114"/>
        </w:tabs>
        <w:rPr>
          <w:rFonts w:ascii="Arial" w:hAnsi="Arial" w:cs="Arial"/>
          <w:lang w:eastAsia="zh-CN"/>
        </w:rPr>
      </w:pPr>
      <w:r>
        <w:rPr>
          <w:rFonts w:ascii="Arial" w:hAnsi="Arial" w:cs="Arial"/>
          <w:highlight w:val="green"/>
          <w:lang w:eastAsia="zh-CN"/>
        </w:rPr>
        <w:t>Agreement</w:t>
      </w:r>
    </w:p>
    <w:p>
      <w:pPr>
        <w:rPr>
          <w:rFonts w:ascii="Arial" w:hAnsi="Arial" w:cs="Arial"/>
          <w:lang w:eastAsia="zh-CN"/>
        </w:rPr>
      </w:pPr>
      <w:r>
        <w:rPr>
          <w:rFonts w:ascii="Arial" w:hAnsi="Arial" w:cs="Arial"/>
          <w:lang w:eastAsia="zh-CN"/>
        </w:rPr>
        <w:t xml:space="preserve">The TP1b in section 13 of </w:t>
      </w:r>
      <w:r>
        <w:fldChar w:fldCharType="begin"/>
      </w:r>
      <w:r>
        <w:instrText xml:space="preserve"> HYPERLINK "file:///U:\\work\\R17-R18%20NTN\\Docs\\R1-2310356.zip" </w:instrText>
      </w:r>
      <w:r>
        <w:fldChar w:fldCharType="separate"/>
      </w:r>
      <w:r>
        <w:rPr>
          <w:rStyle w:val="58"/>
          <w:rFonts w:ascii="Arial" w:hAnsi="Arial" w:cs="Arial"/>
          <w:lang w:eastAsia="zh-CN"/>
        </w:rPr>
        <w:t>R1-2310356</w:t>
      </w:r>
      <w:r>
        <w:rPr>
          <w:rStyle w:val="58"/>
          <w:rFonts w:ascii="Arial" w:hAnsi="Arial" w:cs="Arial"/>
          <w:lang w:eastAsia="zh-CN"/>
        </w:rPr>
        <w:fldChar w:fldCharType="end"/>
      </w:r>
      <w:r>
        <w:rPr>
          <w:rFonts w:ascii="Arial" w:hAnsi="Arial" w:cs="Arial"/>
          <w:lang w:eastAsia="zh-CN"/>
        </w:rPr>
        <w:t xml:space="preserve"> is endorsed for TS36.213 clause 7.3.</w:t>
      </w:r>
    </w:p>
    <w:p>
      <w:pPr>
        <w:tabs>
          <w:tab w:val="left" w:pos="1114"/>
        </w:tabs>
        <w:rPr>
          <w:rFonts w:ascii="Arial" w:hAnsi="Arial" w:cs="Arial"/>
          <w:lang w:eastAsia="zh-CN"/>
        </w:rPr>
      </w:pPr>
    </w:p>
    <w:p>
      <w:pPr>
        <w:tabs>
          <w:tab w:val="left" w:pos="1114"/>
        </w:tabs>
        <w:rPr>
          <w:rFonts w:ascii="Arial" w:hAnsi="Arial" w:cs="Arial"/>
          <w:lang w:eastAsia="zh-CN"/>
        </w:rPr>
      </w:pPr>
      <w:r>
        <w:rPr>
          <w:rFonts w:ascii="Arial" w:hAnsi="Arial" w:cs="Arial"/>
          <w:highlight w:val="green"/>
          <w:lang w:eastAsia="zh-CN"/>
        </w:rPr>
        <w:t>Agreement</w:t>
      </w:r>
    </w:p>
    <w:p>
      <w:pPr>
        <w:tabs>
          <w:tab w:val="left" w:pos="1114"/>
        </w:tabs>
        <w:rPr>
          <w:rFonts w:ascii="Arial" w:hAnsi="Arial" w:cs="Arial"/>
          <w:lang w:eastAsia="zh-CN"/>
        </w:rPr>
      </w:pPr>
      <w:r>
        <w:rPr>
          <w:rFonts w:ascii="Arial" w:hAnsi="Arial" w:cs="Arial"/>
          <w:lang w:eastAsia="zh-CN"/>
        </w:rPr>
        <w:t xml:space="preserve">The TP2b in </w:t>
      </w:r>
      <w:r>
        <w:fldChar w:fldCharType="begin"/>
      </w:r>
      <w:r>
        <w:instrText xml:space="preserve"> HYPERLINK "file:///U:\\work\\R17-R18%20NTN\\Docs\\R1-2310356.zip" </w:instrText>
      </w:r>
      <w:r>
        <w:fldChar w:fldCharType="separate"/>
      </w:r>
      <w:r>
        <w:rPr>
          <w:rStyle w:val="58"/>
          <w:rFonts w:ascii="Arial" w:hAnsi="Arial" w:cs="Arial"/>
          <w:lang w:eastAsia="zh-CN"/>
        </w:rPr>
        <w:t>R1-2310356</w:t>
      </w:r>
      <w:r>
        <w:rPr>
          <w:rStyle w:val="58"/>
          <w:rFonts w:ascii="Arial" w:hAnsi="Arial" w:cs="Arial"/>
          <w:lang w:eastAsia="zh-CN"/>
        </w:rPr>
        <w:fldChar w:fldCharType="end"/>
      </w:r>
      <w:r>
        <w:rPr>
          <w:rFonts w:ascii="Arial" w:hAnsi="Arial" w:cs="Arial"/>
          <w:lang w:eastAsia="zh-CN"/>
        </w:rPr>
        <w:t xml:space="preserve"> is endorsed for TS36.213 clause 16.4.2.</w:t>
      </w:r>
    </w:p>
    <w:p>
      <w:pPr>
        <w:rPr>
          <w:rFonts w:ascii="Arial" w:hAnsi="Arial" w:cs="Arial"/>
          <w:lang w:eastAsia="zh-CN"/>
        </w:rPr>
      </w:pPr>
    </w:p>
    <w:p>
      <w:pPr>
        <w:tabs>
          <w:tab w:val="left" w:pos="1114"/>
        </w:tabs>
        <w:rPr>
          <w:rFonts w:ascii="Arial" w:hAnsi="Arial" w:cs="Arial"/>
          <w:lang w:eastAsia="zh-CN"/>
        </w:rPr>
      </w:pPr>
      <w:r>
        <w:rPr>
          <w:rFonts w:ascii="Arial" w:hAnsi="Arial" w:cs="Arial"/>
          <w:highlight w:val="green"/>
          <w:lang w:eastAsia="zh-CN"/>
        </w:rPr>
        <w:t>Agreement</w:t>
      </w:r>
    </w:p>
    <w:p>
      <w:pPr>
        <w:tabs>
          <w:tab w:val="left" w:pos="1114"/>
        </w:tabs>
        <w:rPr>
          <w:rFonts w:ascii="Arial" w:hAnsi="Arial" w:cs="Arial"/>
          <w:lang w:eastAsia="en-GB"/>
        </w:rPr>
      </w:pPr>
      <w:r>
        <w:rPr>
          <w:rFonts w:ascii="Arial" w:hAnsi="Arial" w:cs="Arial"/>
        </w:rPr>
        <w:t xml:space="preserve">There is ambiguity for definition of </w:t>
      </w:r>
      <w:r>
        <w:rPr>
          <w:rFonts w:ascii="Arial" w:hAnsi="Arial" w:cs="Arial"/>
          <w:i/>
        </w:rPr>
        <w:t>N</w:t>
      </w:r>
      <w:r>
        <w:rPr>
          <w:rFonts w:ascii="Arial" w:hAnsi="Arial" w:cs="Arial"/>
          <w:i/>
          <w:vertAlign w:val="subscript"/>
        </w:rPr>
        <w:t>TB</w:t>
      </w:r>
      <w:r>
        <w:rPr>
          <w:rFonts w:ascii="Arial" w:hAnsi="Arial" w:cs="Arial"/>
        </w:rPr>
        <w:t xml:space="preserve"> in clause 7.1.7.1 and 10.2</w:t>
      </w:r>
      <w:r>
        <w:rPr>
          <w:rFonts w:ascii="Arial" w:hAnsi="Arial" w:cs="Arial"/>
          <w:lang w:eastAsia="en-GB"/>
        </w:rPr>
        <w:t xml:space="preserve"> as follows:</w:t>
      </w:r>
    </w:p>
    <w:p>
      <w:pPr>
        <w:numPr>
          <w:ilvl w:val="0"/>
          <w:numId w:val="8"/>
        </w:numPr>
        <w:snapToGrid w:val="0"/>
        <w:spacing w:after="0" w:line="240" w:lineRule="auto"/>
        <w:textAlignment w:val="baseline"/>
        <w:rPr>
          <w:rFonts w:ascii="Arial" w:hAnsi="Arial" w:eastAsia="Batang" w:cs="Arial"/>
          <w:szCs w:val="24"/>
          <w:lang w:eastAsia="zh-CN"/>
        </w:rPr>
      </w:pPr>
      <w:r>
        <w:rPr>
          <w:rFonts w:ascii="Arial" w:hAnsi="Arial" w:cs="Arial"/>
          <w:lang w:eastAsia="zh-CN"/>
        </w:rPr>
        <w:t xml:space="preserve">For clause </w:t>
      </w:r>
      <w:r>
        <w:rPr>
          <w:rFonts w:ascii="Arial" w:hAnsi="Arial" w:cs="Arial"/>
        </w:rPr>
        <w:t xml:space="preserve">10.2: </w:t>
      </w:r>
      <w:r>
        <w:rPr>
          <w:rFonts w:ascii="Arial" w:hAnsi="Arial" w:cs="Arial"/>
          <w:i/>
        </w:rPr>
        <w:t>N</w:t>
      </w:r>
      <w:r>
        <w:rPr>
          <w:rFonts w:ascii="Arial" w:hAnsi="Arial" w:cs="Arial"/>
          <w:i/>
          <w:vertAlign w:val="subscript"/>
        </w:rPr>
        <w:t>TB</w:t>
      </w:r>
      <w:r>
        <w:rPr>
          <w:rFonts w:ascii="Arial" w:hAnsi="Arial" w:cs="Arial"/>
        </w:rPr>
        <w:t xml:space="preserve"> is the number of TBs with HARQ feedback enabled</w:t>
      </w:r>
    </w:p>
    <w:p>
      <w:pPr>
        <w:numPr>
          <w:ilvl w:val="0"/>
          <w:numId w:val="8"/>
        </w:numPr>
        <w:snapToGrid w:val="0"/>
        <w:spacing w:after="0" w:line="240" w:lineRule="auto"/>
        <w:textAlignment w:val="baseline"/>
        <w:rPr>
          <w:rFonts w:ascii="Arial" w:hAnsi="Arial" w:cs="Arial"/>
          <w:lang w:eastAsia="zh-CN"/>
        </w:rPr>
      </w:pPr>
      <w:r>
        <w:rPr>
          <w:rFonts w:ascii="Arial" w:hAnsi="Arial" w:cs="Arial"/>
          <w:lang w:eastAsia="zh-CN"/>
        </w:rPr>
        <w:t xml:space="preserve">For clause </w:t>
      </w:r>
      <w:r>
        <w:rPr>
          <w:rFonts w:ascii="Arial" w:hAnsi="Arial" w:cs="Arial"/>
        </w:rPr>
        <w:t xml:space="preserve">7.1.7.1: </w:t>
      </w:r>
      <w:r>
        <w:rPr>
          <w:rFonts w:ascii="Arial" w:hAnsi="Arial" w:cs="Arial"/>
          <w:i/>
        </w:rPr>
        <w:t>N</w:t>
      </w:r>
      <w:r>
        <w:rPr>
          <w:rFonts w:ascii="Arial" w:hAnsi="Arial" w:cs="Arial"/>
          <w:i/>
          <w:vertAlign w:val="subscript"/>
        </w:rPr>
        <w:t>TB</w:t>
      </w:r>
      <w:r>
        <w:rPr>
          <w:rFonts w:ascii="Arial" w:hAnsi="Arial" w:cs="Arial"/>
        </w:rPr>
        <w:t xml:space="preserve"> is the number of scheduled TBs</w:t>
      </w:r>
    </w:p>
    <w:p>
      <w:pPr>
        <w:tabs>
          <w:tab w:val="left" w:pos="1114"/>
        </w:tabs>
        <w:rPr>
          <w:rFonts w:ascii="Arial" w:hAnsi="Arial" w:cs="Arial"/>
          <w:lang w:eastAsia="en-US"/>
        </w:rPr>
      </w:pPr>
      <w:r>
        <w:rPr>
          <w:rFonts w:ascii="Arial" w:hAnsi="Arial" w:cs="Arial"/>
        </w:rPr>
        <w:t>It is recommended to the spec editor of TS36.213 to resolve that ambiguity accounting for HARQ feedback enabling/disabling.</w:t>
      </w:r>
    </w:p>
    <w:p>
      <w:pPr>
        <w:rPr>
          <w:rFonts w:ascii="Arial" w:hAnsi="Arial" w:cs="Arial"/>
          <w:highlight w:val="cyan"/>
          <w:lang w:val="en-US" w:eastAsia="zh-CN"/>
        </w:rPr>
      </w:pPr>
    </w:p>
    <w:p>
      <w:pPr>
        <w:tabs>
          <w:tab w:val="left" w:pos="567"/>
        </w:tabs>
        <w:overflowPunct/>
        <w:autoSpaceDE/>
        <w:autoSpaceDN/>
        <w:snapToGrid w:val="0"/>
        <w:spacing w:after="0"/>
        <w:rPr>
          <w:rFonts w:ascii="Arial" w:hAnsi="Arial" w:eastAsia="Yu Mincho" w:cs="Arial"/>
          <w:b/>
          <w:u w:val="single"/>
          <w:lang w:eastAsia="ja-JP"/>
        </w:rPr>
      </w:pPr>
      <w:r>
        <w:rPr>
          <w:rFonts w:ascii="Arial" w:hAnsi="Arial" w:cs="Arial"/>
          <w:b/>
          <w:u w:val="single"/>
          <w:lang w:eastAsia="ja-JP"/>
        </w:rPr>
        <w:t>Agreements on “8.13.4</w:t>
      </w:r>
      <w:r>
        <w:rPr>
          <w:rFonts w:ascii="Arial" w:hAnsi="Arial" w:cs="Arial"/>
          <w:b/>
          <w:u w:val="single"/>
          <w:lang w:eastAsia="ja-JP"/>
        </w:rPr>
        <w:tab/>
      </w:r>
      <w:r>
        <w:rPr>
          <w:rFonts w:ascii="Arial" w:hAnsi="Arial" w:cs="Arial"/>
          <w:b/>
          <w:u w:val="single"/>
          <w:lang w:eastAsia="ja-JP"/>
        </w:rPr>
        <w:t>Improved GNSS operations for IoT NTN”</w:t>
      </w:r>
    </w:p>
    <w:p>
      <w:pPr>
        <w:tabs>
          <w:tab w:val="left" w:pos="567"/>
        </w:tabs>
        <w:overflowPunct/>
        <w:autoSpaceDE/>
        <w:autoSpaceDN/>
        <w:snapToGrid w:val="0"/>
        <w:spacing w:after="0"/>
        <w:rPr>
          <w:rFonts w:ascii="Arial" w:hAnsi="Arial" w:eastAsia="Yu Mincho" w:cs="Arial"/>
          <w:b/>
          <w:highlight w:val="cyan"/>
          <w:u w:val="single"/>
          <w:lang w:eastAsia="ja-JP"/>
        </w:rPr>
      </w:pPr>
    </w:p>
    <w:p>
      <w:pPr>
        <w:rPr>
          <w:rFonts w:ascii="Arial" w:hAnsi="Arial" w:eastAsia="宋体" w:cs="Arial"/>
          <w:i/>
          <w:lang w:eastAsia="zh-CN"/>
        </w:rPr>
      </w:pPr>
      <w:r>
        <w:rPr>
          <w:rFonts w:ascii="Arial" w:hAnsi="Arial" w:cs="Arial"/>
          <w:bCs/>
          <w:iCs/>
          <w:highlight w:val="green"/>
          <w:shd w:val="clear" w:color="auto" w:fill="FFFF00"/>
        </w:rPr>
        <w:t>Agreement</w:t>
      </w:r>
    </w:p>
    <w:p>
      <w:pPr>
        <w:rPr>
          <w:rFonts w:ascii="Arial" w:hAnsi="Arial" w:eastAsia="Batang" w:cs="Arial"/>
          <w:bCs/>
          <w:iCs/>
          <w:lang w:eastAsia="en-US"/>
        </w:rPr>
      </w:pPr>
      <w:r>
        <w:rPr>
          <w:rFonts w:ascii="Arial" w:hAnsi="Arial" w:cs="Arial"/>
          <w:bCs/>
          <w:iCs/>
        </w:rPr>
        <w:t>When timeAlignmentTimer is infinity, the duration X is equal to Y. Network can configure Y via a 3-bit field at least with component values [sf500, sf750, sf1280, sf1920, sf2560, sf5120, sf10240].</w:t>
      </w:r>
    </w:p>
    <w:p>
      <w:pPr>
        <w:rPr>
          <w:rFonts w:ascii="Arial" w:hAnsi="Arial" w:eastAsia="PMingLiU" w:cs="Arial"/>
          <w:bCs/>
          <w:iCs/>
        </w:rPr>
      </w:pPr>
      <w:r>
        <w:rPr>
          <w:rFonts w:ascii="Arial" w:hAnsi="Arial" w:cs="Arial"/>
          <w:bCs/>
          <w:iCs/>
        </w:rPr>
        <w:t>FFS: whether there is a new value.</w:t>
      </w:r>
    </w:p>
    <w:p>
      <w:pPr>
        <w:rPr>
          <w:rFonts w:ascii="Arial" w:hAnsi="Arial" w:eastAsia="PMingLiU" w:cs="Arial"/>
          <w:bCs/>
          <w:iCs/>
        </w:rPr>
      </w:pPr>
    </w:p>
    <w:p>
      <w:pPr>
        <w:rPr>
          <w:rFonts w:ascii="Arial" w:hAnsi="Arial" w:eastAsia="宋体" w:cs="Arial"/>
          <w:i/>
          <w:lang w:eastAsia="zh-CN"/>
        </w:rPr>
      </w:pPr>
      <w:r>
        <w:rPr>
          <w:rFonts w:ascii="Arial" w:hAnsi="Arial" w:cs="Arial"/>
          <w:bCs/>
          <w:iCs/>
          <w:highlight w:val="green"/>
          <w:shd w:val="clear" w:color="auto" w:fill="FFFF00"/>
        </w:rPr>
        <w:t>Agreement</w:t>
      </w:r>
    </w:p>
    <w:p>
      <w:pPr>
        <w:rPr>
          <w:rFonts w:ascii="Arial" w:hAnsi="Arial" w:eastAsia="等线" w:cs="Arial"/>
          <w:bCs/>
          <w:lang w:eastAsia="zh-CN"/>
        </w:rPr>
      </w:pPr>
      <w:r>
        <w:rPr>
          <w:rFonts w:ascii="Arial" w:hAnsi="Arial" w:cs="Arial"/>
          <w:bCs/>
          <w:iCs/>
        </w:rPr>
        <w:t>The feature of</w:t>
      </w:r>
      <w:r>
        <w:rPr>
          <w:rFonts w:ascii="Arial" w:hAnsi="Arial" w:eastAsia="等线" w:cs="Arial"/>
          <w:bCs/>
          <w:i/>
          <w:lang w:eastAsia="zh-CN"/>
        </w:rPr>
        <w:t xml:space="preserve"> “UL transmission after original validity duration expires with duration X” </w:t>
      </w:r>
      <w:r>
        <w:rPr>
          <w:rFonts w:ascii="Arial" w:hAnsi="Arial" w:eastAsia="等线" w:cs="Arial"/>
          <w:bCs/>
          <w:lang w:eastAsia="zh-CN"/>
        </w:rPr>
        <w:t>can be enabled/disabled by network via RRC signalling.</w:t>
      </w:r>
    </w:p>
    <w:p>
      <w:pPr>
        <w:rPr>
          <w:rFonts w:ascii="Arial" w:hAnsi="Arial" w:eastAsia="等线" w:cs="Arial"/>
          <w:bCs/>
          <w:lang w:eastAsia="zh-CN"/>
        </w:rPr>
      </w:pPr>
    </w:p>
    <w:p>
      <w:pPr>
        <w:rPr>
          <w:rFonts w:ascii="Arial" w:hAnsi="Arial" w:eastAsia="宋体" w:cs="Arial"/>
          <w:i/>
          <w:lang w:eastAsia="zh-CN"/>
        </w:rPr>
      </w:pPr>
      <w:r>
        <w:rPr>
          <w:rFonts w:ascii="Arial" w:hAnsi="Arial" w:cs="Arial"/>
          <w:bCs/>
          <w:iCs/>
          <w:highlight w:val="green"/>
          <w:shd w:val="clear" w:color="auto" w:fill="FFFF00"/>
        </w:rPr>
        <w:t>Agreement</w:t>
      </w:r>
    </w:p>
    <w:p>
      <w:pPr>
        <w:rPr>
          <w:rFonts w:ascii="Arial" w:hAnsi="Arial" w:eastAsia="宋体" w:cs="Arial"/>
          <w:bCs/>
          <w:iCs/>
          <w:lang w:eastAsia="zh-CN"/>
        </w:rPr>
      </w:pPr>
      <w:r>
        <w:rPr>
          <w:rFonts w:ascii="Arial" w:hAnsi="Arial" w:eastAsia="宋体" w:cs="Arial"/>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pPr>
        <w:pStyle w:val="132"/>
        <w:widowControl/>
        <w:numPr>
          <w:ilvl w:val="0"/>
          <w:numId w:val="9"/>
        </w:numPr>
        <w:overflowPunct w:val="0"/>
        <w:autoSpaceDE w:val="0"/>
        <w:autoSpaceDN w:val="0"/>
        <w:adjustRightInd w:val="0"/>
        <w:spacing w:after="180" w:line="240" w:lineRule="auto"/>
        <w:ind w:leftChars="0"/>
        <w:contextualSpacing/>
        <w:jc w:val="left"/>
        <w:rPr>
          <w:rFonts w:ascii="Arial" w:hAnsi="Arial" w:eastAsia="宋体" w:cs="Arial"/>
          <w:szCs w:val="20"/>
          <w:lang w:eastAsia="zh-CN"/>
        </w:rPr>
      </w:pPr>
      <w:r>
        <w:rPr>
          <w:rFonts w:ascii="Arial" w:hAnsi="Arial" w:cs="Arial"/>
          <w:lang w:eastAsia="zh-CN"/>
        </w:rPr>
        <w:t xml:space="preserve">Alt- A: X2 = 1ms </w:t>
      </w:r>
    </w:p>
    <w:p>
      <w:pPr>
        <w:pStyle w:val="132"/>
        <w:widowControl/>
        <w:numPr>
          <w:ilvl w:val="0"/>
          <w:numId w:val="9"/>
        </w:numPr>
        <w:overflowPunct w:val="0"/>
        <w:autoSpaceDE w:val="0"/>
        <w:autoSpaceDN w:val="0"/>
        <w:adjustRightInd w:val="0"/>
        <w:spacing w:after="180" w:line="240" w:lineRule="auto"/>
        <w:ind w:leftChars="0"/>
        <w:contextualSpacing/>
        <w:jc w:val="left"/>
        <w:rPr>
          <w:rFonts w:ascii="Arial" w:hAnsi="Arial" w:cs="Arial"/>
          <w:lang w:eastAsia="zh-CN"/>
        </w:rPr>
      </w:pPr>
      <w:r>
        <w:rPr>
          <w:rFonts w:ascii="Arial" w:hAnsi="Arial" w:cs="Arial"/>
          <w:lang w:eastAsia="zh-CN"/>
        </w:rPr>
        <w:t xml:space="preserve">Alt- B: X2 = 2ms </w:t>
      </w:r>
    </w:p>
    <w:p>
      <w:pPr>
        <w:pStyle w:val="132"/>
        <w:widowControl/>
        <w:numPr>
          <w:ilvl w:val="0"/>
          <w:numId w:val="9"/>
        </w:numPr>
        <w:overflowPunct w:val="0"/>
        <w:autoSpaceDE w:val="0"/>
        <w:autoSpaceDN w:val="0"/>
        <w:adjustRightInd w:val="0"/>
        <w:spacing w:after="180" w:line="240" w:lineRule="auto"/>
        <w:ind w:leftChars="0"/>
        <w:contextualSpacing/>
        <w:jc w:val="left"/>
        <w:rPr>
          <w:rFonts w:ascii="Arial" w:hAnsi="Arial" w:cs="Arial"/>
          <w:lang w:eastAsia="zh-CN"/>
        </w:rPr>
      </w:pPr>
      <w:r>
        <w:rPr>
          <w:rFonts w:ascii="Arial" w:hAnsi="Arial" w:cs="Arial"/>
          <w:lang w:eastAsia="zh-CN"/>
        </w:rPr>
        <w:t xml:space="preserve">Alt- C: X2 = 3ms </w:t>
      </w:r>
    </w:p>
    <w:p>
      <w:pPr>
        <w:pStyle w:val="132"/>
        <w:widowControl/>
        <w:numPr>
          <w:ilvl w:val="0"/>
          <w:numId w:val="9"/>
        </w:numPr>
        <w:overflowPunct w:val="0"/>
        <w:autoSpaceDE w:val="0"/>
        <w:autoSpaceDN w:val="0"/>
        <w:adjustRightInd w:val="0"/>
        <w:spacing w:after="180" w:line="240" w:lineRule="auto"/>
        <w:ind w:leftChars="0"/>
        <w:contextualSpacing/>
        <w:jc w:val="left"/>
        <w:rPr>
          <w:rFonts w:ascii="Arial" w:hAnsi="Arial" w:cs="Arial"/>
          <w:lang w:eastAsia="zh-CN"/>
        </w:rPr>
      </w:pPr>
      <w:r>
        <w:rPr>
          <w:rFonts w:ascii="Arial" w:hAnsi="Arial" w:cs="Arial"/>
          <w:lang w:eastAsia="zh-CN"/>
        </w:rPr>
        <w:t xml:space="preserve">Alt- E: X2 = 1ms for NB-IoT, X2 = 4ms for eMTC </w:t>
      </w:r>
    </w:p>
    <w:p>
      <w:pPr>
        <w:rPr>
          <w:rFonts w:ascii="Arial" w:hAnsi="Arial" w:cs="Arial"/>
          <w:bCs/>
          <w:iCs/>
          <w:highlight w:val="green"/>
          <w:shd w:val="clear" w:color="auto" w:fill="FFFF00"/>
        </w:rPr>
      </w:pPr>
    </w:p>
    <w:p>
      <w:pPr>
        <w:rPr>
          <w:rFonts w:ascii="Arial" w:hAnsi="Arial" w:eastAsia="宋体" w:cs="Arial"/>
          <w:i/>
          <w:lang w:eastAsia="zh-CN"/>
        </w:rPr>
      </w:pPr>
      <w:r>
        <w:rPr>
          <w:rFonts w:ascii="Arial" w:hAnsi="Arial" w:cs="Arial"/>
          <w:bCs/>
          <w:iCs/>
          <w:highlight w:val="green"/>
          <w:shd w:val="clear" w:color="auto" w:fill="FFFF00"/>
        </w:rPr>
        <w:t>Agreement</w:t>
      </w:r>
    </w:p>
    <w:p>
      <w:pPr>
        <w:rPr>
          <w:rFonts w:ascii="Arial" w:hAnsi="Arial" w:eastAsia="Batang" w:cs="Arial"/>
          <w:bCs/>
          <w:iCs/>
          <w:lang w:eastAsia="en-US"/>
        </w:rPr>
      </w:pPr>
      <w:r>
        <w:rPr>
          <w:rFonts w:ascii="Arial" w:hAnsi="Arial" w:cs="Arial"/>
          <w:iCs/>
        </w:rPr>
        <w:t>New texts for GNSS measurement gaps for NB-IoT and eMTC in TS36.213 should be added to capture the determination of the start time of GNSS measurement gap triggered by MAC CE.</w:t>
      </w:r>
    </w:p>
    <w:p>
      <w:pPr>
        <w:rPr>
          <w:rFonts w:ascii="Arial" w:hAnsi="Arial" w:eastAsia="等线" w:cs="Arial"/>
          <w:iCs/>
          <w:lang w:eastAsia="zh-CN"/>
        </w:rPr>
      </w:pPr>
    </w:p>
    <w:p>
      <w:pPr>
        <w:rPr>
          <w:rFonts w:ascii="Arial" w:hAnsi="Arial" w:eastAsia="宋体" w:cs="Arial"/>
          <w:i/>
          <w:lang w:val="en-US" w:eastAsia="zh-CN"/>
        </w:rPr>
      </w:pPr>
      <w:r>
        <w:rPr>
          <w:rFonts w:ascii="Arial" w:hAnsi="Arial" w:cs="Arial"/>
          <w:bCs/>
          <w:iCs/>
          <w:highlight w:val="green"/>
          <w:shd w:val="clear" w:color="auto" w:fill="FFFF00"/>
        </w:rPr>
        <w:t>Agreement</w:t>
      </w:r>
    </w:p>
    <w:p>
      <w:pPr>
        <w:rPr>
          <w:rFonts w:ascii="Arial" w:hAnsi="Arial" w:eastAsia="Batang" w:cs="Arial"/>
          <w:lang w:eastAsia="zh-CN"/>
        </w:rPr>
      </w:pPr>
      <w:r>
        <w:rPr>
          <w:rFonts w:ascii="Arial" w:hAnsi="Arial" w:eastAsia="宋体" w:cs="Arial"/>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pPr>
        <w:rPr>
          <w:rFonts w:ascii="Arial" w:hAnsi="Arial" w:cs="Arial"/>
          <w:szCs w:val="24"/>
          <w:lang w:eastAsia="zh-CN"/>
        </w:rPr>
      </w:pPr>
    </w:p>
    <w:p>
      <w:pPr>
        <w:rPr>
          <w:rFonts w:ascii="Arial" w:hAnsi="Arial" w:eastAsia="宋体" w:cs="Arial"/>
          <w:i/>
          <w:lang w:val="en-US" w:eastAsia="zh-CN"/>
        </w:rPr>
      </w:pPr>
      <w:r>
        <w:rPr>
          <w:rFonts w:ascii="Arial" w:hAnsi="Arial" w:cs="Arial"/>
          <w:bCs/>
          <w:iCs/>
          <w:highlight w:val="green"/>
          <w:shd w:val="clear" w:color="auto" w:fill="FFFF00"/>
        </w:rPr>
        <w:t>Agreement</w:t>
      </w:r>
    </w:p>
    <w:p>
      <w:pPr>
        <w:rPr>
          <w:rFonts w:ascii="Arial" w:hAnsi="Arial" w:eastAsia="Batang" w:cs="Arial"/>
          <w:lang w:eastAsia="en-US"/>
        </w:rPr>
      </w:pPr>
      <w:r>
        <w:rPr>
          <w:rFonts w:ascii="Arial" w:hAnsi="Arial" w:cs="Arial"/>
        </w:rPr>
        <w:t>Endorsed the TP below for TS36.213, and leave it to the spec editor whether to create new clauses for this TP and if so to decide the title of the new clauses.</w:t>
      </w:r>
    </w:p>
    <w:p>
      <w:pPr>
        <w:pStyle w:val="132"/>
        <w:widowControl/>
        <w:numPr>
          <w:ilvl w:val="0"/>
          <w:numId w:val="10"/>
        </w:numPr>
        <w:overflowPunct w:val="0"/>
        <w:autoSpaceDE w:val="0"/>
        <w:autoSpaceDN w:val="0"/>
        <w:adjustRightInd w:val="0"/>
        <w:spacing w:after="180" w:line="240" w:lineRule="auto"/>
        <w:ind w:leftChars="0"/>
        <w:contextualSpacing/>
        <w:jc w:val="left"/>
        <w:rPr>
          <w:rFonts w:ascii="Arial" w:hAnsi="Arial" w:cs="Arial"/>
          <w:szCs w:val="20"/>
          <w:lang w:eastAsia="zh-CN"/>
        </w:rPr>
      </w:pPr>
      <w:r>
        <w:rPr>
          <w:rFonts w:ascii="Arial" w:hAnsi="Arial" w:eastAsia="等线" w:cs="Arial"/>
          <w:b/>
          <w:u w:val="single"/>
          <w:lang w:eastAsia="zh-CN"/>
        </w:rPr>
        <w:t>Reason for change</w:t>
      </w:r>
      <w:r>
        <w:rPr>
          <w:rFonts w:ascii="Arial" w:hAnsi="Arial" w:eastAsia="等线" w:cs="Arial"/>
          <w:b/>
          <w:lang w:eastAsia="zh-CN"/>
        </w:rPr>
        <w:t xml:space="preserve">: </w:t>
      </w:r>
      <w:r>
        <w:rPr>
          <w:rFonts w:ascii="Arial" w:hAnsi="Arial" w:cs="Arial"/>
          <w:lang w:eastAsia="zh-CN"/>
        </w:rPr>
        <w:t>In th</w:t>
      </w:r>
      <w:r>
        <w:rPr>
          <w:rFonts w:ascii="Arial" w:hAnsi="Arial" w:cs="Arial"/>
          <w:color w:val="000000"/>
          <w:lang w:eastAsia="zh-CN"/>
        </w:rPr>
        <w:t>e</w:t>
      </w:r>
      <w:r>
        <w:rPr>
          <w:rFonts w:ascii="Arial" w:hAnsi="Arial" w:cs="Arial"/>
          <w:color w:val="000000"/>
        </w:rPr>
        <w:t xml:space="preserve"> TS</w:t>
      </w:r>
      <w:r>
        <w:rPr>
          <w:rFonts w:ascii="Arial" w:hAnsi="Arial" w:cs="Arial"/>
          <w:lang w:eastAsia="zh-CN"/>
        </w:rPr>
        <w:t xml:space="preserve"> 36.213 v18.0.0, </w:t>
      </w:r>
      <w:r>
        <w:rPr>
          <w:rFonts w:ascii="Arial" w:hAnsi="Arial" w:cs="Arial"/>
          <w:iCs/>
        </w:rPr>
        <w:t>the determination of the start time of GNSS measurement gap triggered by MAC CE</w:t>
      </w:r>
      <w:r>
        <w:rPr>
          <w:rFonts w:ascii="Arial" w:hAnsi="Arial" w:cs="Arial"/>
          <w:lang w:eastAsia="zh-CN"/>
        </w:rPr>
        <w:t xml:space="preserve"> for IoT NTN is not captured.</w:t>
      </w:r>
    </w:p>
    <w:p>
      <w:pPr>
        <w:pStyle w:val="132"/>
        <w:widowControl/>
        <w:numPr>
          <w:ilvl w:val="0"/>
          <w:numId w:val="10"/>
        </w:numPr>
        <w:overflowPunct w:val="0"/>
        <w:autoSpaceDE w:val="0"/>
        <w:autoSpaceDN w:val="0"/>
        <w:adjustRightInd w:val="0"/>
        <w:spacing w:after="180" w:line="240" w:lineRule="auto"/>
        <w:ind w:leftChars="0"/>
        <w:contextualSpacing/>
        <w:jc w:val="left"/>
        <w:rPr>
          <w:rFonts w:ascii="Arial" w:hAnsi="Arial" w:cs="Arial"/>
          <w:lang w:eastAsia="zh-CN"/>
        </w:rPr>
      </w:pPr>
      <w:r>
        <w:rPr>
          <w:rFonts w:ascii="Arial" w:hAnsi="Arial" w:cs="Arial"/>
          <w:b/>
          <w:u w:val="single"/>
          <w:lang w:eastAsia="zh-CN"/>
        </w:rPr>
        <w:t>Summary of change</w:t>
      </w:r>
      <w:r>
        <w:rPr>
          <w:rFonts w:ascii="Arial" w:hAnsi="Arial" w:cs="Arial"/>
          <w:b/>
          <w:lang w:eastAsia="zh-CN"/>
        </w:rPr>
        <w:t xml:space="preserve">: </w:t>
      </w:r>
      <w:r>
        <w:rPr>
          <w:rFonts w:ascii="Arial" w:hAnsi="Arial" w:cs="Arial"/>
          <w:lang w:eastAsia="zh-CN"/>
        </w:rPr>
        <w:t xml:space="preserve">Introduce </w:t>
      </w:r>
      <w:r>
        <w:rPr>
          <w:rFonts w:ascii="Arial" w:hAnsi="Arial" w:cs="Arial"/>
          <w:iCs/>
        </w:rPr>
        <w:t>the determination of the start time of GNSS measurement gap triggered by MAC CE</w:t>
      </w:r>
      <w:r>
        <w:rPr>
          <w:rFonts w:ascii="Arial" w:hAnsi="Arial" w:cs="Arial"/>
          <w:lang w:eastAsia="zh-CN"/>
        </w:rPr>
        <w:t xml:space="preserve"> for IoT NTN in TS36.213.</w:t>
      </w:r>
    </w:p>
    <w:p>
      <w:pPr>
        <w:pStyle w:val="132"/>
        <w:widowControl/>
        <w:numPr>
          <w:ilvl w:val="0"/>
          <w:numId w:val="10"/>
        </w:numPr>
        <w:overflowPunct w:val="0"/>
        <w:autoSpaceDE w:val="0"/>
        <w:autoSpaceDN w:val="0"/>
        <w:adjustRightInd w:val="0"/>
        <w:spacing w:line="240" w:lineRule="auto"/>
        <w:ind w:left="714" w:leftChars="0" w:hanging="357"/>
        <w:contextualSpacing/>
        <w:jc w:val="left"/>
        <w:rPr>
          <w:rFonts w:ascii="Arial" w:hAnsi="Arial" w:cs="Arial"/>
          <w:lang w:eastAsia="zh-CN"/>
        </w:rPr>
      </w:pPr>
      <w:r>
        <w:rPr>
          <w:rFonts w:ascii="Arial" w:hAnsi="Arial" w:cs="Arial"/>
          <w:b/>
          <w:u w:val="single"/>
          <w:lang w:eastAsia="zh-CN"/>
        </w:rPr>
        <w:t>Consequence if not approved</w:t>
      </w:r>
      <w:r>
        <w:rPr>
          <w:rFonts w:ascii="Arial" w:hAnsi="Arial" w:cs="Arial"/>
          <w:b/>
          <w:lang w:eastAsia="zh-CN"/>
        </w:rPr>
        <w:t xml:space="preserve">: </w:t>
      </w:r>
      <w:r>
        <w:rPr>
          <w:rFonts w:ascii="Arial" w:hAnsi="Arial" w:cs="Arial"/>
          <w:lang w:eastAsia="zh-CN"/>
        </w:rPr>
        <w:t xml:space="preserve">The RAN1 agreements for </w:t>
      </w:r>
      <w:r>
        <w:rPr>
          <w:rFonts w:ascii="Arial" w:hAnsi="Arial" w:cs="Arial"/>
          <w:iCs/>
        </w:rPr>
        <w:t>the start time of GNSS measurement gap triggered by MAC CE</w:t>
      </w:r>
      <w:r>
        <w:rPr>
          <w:rFonts w:ascii="Arial" w:hAnsi="Arial" w:cs="Arial"/>
          <w:lang w:eastAsia="zh-CN"/>
        </w:rPr>
        <w:t xml:space="preserve"> are not captured in specification. </w:t>
      </w:r>
    </w:p>
    <w:p>
      <w:pPr>
        <w:pStyle w:val="132"/>
        <w:widowControl/>
        <w:overflowPunct w:val="0"/>
        <w:autoSpaceDE w:val="0"/>
        <w:autoSpaceDN w:val="0"/>
        <w:adjustRightInd w:val="0"/>
        <w:spacing w:line="240" w:lineRule="auto"/>
        <w:ind w:left="714" w:leftChars="0"/>
        <w:contextualSpacing/>
        <w:jc w:val="left"/>
        <w:rPr>
          <w:rFonts w:ascii="Arial" w:hAnsi="Arial" w:cs="Arial"/>
          <w:lang w:eastAsia="zh-CN"/>
        </w:rPr>
      </w:pPr>
    </w:p>
    <w:tbl>
      <w:tblPr>
        <w:tblStyle w:val="51"/>
        <w:tblW w:w="0" w:type="auto"/>
        <w:tblInd w:w="392"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92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20" w:hRule="atLeast"/>
        </w:trPr>
        <w:tc>
          <w:tcPr>
            <w:tcW w:w="9922" w:type="dxa"/>
            <w:tcBorders>
              <w:top w:val="double" w:color="A5A5A5" w:sz="4" w:space="0"/>
              <w:left w:val="double" w:color="A5A5A5" w:sz="4" w:space="0"/>
              <w:bottom w:val="double" w:color="A5A5A5" w:sz="4" w:space="0"/>
              <w:right w:val="double" w:color="A5A5A5" w:sz="4" w:space="0"/>
            </w:tcBorders>
          </w:tcPr>
          <w:p>
            <w:pPr>
              <w:ind w:left="558" w:leftChars="59" w:hanging="440"/>
              <w:rPr>
                <w:rFonts w:ascii="Arial" w:hAnsi="Arial" w:cs="Arial"/>
                <w:color w:val="FF0000"/>
                <w:sz w:val="16"/>
                <w:szCs w:val="16"/>
                <w:lang w:val="en-US" w:eastAsia="en-US"/>
              </w:rPr>
            </w:pPr>
            <w:r>
              <w:rPr>
                <w:rFonts w:ascii="Arial" w:hAnsi="Arial" w:cs="Arial"/>
                <w:color w:val="FF0000"/>
                <w:sz w:val="16"/>
                <w:szCs w:val="16"/>
                <w:lang w:val="en-US"/>
              </w:rPr>
              <w:t>==================   Start of TP #1 for TS 36.213 ===================</w:t>
            </w:r>
          </w:p>
          <w:p>
            <w:pPr>
              <w:jc w:val="center"/>
              <w:rPr>
                <w:rFonts w:ascii="Arial" w:hAnsi="Arial" w:cs="Arial"/>
                <w:color w:val="FF0000"/>
                <w:sz w:val="16"/>
                <w:szCs w:val="16"/>
                <w:lang w:val="en-US" w:eastAsia="zh-CN"/>
              </w:rPr>
            </w:pPr>
            <w:r>
              <w:rPr>
                <w:rFonts w:ascii="Arial" w:hAnsi="Arial" w:eastAsia="MS Mincho" w:cs="Arial"/>
                <w:color w:val="FF0000"/>
                <w:sz w:val="16"/>
                <w:szCs w:val="16"/>
                <w:lang w:val="en-US" w:eastAsia="zh-CN"/>
              </w:rPr>
              <w:t>&lt; Unchanged parts are omitted &gt;</w:t>
            </w:r>
          </w:p>
          <w:p>
            <w:pPr>
              <w:rPr>
                <w:rFonts w:ascii="Arial" w:hAnsi="Arial" w:cs="Arial"/>
                <w:szCs w:val="24"/>
                <w:lang w:eastAsia="zh-CN"/>
              </w:rPr>
            </w:pPr>
            <w:bookmarkStart w:id="0" w:name="_Toc148101664"/>
            <w:r>
              <w:rPr>
                <w:rFonts w:ascii="Arial" w:hAnsi="Arial" w:cs="Arial"/>
                <w:b/>
                <w:bCs/>
                <w:sz w:val="16"/>
                <w:szCs w:val="16"/>
              </w:rPr>
              <w:t>16.10</w:t>
            </w:r>
            <w:r>
              <w:rPr>
                <w:rFonts w:ascii="Arial" w:hAnsi="Arial" w:cs="Arial"/>
                <w:lang w:eastAsia="zh-CN"/>
              </w:rPr>
              <w:tab/>
            </w:r>
            <w:r>
              <w:rPr>
                <w:rFonts w:ascii="Arial" w:hAnsi="Arial" w:cs="Arial"/>
                <w:b/>
                <w:bCs/>
                <w:sz w:val="16"/>
                <w:szCs w:val="16"/>
              </w:rPr>
              <w:t>[GNSS measurement gap related procedures for a NB-IoT UE]</w:t>
            </w:r>
            <w:bookmarkEnd w:id="0"/>
          </w:p>
          <w:p>
            <w:pPr>
              <w:rPr>
                <w:rFonts w:ascii="Arial" w:hAnsi="Arial" w:cs="Arial"/>
                <w:sz w:val="16"/>
                <w:szCs w:val="16"/>
                <w:lang w:eastAsia="zh-CN"/>
              </w:rPr>
            </w:pPr>
            <w:r>
              <w:rPr>
                <w:rFonts w:ascii="Arial" w:hAnsi="Arial" w:cs="Arial"/>
                <w:sz w:val="16"/>
                <w:szCs w:val="16"/>
                <w:lang w:eastAsia="zh-CN"/>
              </w:rPr>
              <w:t xml:space="preserve">For a NB-IoT UE in a NTN FDD serving cell, when the UE receives a GNSS Measurement Command MAC CE in a NPDSCH ending in DL subframe </w:t>
            </w:r>
            <w:r>
              <w:rPr>
                <w:rFonts w:ascii="Arial" w:hAnsi="Arial" w:cs="Arial"/>
                <w:i/>
                <w:iCs/>
                <w:sz w:val="16"/>
                <w:szCs w:val="16"/>
                <w:lang w:eastAsia="zh-CN"/>
              </w:rPr>
              <w:t>n</w:t>
            </w:r>
          </w:p>
          <w:p>
            <w:pPr>
              <w:numPr>
                <w:ilvl w:val="0"/>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if the UE shall not provide HARQ-ACK information for the HARQ process associated with the transport block in the NPDSCH carrying the GNSS Measurement Command MAC CE, </w:t>
            </w:r>
          </w:p>
          <w:p>
            <w:pPr>
              <w:numPr>
                <w:ilvl w:val="1"/>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the UE shall assume the start of the measurement gap in subframe </w:t>
            </w:r>
            <w:r>
              <w:rPr>
                <w:rFonts w:ascii="Arial" w:hAnsi="Arial" w:cs="Arial"/>
                <w:i/>
                <w:sz w:val="16"/>
                <w:szCs w:val="16"/>
                <w:lang w:eastAsia="zh-CN"/>
              </w:rPr>
              <w:t>n</w:t>
            </w:r>
            <w:r>
              <w:rPr>
                <w:rFonts w:ascii="Arial" w:hAnsi="Arial" w:cs="Arial"/>
                <w:sz w:val="16"/>
                <w:szCs w:val="16"/>
                <w:lang w:eastAsia="zh-CN"/>
              </w:rPr>
              <w:t>+12;</w:t>
            </w:r>
          </w:p>
          <w:p>
            <w:pPr>
              <w:numPr>
                <w:ilvl w:val="0"/>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otherwise, </w:t>
            </w:r>
          </w:p>
          <w:p>
            <w:pPr>
              <w:numPr>
                <w:ilvl w:val="1"/>
                <w:numId w:val="11"/>
              </w:numPr>
              <w:overflowPunct/>
              <w:autoSpaceDE/>
              <w:autoSpaceDN/>
              <w:adjustRightInd/>
              <w:spacing w:after="0" w:line="240" w:lineRule="auto"/>
              <w:contextualSpacing/>
              <w:jc w:val="both"/>
              <w:rPr>
                <w:rFonts w:ascii="Arial" w:hAnsi="Arial" w:cs="Arial"/>
                <w:sz w:val="16"/>
                <w:szCs w:val="16"/>
                <w:lang w:eastAsia="zh-CN"/>
              </w:rPr>
            </w:pPr>
            <w:r>
              <w:rPr>
                <w:rFonts w:ascii="Arial" w:hAnsi="Arial" w:cs="Arial"/>
                <w:sz w:val="16"/>
                <w:szCs w:val="16"/>
                <w:lang w:eastAsia="zh-CN"/>
              </w:rPr>
              <w:t xml:space="preserve">the UE shall assume the start of the measurement gap in subframe </w:t>
            </w:r>
            <w:r>
              <w:rPr>
                <w:rFonts w:ascii="Arial" w:hAnsi="Arial" w:cs="Arial"/>
                <w:i/>
                <w:iCs/>
                <w:sz w:val="16"/>
                <w:szCs w:val="16"/>
                <w:lang w:eastAsia="zh-CN"/>
              </w:rPr>
              <w:t>k</w:t>
            </w:r>
            <w:r>
              <w:rPr>
                <w:rFonts w:ascii="Arial" w:hAnsi="Arial" w:cs="Arial"/>
                <w:i/>
                <w:sz w:val="16"/>
                <w:szCs w:val="16"/>
                <w:lang w:eastAsia="zh-CN"/>
              </w:rPr>
              <w:t>+</w:t>
            </w:r>
            <w:r>
              <w:rPr>
                <w:rFonts w:ascii="Arial" w:hAnsi="Arial" w:cs="Arial"/>
                <w:sz w:val="16"/>
                <w:szCs w:val="16"/>
                <w:lang w:eastAsia="zh-CN"/>
              </w:rPr>
              <w:t xml:space="preserve">2, where </w:t>
            </w:r>
            <w:r>
              <w:rPr>
                <w:rFonts w:ascii="Arial" w:hAnsi="Arial" w:cs="Arial"/>
                <w:i/>
                <w:iCs/>
                <w:sz w:val="16"/>
                <w:szCs w:val="16"/>
                <w:lang w:eastAsia="zh-CN"/>
              </w:rPr>
              <w:t>k</w:t>
            </w:r>
            <w:r>
              <w:rPr>
                <w:rFonts w:ascii="Arial" w:hAnsi="Arial" w:cs="Arial"/>
                <w:sz w:val="16"/>
                <w:szCs w:val="16"/>
                <w:lang w:eastAsia="zh-CN"/>
              </w:rPr>
              <w:t xml:space="preserve"> is the first DL subframe after the end of the transmission of the NPUSCH carrying ACK/NACK response for the HARQ process associated with the transport block in the NPDSCH.   </w:t>
            </w:r>
          </w:p>
          <w:p>
            <w:pPr>
              <w:jc w:val="center"/>
              <w:rPr>
                <w:rFonts w:ascii="Arial" w:hAnsi="Arial" w:eastAsia="等线" w:cs="Arial"/>
                <w:color w:val="FF0000"/>
                <w:sz w:val="16"/>
                <w:szCs w:val="16"/>
                <w:lang w:val="en-US" w:eastAsia="zh-CN"/>
              </w:rPr>
            </w:pPr>
            <w:r>
              <w:rPr>
                <w:rFonts w:ascii="Arial" w:hAnsi="Arial" w:eastAsia="MS Mincho" w:cs="Arial"/>
                <w:color w:val="FF0000"/>
                <w:sz w:val="16"/>
                <w:szCs w:val="16"/>
                <w:lang w:val="en-US" w:eastAsia="zh-CN"/>
              </w:rPr>
              <w:t>&lt; Unchanged parts are omitted &gt;</w:t>
            </w:r>
          </w:p>
          <w:p>
            <w:pPr>
              <w:rPr>
                <w:rFonts w:ascii="Arial" w:hAnsi="Arial" w:eastAsia="Batang" w:cs="Arial"/>
                <w:szCs w:val="24"/>
                <w:lang w:eastAsia="zh-CN"/>
              </w:rPr>
            </w:pPr>
            <w:bookmarkStart w:id="1" w:name="_Toc148101665"/>
            <w:r>
              <w:rPr>
                <w:rFonts w:ascii="Arial" w:hAnsi="Arial" w:cs="Arial"/>
                <w:b/>
                <w:bCs/>
                <w:sz w:val="16"/>
                <w:szCs w:val="16"/>
              </w:rPr>
              <w:t>18</w:t>
            </w:r>
            <w:r>
              <w:rPr>
                <w:rFonts w:ascii="Arial" w:hAnsi="Arial" w:cs="Arial"/>
                <w:lang w:eastAsia="zh-CN"/>
              </w:rPr>
              <w:tab/>
            </w:r>
            <w:r>
              <w:rPr>
                <w:rFonts w:ascii="Arial" w:hAnsi="Arial" w:cs="Arial"/>
                <w:b/>
                <w:bCs/>
                <w:sz w:val="16"/>
                <w:szCs w:val="16"/>
              </w:rPr>
              <w:t>[GNSS measurement gap related procedures for a BL/CE UE]</w:t>
            </w:r>
            <w:bookmarkEnd w:id="1"/>
          </w:p>
          <w:p>
            <w:pPr>
              <w:rPr>
                <w:rFonts w:ascii="Arial" w:hAnsi="Arial" w:cs="Arial"/>
                <w:sz w:val="16"/>
                <w:szCs w:val="16"/>
                <w:lang w:eastAsia="zh-CN"/>
              </w:rPr>
            </w:pPr>
            <w:r>
              <w:rPr>
                <w:rFonts w:ascii="Arial" w:hAnsi="Arial" w:cs="Arial"/>
                <w:sz w:val="16"/>
                <w:szCs w:val="16"/>
                <w:lang w:eastAsia="zh-CN"/>
              </w:rPr>
              <w:t xml:space="preserve">For a BL/CE UE in a NTN FDD serving cell, when the UE receives a GNSS Measurement Command MAC CE in a PDSCH ending in DL subframe </w:t>
            </w:r>
            <w:r>
              <w:rPr>
                <w:rFonts w:ascii="Arial" w:hAnsi="Arial" w:cs="Arial"/>
                <w:i/>
                <w:iCs/>
                <w:sz w:val="16"/>
                <w:szCs w:val="16"/>
                <w:lang w:eastAsia="zh-CN"/>
              </w:rPr>
              <w:t>n</w:t>
            </w:r>
          </w:p>
          <w:p>
            <w:pPr>
              <w:numPr>
                <w:ilvl w:val="0"/>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if the UE shall not provide HARQ-ACK information for the HARQ process associated with the transport block in the PDSCH carrying the GNSS Measurement Command MAC CE, </w:t>
            </w:r>
          </w:p>
          <w:p>
            <w:pPr>
              <w:numPr>
                <w:ilvl w:val="1"/>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the UE shall assume the start of the measurement gap in subframe </w:t>
            </w:r>
            <w:r>
              <w:rPr>
                <w:rFonts w:ascii="Arial" w:hAnsi="Arial" w:cs="Arial"/>
                <w:i/>
                <w:sz w:val="16"/>
                <w:szCs w:val="16"/>
                <w:lang w:eastAsia="zh-CN"/>
              </w:rPr>
              <w:t>n</w:t>
            </w:r>
            <w:r>
              <w:rPr>
                <w:rFonts w:ascii="Arial" w:hAnsi="Arial" w:cs="Arial"/>
                <w:sz w:val="16"/>
                <w:szCs w:val="16"/>
                <w:lang w:eastAsia="zh-CN"/>
              </w:rPr>
              <w:t>+6;</w:t>
            </w:r>
          </w:p>
          <w:p>
            <w:pPr>
              <w:numPr>
                <w:ilvl w:val="0"/>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otherwise, </w:t>
            </w:r>
          </w:p>
          <w:p>
            <w:pPr>
              <w:numPr>
                <w:ilvl w:val="1"/>
                <w:numId w:val="11"/>
              </w:numPr>
              <w:overflowPunct/>
              <w:autoSpaceDE/>
              <w:autoSpaceDN/>
              <w:adjustRightInd/>
              <w:spacing w:after="0" w:line="240" w:lineRule="auto"/>
              <w:contextualSpacing/>
              <w:rPr>
                <w:rFonts w:ascii="Arial" w:hAnsi="Arial" w:cs="Arial"/>
                <w:sz w:val="16"/>
                <w:szCs w:val="16"/>
                <w:lang w:eastAsia="zh-CN"/>
              </w:rPr>
            </w:pPr>
            <w:r>
              <w:rPr>
                <w:rFonts w:ascii="Arial" w:hAnsi="Arial" w:cs="Arial"/>
                <w:sz w:val="16"/>
                <w:szCs w:val="16"/>
                <w:lang w:eastAsia="zh-CN"/>
              </w:rPr>
              <w:t xml:space="preserve">the UE shall assume the start of the measurement gap in subframe </w:t>
            </w:r>
            <w:r>
              <w:rPr>
                <w:rFonts w:ascii="Arial" w:hAnsi="Arial" w:cs="Arial"/>
                <w:i/>
                <w:iCs/>
                <w:sz w:val="16"/>
                <w:szCs w:val="16"/>
                <w:lang w:eastAsia="zh-CN"/>
              </w:rPr>
              <w:t>k</w:t>
            </w:r>
            <w:r>
              <w:rPr>
                <w:rFonts w:ascii="Arial" w:hAnsi="Arial" w:cs="Arial"/>
                <w:i/>
                <w:sz w:val="16"/>
                <w:szCs w:val="16"/>
                <w:lang w:eastAsia="zh-CN"/>
              </w:rPr>
              <w:t>+</w:t>
            </w:r>
            <w:r>
              <w:rPr>
                <w:rFonts w:ascii="Arial" w:hAnsi="Arial" w:cs="Arial"/>
                <w:sz w:val="16"/>
                <w:szCs w:val="16"/>
                <w:lang w:eastAsia="zh-CN"/>
              </w:rPr>
              <w:t xml:space="preserve">2, where </w:t>
            </w:r>
            <w:r>
              <w:rPr>
                <w:rFonts w:ascii="Arial" w:hAnsi="Arial" w:cs="Arial"/>
                <w:i/>
                <w:iCs/>
                <w:sz w:val="16"/>
                <w:szCs w:val="16"/>
                <w:lang w:eastAsia="zh-CN"/>
              </w:rPr>
              <w:t>k</w:t>
            </w:r>
            <w:r>
              <w:rPr>
                <w:rFonts w:ascii="Arial" w:hAnsi="Arial" w:cs="Arial"/>
                <w:sz w:val="16"/>
                <w:szCs w:val="16"/>
                <w:lang w:eastAsia="zh-CN"/>
              </w:rPr>
              <w:t xml:space="preserve"> is the first DL subframe after the end of HARQ-ACK transmission for the HARQ process associated with the transport block in the PDSCH. </w:t>
            </w:r>
          </w:p>
          <w:p>
            <w:pPr>
              <w:jc w:val="center"/>
              <w:rPr>
                <w:rFonts w:ascii="Arial" w:hAnsi="Arial" w:eastAsia="宋体" w:cs="Arial"/>
                <w:color w:val="000000"/>
                <w:sz w:val="16"/>
                <w:szCs w:val="16"/>
                <w:lang w:eastAsia="zh-CN"/>
              </w:rPr>
            </w:pPr>
            <w:r>
              <w:rPr>
                <w:rFonts w:ascii="Arial" w:hAnsi="Arial" w:cs="Arial"/>
                <w:color w:val="FF0000"/>
                <w:sz w:val="16"/>
                <w:szCs w:val="16"/>
                <w:lang w:val="en-US"/>
              </w:rPr>
              <w:t>================End of TP #1 for TS 36.213 ===================</w:t>
            </w:r>
          </w:p>
        </w:tc>
      </w:tr>
    </w:tbl>
    <w:p>
      <w:pPr>
        <w:rPr>
          <w:rFonts w:ascii="Arial" w:hAnsi="Arial" w:eastAsia="Batang" w:cs="Arial"/>
          <w:szCs w:val="24"/>
          <w:lang w:eastAsia="zh-CN"/>
        </w:rPr>
      </w:pPr>
    </w:p>
    <w:p>
      <w:pPr>
        <w:rPr>
          <w:rFonts w:ascii="Arial" w:hAnsi="Arial" w:cs="Arial"/>
          <w:highlight w:val="cyan"/>
          <w:lang w:eastAsia="zh-CN"/>
        </w:rPr>
      </w:pPr>
    </w:p>
    <w:p>
      <w:pPr>
        <w:outlineLvl w:val="5"/>
        <w:rPr>
          <w:rFonts w:ascii="Arial" w:hAnsi="Arial" w:cs="Arial"/>
          <w:b/>
          <w:lang w:eastAsia="en-US"/>
        </w:rPr>
      </w:pPr>
      <w:r>
        <w:rPr>
          <w:rFonts w:ascii="Arial" w:hAnsi="Arial" w:cs="Arial"/>
          <w:b/>
          <w:lang w:eastAsia="en-US"/>
        </w:rPr>
        <w:t>RAN1#115, November 13</w:t>
      </w:r>
      <w:r>
        <w:rPr>
          <w:rFonts w:ascii="Arial" w:hAnsi="Arial" w:cs="Arial"/>
          <w:b/>
          <w:vertAlign w:val="superscript"/>
          <w:lang w:eastAsia="en-US"/>
        </w:rPr>
        <w:t>th</w:t>
      </w:r>
      <w:r>
        <w:rPr>
          <w:rFonts w:ascii="Arial" w:hAnsi="Arial" w:cs="Arial"/>
          <w:b/>
          <w:lang w:eastAsia="en-US"/>
        </w:rPr>
        <w:t xml:space="preserve"> – November 17</w:t>
      </w:r>
      <w:r>
        <w:rPr>
          <w:rFonts w:ascii="Arial" w:hAnsi="Arial" w:cs="Arial"/>
          <w:b/>
          <w:vertAlign w:val="superscript"/>
          <w:lang w:eastAsia="en-US"/>
        </w:rPr>
        <w:t>th</w:t>
      </w:r>
      <w:r>
        <w:rPr>
          <w:rFonts w:ascii="Arial" w:hAnsi="Arial" w:cs="Arial"/>
          <w:b/>
          <w:lang w:eastAsia="en-US"/>
        </w:rPr>
        <w:t>, 2023, Chicago, USA</w:t>
      </w:r>
    </w:p>
    <w:p>
      <w:pPr>
        <w:rPr>
          <w:rFonts w:ascii="Arial" w:hAnsi="Arial" w:cs="Arial"/>
          <w:b/>
          <w:lang w:eastAsia="ja-JP"/>
        </w:rPr>
      </w:pPr>
      <w:r>
        <w:rPr>
          <w:rFonts w:ascii="Arial" w:hAnsi="Arial" w:cs="Arial"/>
          <w:b/>
          <w:u w:val="single"/>
          <w:lang w:eastAsia="ja-JP"/>
        </w:rPr>
        <w:t>Agreements on “8.13.3 Disabling of HARQ feedback for IoT NTN”</w:t>
      </w:r>
    </w:p>
    <w:p>
      <w:pPr>
        <w:textAlignment w:val="baseline"/>
        <w:rPr>
          <w:rFonts w:ascii="Arial" w:hAnsi="Arial" w:cs="Arial"/>
          <w:bCs/>
          <w:lang w:eastAsia="zh-CN"/>
        </w:rPr>
      </w:pPr>
      <w:r>
        <w:rPr>
          <w:rFonts w:ascii="Arial" w:hAnsi="Arial" w:cs="Arial"/>
          <w:bCs/>
          <w:highlight w:val="green"/>
          <w:lang w:eastAsia="zh-CN"/>
        </w:rPr>
        <w:t>Agreement</w:t>
      </w:r>
    </w:p>
    <w:p>
      <w:pPr>
        <w:rPr>
          <w:rFonts w:ascii="Arial" w:hAnsi="Arial" w:eastAsia="Batang" w:cs="Arial"/>
          <w:lang w:eastAsia="zh-CN"/>
        </w:rPr>
      </w:pPr>
      <w:r>
        <w:rPr>
          <w:rFonts w:ascii="Arial" w:hAnsi="Arial" w:cs="Arial"/>
        </w:rPr>
        <w:t>When multiple TBs are scheduled by a single DCI:</w:t>
      </w:r>
    </w:p>
    <w:p>
      <w:pPr>
        <w:pStyle w:val="132"/>
        <w:widowControl/>
        <w:numPr>
          <w:ilvl w:val="0"/>
          <w:numId w:val="12"/>
        </w:numPr>
        <w:overflowPunct w:val="0"/>
        <w:spacing w:line="240" w:lineRule="auto"/>
        <w:ind w:leftChars="0"/>
        <w:contextualSpacing/>
        <w:jc w:val="left"/>
        <w:textAlignment w:val="baseline"/>
        <w:rPr>
          <w:rFonts w:ascii="Arial" w:hAnsi="Arial" w:cs="Arial"/>
          <w:szCs w:val="20"/>
          <w:lang w:eastAsia="zh-CN"/>
        </w:rPr>
      </w:pPr>
      <w:r>
        <w:rPr>
          <w:rFonts w:ascii="Arial" w:hAnsi="Arial" w:cs="Arial"/>
          <w:szCs w:val="20"/>
          <w:lang w:eastAsia="zh-CN"/>
        </w:rPr>
        <w:t>For Option 1 + Option 3 DCI based overridden mechanism, when DCI indicates HARQ feedback enabled, then the NB-IoT UE always wait for an RTT+3ms (i.e., till subframe n+Kmac+3 in TS36.213 section 16.6) before monitoring NPDCCH.</w:t>
      </w:r>
    </w:p>
    <w:p>
      <w:pPr>
        <w:rPr>
          <w:rFonts w:ascii="Arial" w:hAnsi="Arial" w:eastAsia="Batang" w:cs="Arial"/>
          <w:szCs w:val="24"/>
          <w:lang w:eastAsia="zh-CN"/>
        </w:rPr>
      </w:pPr>
    </w:p>
    <w:p>
      <w:pPr>
        <w:textAlignment w:val="baseline"/>
        <w:rPr>
          <w:rFonts w:ascii="Arial" w:hAnsi="Arial" w:cs="Arial"/>
          <w:bCs/>
          <w:lang w:eastAsia="zh-CN"/>
        </w:rPr>
      </w:pPr>
      <w:r>
        <w:rPr>
          <w:rFonts w:ascii="Arial" w:hAnsi="Arial" w:cs="Arial"/>
          <w:bCs/>
          <w:highlight w:val="green"/>
          <w:lang w:eastAsia="zh-CN"/>
        </w:rPr>
        <w:t>Agreement</w:t>
      </w:r>
    </w:p>
    <w:p>
      <w:pPr>
        <w:rPr>
          <w:rFonts w:ascii="Arial" w:hAnsi="Arial" w:eastAsia="Batang" w:cs="Arial"/>
          <w:lang w:eastAsia="zh-CN"/>
        </w:rPr>
      </w:pPr>
      <w:r>
        <w:rPr>
          <w:rFonts w:ascii="Arial" w:hAnsi="Arial" w:cs="Arial"/>
          <w:lang w:eastAsia="zh-CN"/>
        </w:rPr>
        <w:t>It is up to editor to select TP 2-2b or TP 2-3a in section 7 of R1-2312389 to be endorsed for TS36.213 clause 7.3.</w:t>
      </w:r>
    </w:p>
    <w:p>
      <w:pPr>
        <w:rPr>
          <w:rFonts w:ascii="Arial" w:hAnsi="Arial" w:cs="Arial"/>
          <w:lang w:eastAsia="zh-CN"/>
        </w:rPr>
      </w:pPr>
    </w:p>
    <w:p>
      <w:pPr>
        <w:rPr>
          <w:rFonts w:ascii="Arial" w:hAnsi="Arial" w:cs="Arial"/>
          <w:lang w:eastAsia="zh-CN"/>
        </w:rPr>
      </w:pPr>
      <w:r>
        <w:rPr>
          <w:rFonts w:ascii="Arial" w:hAnsi="Arial" w:cs="Arial"/>
          <w:highlight w:val="green"/>
          <w:lang w:eastAsia="zh-CN"/>
        </w:rPr>
        <w:t>Agreement</w:t>
      </w:r>
    </w:p>
    <w:p>
      <w:pPr>
        <w:rPr>
          <w:rFonts w:ascii="Arial" w:hAnsi="Arial" w:cs="Arial"/>
          <w:lang w:eastAsia="zh-CN"/>
        </w:rPr>
      </w:pPr>
      <w:r>
        <w:rPr>
          <w:rFonts w:ascii="Arial" w:hAnsi="Arial" w:cs="Arial"/>
          <w:lang w:eastAsia="zh-CN"/>
        </w:rPr>
        <w:t>The TP 4-1c in section 8 of R1-2312460 is endorsed for TS36.213 clause 7.3.1.</w:t>
      </w:r>
    </w:p>
    <w:p>
      <w:pPr>
        <w:rPr>
          <w:rFonts w:ascii="Arial" w:hAnsi="Arial" w:cs="Arial"/>
          <w:highlight w:val="cyan"/>
          <w:lang w:eastAsia="zh-CN"/>
        </w:rPr>
      </w:pPr>
    </w:p>
    <w:p>
      <w:pPr>
        <w:tabs>
          <w:tab w:val="left" w:pos="567"/>
        </w:tabs>
        <w:overflowPunct/>
        <w:autoSpaceDE/>
        <w:autoSpaceDN/>
        <w:snapToGrid w:val="0"/>
        <w:spacing w:after="0"/>
        <w:rPr>
          <w:rFonts w:ascii="Arial" w:hAnsi="Arial" w:eastAsia="Yu Mincho" w:cs="Arial"/>
          <w:b/>
          <w:u w:val="single"/>
          <w:lang w:eastAsia="ja-JP"/>
        </w:rPr>
      </w:pPr>
      <w:r>
        <w:rPr>
          <w:rFonts w:ascii="Arial" w:hAnsi="Arial" w:cs="Arial"/>
          <w:b/>
          <w:u w:val="single"/>
          <w:lang w:eastAsia="ja-JP"/>
        </w:rPr>
        <w:t>Agreements on “8.13.4</w:t>
      </w:r>
      <w:r>
        <w:rPr>
          <w:rFonts w:ascii="Arial" w:hAnsi="Arial" w:cs="Arial"/>
          <w:b/>
          <w:u w:val="single"/>
          <w:lang w:eastAsia="ja-JP"/>
        </w:rPr>
        <w:tab/>
      </w:r>
      <w:r>
        <w:rPr>
          <w:rFonts w:ascii="Arial" w:hAnsi="Arial" w:cs="Arial"/>
          <w:b/>
          <w:u w:val="single"/>
          <w:lang w:eastAsia="ja-JP"/>
        </w:rPr>
        <w:t>Improved GNSS operations for IoT NTN”</w:t>
      </w:r>
    </w:p>
    <w:p>
      <w:pPr>
        <w:rPr>
          <w:rFonts w:ascii="Arial" w:hAnsi="Arial" w:cs="Arial"/>
          <w:highlight w:val="green"/>
        </w:rPr>
      </w:pPr>
    </w:p>
    <w:p>
      <w:pPr>
        <w:rPr>
          <w:rFonts w:ascii="Arial" w:hAnsi="Arial" w:cs="Arial"/>
          <w:lang w:eastAsia="en-US"/>
        </w:rPr>
      </w:pPr>
      <w:r>
        <w:rPr>
          <w:rFonts w:ascii="Arial" w:hAnsi="Arial" w:cs="Arial"/>
          <w:highlight w:val="green"/>
        </w:rPr>
        <w:t>Agreement</w:t>
      </w:r>
    </w:p>
    <w:p>
      <w:pPr>
        <w:rPr>
          <w:rFonts w:ascii="Arial" w:hAnsi="Arial" w:eastAsia="宋体" w:cs="Arial"/>
          <w:lang w:val="en-US" w:eastAsia="zh-CN"/>
        </w:rPr>
      </w:pPr>
      <w:r>
        <w:rPr>
          <w:rFonts w:ascii="Arial" w:hAnsi="Arial" w:eastAsia="宋体" w:cs="Arial"/>
          <w:lang w:val="en-US" w:eastAsia="zh-CN"/>
        </w:rPr>
        <w:t>Modify X1 value of RAN1#114 agreement on start time of GNSS measurement gap as below and endorse the corresponding TP below:</w:t>
      </w:r>
    </w:p>
    <w:p>
      <w:pPr>
        <w:ind w:left="360"/>
        <w:rPr>
          <w:rFonts w:ascii="Arial" w:hAnsi="Arial" w:eastAsia="宋体" w:cs="Arial"/>
          <w:lang w:val="en-US" w:eastAsia="zh-CN"/>
        </w:rPr>
      </w:pPr>
      <w:r>
        <w:rPr>
          <w:rFonts w:ascii="Arial" w:hAnsi="Arial" w:eastAsia="宋体" w:cs="Arial"/>
          <w:lang w:val="en-US" w:eastAsia="zh-CN"/>
        </w:rPr>
        <w:t xml:space="preserve">For the aperiodic GNSS measurement gap triggered by eNB with MAC CE, the start time of the gap should be at n+ X1, where n is the end of MAC CE receiving subframe/slot when HARQ feedback for the MAC CE is disabled </w:t>
      </w:r>
    </w:p>
    <w:p>
      <w:pPr>
        <w:numPr>
          <w:ilvl w:val="0"/>
          <w:numId w:val="8"/>
        </w:numPr>
        <w:autoSpaceDE/>
        <w:autoSpaceDN/>
        <w:adjustRightInd/>
        <w:spacing w:after="0" w:line="240" w:lineRule="auto"/>
        <w:ind w:left="1080"/>
        <w:contextualSpacing/>
        <w:textAlignment w:val="baseline"/>
        <w:rPr>
          <w:rFonts w:ascii="Arial" w:hAnsi="Arial" w:eastAsia="Batang" w:cs="Arial"/>
          <w:lang w:eastAsia="en-US"/>
        </w:rPr>
      </w:pPr>
      <w:r>
        <w:rPr>
          <w:rFonts w:ascii="Arial" w:hAnsi="Arial" w:cs="Arial"/>
        </w:rPr>
        <w:t>X1=12ms for NB-IoT</w:t>
      </w:r>
    </w:p>
    <w:p>
      <w:pPr>
        <w:numPr>
          <w:ilvl w:val="0"/>
          <w:numId w:val="8"/>
        </w:numPr>
        <w:autoSpaceDE/>
        <w:autoSpaceDN/>
        <w:adjustRightInd/>
        <w:spacing w:after="0" w:line="240" w:lineRule="auto"/>
        <w:ind w:left="1080"/>
        <w:contextualSpacing/>
        <w:textAlignment w:val="baseline"/>
        <w:rPr>
          <w:rFonts w:ascii="Arial" w:hAnsi="Arial" w:eastAsia="等线" w:cs="Arial"/>
        </w:rPr>
      </w:pPr>
      <w:r>
        <w:rPr>
          <w:rFonts w:ascii="Arial" w:hAnsi="Arial" w:cs="Arial"/>
        </w:rPr>
        <w:t>X1=5ms for eMTC</w:t>
      </w:r>
    </w:p>
    <w:p>
      <w:pPr>
        <w:rPr>
          <w:rFonts w:ascii="Arial" w:hAnsi="Arial" w:eastAsia="Batang" w:cs="Arial"/>
          <w:u w:val="single"/>
        </w:rPr>
      </w:pPr>
    </w:p>
    <w:p>
      <w:pPr>
        <w:pStyle w:val="167"/>
        <w:adjustRightInd w:val="0"/>
        <w:snapToGrid w:val="0"/>
        <w:ind w:left="720"/>
        <w:rPr>
          <w:rFonts w:ascii="Arial" w:hAnsi="Arial" w:eastAsia="Times New Roman" w:cs="Arial"/>
          <w:b/>
          <w:u w:val="single"/>
          <w:lang w:eastAsia="zh-CN"/>
        </w:rPr>
      </w:pPr>
      <w:r>
        <w:rPr>
          <w:rFonts w:ascii="Arial" w:hAnsi="Arial" w:eastAsia="Times New Roman" w:cs="Arial"/>
          <w:b/>
          <w:u w:val="single"/>
          <w:lang w:eastAsia="zh-CN"/>
        </w:rPr>
        <w:t>Reason for change:</w:t>
      </w:r>
    </w:p>
    <w:p>
      <w:pPr>
        <w:ind w:left="720"/>
        <w:rPr>
          <w:rFonts w:ascii="Arial" w:hAnsi="Arial" w:cs="Arial"/>
          <w:lang w:eastAsia="zh-CN"/>
        </w:rPr>
      </w:pPr>
      <w:r>
        <w:rPr>
          <w:rFonts w:ascii="Arial" w:hAnsi="Arial" w:cs="Arial"/>
          <w:lang w:eastAsia="zh-CN"/>
        </w:rPr>
        <w:t xml:space="preserve">In the endorsed CR </w:t>
      </w:r>
      <w:r>
        <w:rPr>
          <w:rFonts w:ascii="Arial" w:hAnsi="Arial" w:eastAsia="宋体" w:cs="Arial"/>
          <w:lang w:eastAsia="zh-CN"/>
        </w:rPr>
        <w:t>R1-2310771 Clause 16.10</w:t>
      </w:r>
      <w:r>
        <w:rPr>
          <w:rFonts w:ascii="Arial" w:hAnsi="Arial" w:cs="Arial"/>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pPr>
        <w:ind w:left="720"/>
        <w:rPr>
          <w:rFonts w:ascii="Arial" w:hAnsi="Arial" w:eastAsia="MS Mincho" w:cs="Arial"/>
          <w:i/>
          <w:lang w:eastAsia="ja-JP"/>
        </w:rPr>
      </w:pPr>
    </w:p>
    <w:p>
      <w:pPr>
        <w:pStyle w:val="88"/>
        <w:spacing w:after="0"/>
        <w:ind w:left="720" w:firstLine="0"/>
        <w:rPr>
          <w:rFonts w:ascii="Arial" w:hAnsi="Arial" w:eastAsia="宋体" w:cs="Arial"/>
          <w:b/>
          <w:u w:val="single"/>
          <w:lang w:val="en-US" w:eastAsia="zh-CN"/>
        </w:rPr>
      </w:pPr>
      <w:r>
        <w:rPr>
          <w:rFonts w:ascii="Arial" w:hAnsi="Arial" w:eastAsia="宋体" w:cs="Arial"/>
          <w:b/>
          <w:u w:val="single"/>
          <w:lang w:val="en-US" w:eastAsia="zh-CN"/>
        </w:rPr>
        <w:t>Summary of change:</w:t>
      </w:r>
    </w:p>
    <w:p>
      <w:pPr>
        <w:ind w:left="720"/>
        <w:rPr>
          <w:rFonts w:ascii="Arial" w:hAnsi="Arial" w:eastAsia="Batang" w:cs="Arial"/>
          <w:lang w:eastAsia="zh-CN"/>
        </w:rPr>
      </w:pPr>
      <w:r>
        <w:rPr>
          <w:rFonts w:ascii="Arial" w:hAnsi="Arial" w:cs="Arial"/>
          <w:lang w:eastAsia="zh-CN"/>
        </w:rPr>
        <w:t>Change the start of the measurement gap in subframe n+13 if UE shall not provide HARQ-ACK information for the NPDSCH carrying the triggering MAC CE.</w:t>
      </w:r>
    </w:p>
    <w:p>
      <w:pPr>
        <w:ind w:left="720"/>
        <w:rPr>
          <w:rFonts w:ascii="Arial" w:hAnsi="Arial" w:eastAsia="宋体" w:cs="Arial"/>
          <w:b/>
          <w:u w:val="single"/>
          <w:lang w:val="en-US" w:eastAsia="zh-CN"/>
        </w:rPr>
      </w:pPr>
      <w:r>
        <w:rPr>
          <w:rFonts w:ascii="Arial" w:hAnsi="Arial" w:eastAsia="宋体" w:cs="Arial"/>
          <w:b/>
          <w:u w:val="single"/>
          <w:lang w:val="en-US" w:eastAsia="zh-CN"/>
        </w:rPr>
        <w:t>Consequence if not approved:</w:t>
      </w:r>
    </w:p>
    <w:p>
      <w:pPr>
        <w:ind w:left="720"/>
        <w:rPr>
          <w:rFonts w:ascii="Arial" w:hAnsi="Arial" w:eastAsia="Batang" w:cs="Arial"/>
          <w:lang w:eastAsia="zh-CN"/>
        </w:rPr>
      </w:pPr>
      <w:r>
        <w:rPr>
          <w:rFonts w:ascii="Arial" w:hAnsi="Arial" w:eastAsia="宋体" w:cs="Arial"/>
          <w:lang w:val="en-US" w:eastAsia="zh-CN"/>
        </w:rPr>
        <w:t xml:space="preserve">The RAN1 agreement for </w:t>
      </w:r>
      <w:r>
        <w:rPr>
          <w:rFonts w:ascii="Arial" w:hAnsi="Arial" w:cs="Arial"/>
          <w:lang w:eastAsia="zh-CN"/>
        </w:rPr>
        <w:t xml:space="preserve">GNSS measurement is not captured correctly in specification. </w:t>
      </w:r>
    </w:p>
    <w:p>
      <w:pPr>
        <w:rPr>
          <w:rFonts w:ascii="Arial" w:hAnsi="Arial" w:cs="Arial"/>
          <w:lang w:eastAsia="zh-CN"/>
        </w:rPr>
      </w:pPr>
    </w:p>
    <w:tbl>
      <w:tblPr>
        <w:tblStyle w:val="51"/>
        <w:tblW w:w="0" w:type="auto"/>
        <w:tblInd w:w="37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892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rPr>
          <w:trHeight w:val="771" w:hRule="atLeast"/>
        </w:trPr>
        <w:tc>
          <w:tcPr>
            <w:tcW w:w="8928" w:type="dxa"/>
            <w:tcBorders>
              <w:top w:val="double" w:color="A5A5A5" w:sz="4" w:space="0"/>
              <w:left w:val="double" w:color="A5A5A5" w:sz="4" w:space="0"/>
              <w:bottom w:val="double" w:color="A5A5A5" w:sz="4" w:space="0"/>
              <w:right w:val="double" w:color="A5A5A5" w:sz="4" w:space="0"/>
            </w:tcBorders>
          </w:tcPr>
          <w:p>
            <w:pPr>
              <w:ind w:left="558" w:leftChars="59" w:hanging="440"/>
              <w:rPr>
                <w:rFonts w:ascii="Arial" w:hAnsi="Arial" w:cs="Arial"/>
                <w:color w:val="FF0000"/>
                <w:sz w:val="22"/>
                <w:szCs w:val="22"/>
                <w:lang w:val="en-US" w:eastAsia="en-US"/>
              </w:rPr>
            </w:pPr>
            <w:r>
              <w:rPr>
                <w:rFonts w:ascii="Arial" w:hAnsi="Arial" w:cs="Arial"/>
                <w:color w:val="FF0000"/>
                <w:sz w:val="22"/>
                <w:szCs w:val="22"/>
                <w:lang w:val="en-US"/>
              </w:rPr>
              <w:t>=========================   Start of TP #1 for TS 36.213 =========================</w:t>
            </w:r>
          </w:p>
          <w:p>
            <w:pPr>
              <w:jc w:val="center"/>
              <w:rPr>
                <w:rFonts w:ascii="Arial" w:hAnsi="Arial" w:cs="Arial"/>
                <w:color w:val="FF0000"/>
                <w:sz w:val="24"/>
                <w:szCs w:val="24"/>
                <w:lang w:val="en-US" w:eastAsia="zh-CN"/>
              </w:rPr>
            </w:pPr>
            <w:r>
              <w:rPr>
                <w:rFonts w:ascii="Arial" w:hAnsi="Arial" w:eastAsia="MS Mincho" w:cs="Arial"/>
                <w:color w:val="FF0000"/>
                <w:sz w:val="24"/>
                <w:lang w:val="en-US" w:eastAsia="zh-CN"/>
              </w:rPr>
              <w:t>&lt; Unchanged parts are omitted &gt;</w:t>
            </w:r>
          </w:p>
          <w:p>
            <w:pPr>
              <w:rPr>
                <w:rFonts w:ascii="Arial" w:hAnsi="Arial" w:cs="Arial"/>
                <w:b/>
                <w:lang w:eastAsia="en-US"/>
              </w:rPr>
            </w:pPr>
            <w:r>
              <w:rPr>
                <w:rFonts w:ascii="Arial" w:hAnsi="Arial" w:cs="Arial"/>
                <w:b/>
              </w:rPr>
              <w:t>16.10</w:t>
            </w:r>
            <w:r>
              <w:rPr>
                <w:rFonts w:ascii="Arial" w:hAnsi="Arial" w:cs="Arial"/>
                <w:b/>
              </w:rPr>
              <w:tab/>
            </w:r>
            <w:r>
              <w:rPr>
                <w:rFonts w:ascii="Arial" w:hAnsi="Arial" w:cs="Arial"/>
                <w:b/>
              </w:rPr>
              <w:t>GNSS measurement gap related procedures</w:t>
            </w:r>
          </w:p>
          <w:p>
            <w:pPr>
              <w:rPr>
                <w:rFonts w:ascii="Arial" w:hAnsi="Arial" w:cs="Arial"/>
                <w:lang w:eastAsia="zh-CN"/>
              </w:rPr>
            </w:pPr>
            <w:r>
              <w:rPr>
                <w:rFonts w:ascii="Arial" w:hAnsi="Arial" w:cs="Arial"/>
              </w:rPr>
              <w:t xml:space="preserve">For a NB-IoT </w:t>
            </w:r>
            <w:r>
              <w:rPr>
                <w:rFonts w:ascii="Arial" w:hAnsi="Arial" w:eastAsia="宋体" w:cs="Arial"/>
                <w:lang w:eastAsia="zh-CN"/>
              </w:rPr>
              <w:t xml:space="preserve">UE </w:t>
            </w:r>
            <w:r>
              <w:rPr>
                <w:rFonts w:ascii="Arial" w:hAnsi="Arial" w:cs="Arial"/>
                <w:iCs/>
              </w:rPr>
              <w:t xml:space="preserve">in a NTN FDD serving cell, </w:t>
            </w:r>
            <w:r>
              <w:rPr>
                <w:rFonts w:ascii="Arial" w:hAnsi="Arial" w:cs="Arial"/>
                <w:color w:val="000000"/>
              </w:rPr>
              <w:t>when the UE receives a</w:t>
            </w:r>
            <w:r>
              <w:rPr>
                <w:rFonts w:ascii="Arial" w:hAnsi="Arial" w:cs="Arial"/>
              </w:rPr>
              <w:t xml:space="preserve"> </w:t>
            </w:r>
            <w:r>
              <w:rPr>
                <w:rFonts w:ascii="Arial" w:hAnsi="Arial" w:cs="Arial"/>
                <w:lang w:eastAsia="zh-CN"/>
              </w:rPr>
              <w:t xml:space="preserve">GNSS Measurement Command MAC CE in </w:t>
            </w:r>
            <w:r>
              <w:rPr>
                <w:rFonts w:ascii="Arial" w:hAnsi="Arial" w:cs="Arial"/>
                <w:iCs/>
              </w:rPr>
              <w:t xml:space="preserve">a NPDSCH ending in </w:t>
            </w:r>
            <w:r>
              <w:rPr>
                <w:rFonts w:ascii="Arial" w:hAnsi="Arial" w:cs="Arial"/>
              </w:rPr>
              <w:t xml:space="preserve">DL subframe </w:t>
            </w:r>
            <w:r>
              <w:rPr>
                <w:rFonts w:ascii="Arial" w:hAnsi="Arial" w:cs="Arial"/>
                <w:i/>
              </w:rPr>
              <w:t>n</w:t>
            </w:r>
            <w:r>
              <w:rPr>
                <w:rFonts w:ascii="Arial" w:hAnsi="Arial" w:cs="Arial"/>
                <w:lang w:eastAsia="zh-CN"/>
              </w:rPr>
              <w:t>,</w:t>
            </w:r>
          </w:p>
          <w:p>
            <w:pPr>
              <w:pStyle w:val="88"/>
              <w:rPr>
                <w:rFonts w:ascii="Arial" w:hAnsi="Arial" w:cs="Arial"/>
                <w:lang w:eastAsia="zh-CN"/>
              </w:rPr>
            </w:pPr>
            <w:r>
              <w:rPr>
                <w:rFonts w:ascii="Arial" w:hAnsi="Arial" w:cs="Arial"/>
              </w:rPr>
              <w:t>-</w:t>
            </w:r>
            <w:r>
              <w:rPr>
                <w:rFonts w:ascii="Arial" w:hAnsi="Arial" w:cs="Arial"/>
              </w:rPr>
              <w:tab/>
            </w:r>
            <w:r>
              <w:rPr>
                <w:rFonts w:ascii="Arial" w:hAnsi="Arial" w:cs="Arial"/>
              </w:rPr>
              <w:t xml:space="preserve">if the UE shall not provide HARQ-ACK information </w:t>
            </w:r>
            <w:r>
              <w:rPr>
                <w:rFonts w:ascii="Arial" w:hAnsi="Arial" w:eastAsia="宋体" w:cs="Arial"/>
              </w:rPr>
              <w:t xml:space="preserve">for the HARQ process associated with the transport block in the NPDSCH carrying </w:t>
            </w:r>
            <w:r>
              <w:rPr>
                <w:rFonts w:ascii="Arial" w:hAnsi="Arial" w:cs="Arial"/>
                <w:lang w:eastAsia="zh-CN"/>
              </w:rPr>
              <w:t>GNSS Measurement Command MAC CE,</w:t>
            </w:r>
          </w:p>
          <w:p>
            <w:pPr>
              <w:pStyle w:val="89"/>
              <w:rPr>
                <w:rFonts w:ascii="Arial" w:hAnsi="Arial" w:cs="Arial"/>
                <w:lang w:eastAsia="en-US"/>
              </w:rPr>
            </w:pPr>
            <w:r>
              <w:rPr>
                <w:rFonts w:ascii="Arial" w:hAnsi="Arial" w:cs="Arial"/>
                <w:lang w:eastAsia="zh-CN"/>
              </w:rPr>
              <w:t>-</w:t>
            </w:r>
            <w:r>
              <w:rPr>
                <w:rFonts w:ascii="Arial" w:hAnsi="Arial" w:cs="Arial"/>
                <w:lang w:eastAsia="zh-CN"/>
              </w:rPr>
              <w:tab/>
            </w:r>
            <w:r>
              <w:rPr>
                <w:rFonts w:ascii="Arial" w:hAnsi="Arial" w:cs="Arial"/>
                <w:lang w:eastAsia="zh-CN"/>
              </w:rPr>
              <w:t xml:space="preserve">the UE shall assume the start of the measurement gap in subframe </w:t>
            </w:r>
            <w:r>
              <w:rPr>
                <w:rFonts w:ascii="Arial" w:hAnsi="Arial" w:cs="Arial"/>
                <w:i/>
              </w:rPr>
              <w:t>n</w:t>
            </w:r>
            <w:r>
              <w:rPr>
                <w:rFonts w:ascii="Arial" w:hAnsi="Arial" w:cs="Arial"/>
              </w:rPr>
              <w:t>+13</w:t>
            </w:r>
          </w:p>
          <w:p>
            <w:pPr>
              <w:pStyle w:val="88"/>
              <w:rPr>
                <w:rFonts w:ascii="Arial" w:hAnsi="Arial" w:cs="Arial"/>
                <w:lang w:eastAsia="zh-CN"/>
              </w:rPr>
            </w:pPr>
            <w:r>
              <w:rPr>
                <w:rFonts w:ascii="Arial" w:hAnsi="Arial" w:cs="Arial"/>
                <w:lang w:eastAsia="zh-CN"/>
              </w:rPr>
              <w:t>-</w:t>
            </w:r>
            <w:r>
              <w:rPr>
                <w:rFonts w:ascii="Arial" w:hAnsi="Arial" w:cs="Arial"/>
                <w:lang w:eastAsia="zh-CN"/>
              </w:rPr>
              <w:tab/>
            </w:r>
            <w:r>
              <w:rPr>
                <w:rFonts w:ascii="Arial" w:hAnsi="Arial" w:cs="Arial"/>
                <w:lang w:eastAsia="zh-CN"/>
              </w:rPr>
              <w:t>otherwise,</w:t>
            </w:r>
          </w:p>
          <w:p>
            <w:pPr>
              <w:pStyle w:val="89"/>
              <w:rPr>
                <w:rFonts w:ascii="Arial" w:hAnsi="Arial" w:cs="Arial"/>
                <w:lang w:eastAsia="en-US"/>
              </w:rPr>
            </w:pPr>
            <w:r>
              <w:rPr>
                <w:rFonts w:ascii="Arial" w:hAnsi="Arial" w:cs="Arial"/>
                <w:lang w:eastAsia="zh-CN"/>
              </w:rPr>
              <w:t>-</w:t>
            </w:r>
            <w:r>
              <w:rPr>
                <w:rFonts w:ascii="Arial" w:hAnsi="Arial" w:cs="Arial"/>
                <w:lang w:eastAsia="zh-CN"/>
              </w:rPr>
              <w:tab/>
            </w:r>
            <w:r>
              <w:rPr>
                <w:rFonts w:ascii="Arial" w:hAnsi="Arial" w:cs="Arial"/>
                <w:lang w:eastAsia="zh-CN"/>
              </w:rPr>
              <w:t>the UE shall assume the start of the measurement gap in subframe</w:t>
            </w:r>
            <w:r>
              <w:rPr>
                <w:rFonts w:ascii="Arial" w:hAnsi="Arial" w:cs="Arial"/>
                <w:color w:val="0070C0"/>
                <w:u w:val="single"/>
                <w:lang w:eastAsia="zh-CN"/>
              </w:rPr>
              <w:t xml:space="preserve"> </w:t>
            </w:r>
            <w:r>
              <w:rPr>
                <w:rFonts w:ascii="Arial" w:hAnsi="Arial" w:cs="Arial"/>
                <w:i/>
              </w:rPr>
              <w:t>k</w:t>
            </w:r>
            <w:r>
              <w:rPr>
                <w:rFonts w:ascii="Arial" w:hAnsi="Arial" w:cs="Arial"/>
              </w:rPr>
              <w:t xml:space="preserve">+2, where </w:t>
            </w:r>
            <w:r>
              <w:rPr>
                <w:rFonts w:ascii="Arial" w:hAnsi="Arial" w:cs="Arial"/>
                <w:i/>
              </w:rPr>
              <w:t>k</w:t>
            </w:r>
            <w:r>
              <w:rPr>
                <w:rFonts w:ascii="Arial" w:hAnsi="Arial" w:cs="Arial"/>
                <w:iCs/>
              </w:rPr>
              <w:t xml:space="preserve"> is the </w:t>
            </w:r>
            <w:r>
              <w:rPr>
                <w:rFonts w:ascii="Arial" w:hAnsi="Arial" w:cs="Arial"/>
              </w:rPr>
              <w:t>first DL subframe after the end of the transmission of the NPUSCH carrying ACK/NACK response for the HARQ process associated with the transport block in the NPDSCH.</w:t>
            </w:r>
          </w:p>
          <w:p>
            <w:pPr>
              <w:spacing w:before="120" w:beforeLines="50"/>
              <w:contextualSpacing/>
              <w:rPr>
                <w:rFonts w:ascii="Arial" w:hAnsi="Arial" w:eastAsia="宋体" w:cs="Arial"/>
                <w:color w:val="000000"/>
                <w:lang w:eastAsia="zh-CN"/>
              </w:rPr>
            </w:pPr>
            <w:r>
              <w:rPr>
                <w:rFonts w:ascii="Arial" w:hAnsi="Arial" w:cs="Arial"/>
                <w:color w:val="FF0000"/>
                <w:lang w:val="en-US"/>
              </w:rPr>
              <w:t>=============================   End of TP #1 for TS 36.213 =============================</w:t>
            </w:r>
          </w:p>
        </w:tc>
      </w:tr>
    </w:tbl>
    <w:p>
      <w:pPr>
        <w:rPr>
          <w:rFonts w:ascii="Arial" w:hAnsi="Arial" w:eastAsia="Batang" w:cs="Arial"/>
          <w:lang w:eastAsia="en-US"/>
        </w:rPr>
      </w:pPr>
    </w:p>
    <w:p>
      <w:pPr>
        <w:pStyle w:val="46"/>
        <w:spacing w:before="0" w:beforeAutospacing="0" w:after="0" w:afterAutospacing="0"/>
        <w:rPr>
          <w:rFonts w:ascii="Arial" w:hAnsi="Arial" w:cs="Arial"/>
          <w:bCs/>
          <w:sz w:val="20"/>
          <w:szCs w:val="20"/>
        </w:rPr>
      </w:pPr>
      <w:r>
        <w:rPr>
          <w:rFonts w:ascii="Arial" w:hAnsi="Arial" w:cs="Arial"/>
          <w:bCs/>
          <w:sz w:val="20"/>
          <w:szCs w:val="20"/>
          <w:highlight w:val="green"/>
        </w:rPr>
        <w:t>Agreement</w:t>
      </w:r>
    </w:p>
    <w:p>
      <w:pPr>
        <w:rPr>
          <w:rFonts w:ascii="Arial" w:hAnsi="Arial" w:cs="Arial"/>
          <w:bCs/>
          <w:szCs w:val="24"/>
        </w:rPr>
      </w:pPr>
      <w:r>
        <w:rPr>
          <w:rFonts w:ascii="Arial" w:hAnsi="Arial" w:cs="Arial"/>
          <w:bCs/>
        </w:rPr>
        <w:t>Delete the TBD length in the value range column of higher layer parameters downlinkHARQ-FeedbackDisabled-Bitmap and downlinkHARQ-FeedbackDisabled-Bitmap-NB for R18 IoT NTN as follows:</w:t>
      </w:r>
    </w:p>
    <w:tbl>
      <w:tblPr>
        <w:tblStyle w:val="51"/>
        <w:tblW w:w="8550" w:type="dxa"/>
        <w:tblInd w:w="378" w:type="dxa"/>
        <w:tblLayout w:type="autofit"/>
        <w:tblCellMar>
          <w:top w:w="0" w:type="dxa"/>
          <w:left w:w="108" w:type="dxa"/>
          <w:bottom w:w="0" w:type="dxa"/>
          <w:right w:w="108" w:type="dxa"/>
        </w:tblCellMar>
      </w:tblPr>
      <w:tblGrid>
        <w:gridCol w:w="1767"/>
        <w:gridCol w:w="3717"/>
        <w:gridCol w:w="3066"/>
      </w:tblGrid>
      <w:tr>
        <w:tblPrEx>
          <w:tblCellMar>
            <w:top w:w="0" w:type="dxa"/>
            <w:left w:w="108" w:type="dxa"/>
            <w:bottom w:w="0" w:type="dxa"/>
            <w:right w:w="108" w:type="dxa"/>
          </w:tblCellMar>
        </w:tblPrEx>
        <w:trPr>
          <w:trHeight w:val="780" w:hRule="atLeast"/>
        </w:trPr>
        <w:tc>
          <w:tcPr>
            <w:tcW w:w="1767" w:type="dxa"/>
            <w:tcBorders>
              <w:top w:val="single" w:color="auto" w:sz="4" w:space="0"/>
              <w:left w:val="single" w:color="auto" w:sz="4" w:space="0"/>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Parameter name in the text</w:t>
            </w:r>
          </w:p>
        </w:tc>
        <w:tc>
          <w:tcPr>
            <w:tcW w:w="371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Description</w:t>
            </w:r>
          </w:p>
        </w:tc>
        <w:tc>
          <w:tcPr>
            <w:tcW w:w="3066"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Value range</w:t>
            </w:r>
          </w:p>
        </w:tc>
      </w:tr>
      <w:tr>
        <w:tblPrEx>
          <w:tblCellMar>
            <w:top w:w="0" w:type="dxa"/>
            <w:left w:w="108" w:type="dxa"/>
            <w:bottom w:w="0" w:type="dxa"/>
            <w:right w:w="108" w:type="dxa"/>
          </w:tblCellMar>
        </w:tblPrEx>
        <w:trPr>
          <w:trHeight w:val="920" w:hRule="atLeast"/>
        </w:trPr>
        <w:tc>
          <w:tcPr>
            <w:tcW w:w="1767" w:type="dxa"/>
            <w:tcBorders>
              <w:top w:val="nil"/>
              <w:left w:val="single" w:color="auto" w:sz="4" w:space="0"/>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downlinkHARQ-FeedbackDisabled-Bitmap</w:t>
            </w:r>
          </w:p>
        </w:tc>
        <w:tc>
          <w:tcPr>
            <w:tcW w:w="3717" w:type="dxa"/>
            <w:tcBorders>
              <w:top w:val="nil"/>
              <w:left w:val="nil"/>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Used to disable the DL HARQ feedback, sent in the uplink, per HARQ process ID</w:t>
            </w:r>
          </w:p>
        </w:tc>
        <w:tc>
          <w:tcPr>
            <w:tcW w:w="3066" w:type="dxa"/>
            <w:tcBorders>
              <w:top w:val="nil"/>
              <w:left w:val="nil"/>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 xml:space="preserve">Bitmap </w:t>
            </w:r>
          </w:p>
        </w:tc>
      </w:tr>
      <w:tr>
        <w:tblPrEx>
          <w:tblCellMar>
            <w:top w:w="0" w:type="dxa"/>
            <w:left w:w="108" w:type="dxa"/>
            <w:bottom w:w="0" w:type="dxa"/>
            <w:right w:w="108" w:type="dxa"/>
          </w:tblCellMar>
        </w:tblPrEx>
        <w:trPr>
          <w:trHeight w:val="690" w:hRule="atLeast"/>
        </w:trPr>
        <w:tc>
          <w:tcPr>
            <w:tcW w:w="1767" w:type="dxa"/>
            <w:tcBorders>
              <w:top w:val="nil"/>
              <w:left w:val="single" w:color="auto" w:sz="4" w:space="0"/>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downlinkHARQ-FeedbackDisabled-Bitmap-NB</w:t>
            </w:r>
          </w:p>
        </w:tc>
        <w:tc>
          <w:tcPr>
            <w:tcW w:w="3717" w:type="dxa"/>
            <w:tcBorders>
              <w:top w:val="nil"/>
              <w:left w:val="nil"/>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Used to disable the DL HARQ feedback, sent in the uplink, per HARQ process ID</w:t>
            </w:r>
          </w:p>
        </w:tc>
        <w:tc>
          <w:tcPr>
            <w:tcW w:w="3066" w:type="dxa"/>
            <w:tcBorders>
              <w:top w:val="nil"/>
              <w:left w:val="nil"/>
              <w:bottom w:val="single" w:color="auto" w:sz="4" w:space="0"/>
              <w:right w:val="single" w:color="auto" w:sz="4" w:space="0"/>
            </w:tcBorders>
            <w:vAlign w:val="center"/>
          </w:tcPr>
          <w:p>
            <w:pPr>
              <w:rPr>
                <w:rFonts w:ascii="Arial" w:hAnsi="Arial" w:eastAsia="等线" w:cs="Arial"/>
                <w:sz w:val="18"/>
                <w:szCs w:val="18"/>
                <w:lang w:val="en-US" w:eastAsia="zh-CN"/>
              </w:rPr>
            </w:pPr>
            <w:r>
              <w:rPr>
                <w:rFonts w:ascii="Arial" w:hAnsi="Arial" w:eastAsia="等线" w:cs="Arial"/>
                <w:sz w:val="18"/>
                <w:szCs w:val="18"/>
                <w:lang w:val="en-US" w:eastAsia="zh-CN"/>
              </w:rPr>
              <w:t xml:space="preserve">Bitmap </w:t>
            </w:r>
          </w:p>
        </w:tc>
      </w:tr>
    </w:tbl>
    <w:p>
      <w:pPr>
        <w:rPr>
          <w:rFonts w:ascii="Arial" w:hAnsi="Arial" w:eastAsia="Batang" w:cs="Arial"/>
          <w:b/>
          <w:bCs/>
          <w:i/>
          <w:iCs/>
          <w:szCs w:val="24"/>
          <w:lang w:eastAsia="en-US"/>
        </w:rPr>
      </w:pPr>
    </w:p>
    <w:p>
      <w:pPr>
        <w:pStyle w:val="46"/>
        <w:spacing w:before="0" w:beforeAutospacing="0" w:after="0" w:afterAutospacing="0"/>
        <w:rPr>
          <w:rFonts w:ascii="Arial" w:hAnsi="Arial" w:cs="Arial"/>
          <w:bCs/>
          <w:sz w:val="20"/>
          <w:szCs w:val="20"/>
        </w:rPr>
      </w:pPr>
      <w:r>
        <w:rPr>
          <w:rFonts w:ascii="Arial" w:hAnsi="Arial" w:cs="Arial"/>
          <w:bCs/>
          <w:sz w:val="20"/>
          <w:szCs w:val="20"/>
          <w:highlight w:val="green"/>
        </w:rPr>
        <w:t>Agreement</w:t>
      </w:r>
    </w:p>
    <w:p>
      <w:pPr>
        <w:rPr>
          <w:rFonts w:ascii="Arial" w:hAnsi="Arial" w:cs="Arial"/>
          <w:bCs/>
          <w:szCs w:val="24"/>
        </w:rPr>
      </w:pPr>
      <w:r>
        <w:rPr>
          <w:rFonts w:ascii="Arial" w:hAnsi="Arial" w:cs="Arial"/>
          <w:bCs/>
        </w:rPr>
        <w:t>Add new higher layer parameters ULTransmissionExtension and ULTransmissionExtension-NB for R18 IoT NTN as follows:</w:t>
      </w:r>
    </w:p>
    <w:tbl>
      <w:tblPr>
        <w:tblStyle w:val="51"/>
        <w:tblW w:w="9857" w:type="dxa"/>
        <w:tblInd w:w="0" w:type="dxa"/>
        <w:tblLayout w:type="autofit"/>
        <w:tblCellMar>
          <w:top w:w="0" w:type="dxa"/>
          <w:left w:w="108" w:type="dxa"/>
          <w:bottom w:w="0" w:type="dxa"/>
          <w:right w:w="108" w:type="dxa"/>
        </w:tblCellMar>
      </w:tblPr>
      <w:tblGrid>
        <w:gridCol w:w="680"/>
        <w:gridCol w:w="610"/>
        <w:gridCol w:w="693"/>
        <w:gridCol w:w="498"/>
        <w:gridCol w:w="459"/>
        <w:gridCol w:w="446"/>
        <w:gridCol w:w="1056"/>
        <w:gridCol w:w="559"/>
        <w:gridCol w:w="1056"/>
        <w:gridCol w:w="748"/>
        <w:gridCol w:w="556"/>
        <w:gridCol w:w="481"/>
        <w:gridCol w:w="520"/>
        <w:gridCol w:w="780"/>
        <w:gridCol w:w="702"/>
        <w:gridCol w:w="576"/>
      </w:tblGrid>
      <w:tr>
        <w:tblPrEx>
          <w:tblCellMar>
            <w:top w:w="0" w:type="dxa"/>
            <w:left w:w="108" w:type="dxa"/>
            <w:bottom w:w="0" w:type="dxa"/>
            <w:right w:w="108" w:type="dxa"/>
          </w:tblCellMar>
        </w:tblPrEx>
        <w:trPr>
          <w:trHeight w:val="780" w:hRule="atLeast"/>
        </w:trPr>
        <w:tc>
          <w:tcPr>
            <w:tcW w:w="643" w:type="dxa"/>
            <w:tcBorders>
              <w:top w:val="single" w:color="auto" w:sz="4" w:space="0"/>
              <w:left w:val="single" w:color="auto" w:sz="4" w:space="0"/>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WI code</w:t>
            </w:r>
          </w:p>
        </w:tc>
        <w:tc>
          <w:tcPr>
            <w:tcW w:w="579"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Sub-feature group</w:t>
            </w:r>
          </w:p>
        </w:tc>
        <w:tc>
          <w:tcPr>
            <w:tcW w:w="65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RAN1 specification</w:t>
            </w:r>
          </w:p>
        </w:tc>
        <w:tc>
          <w:tcPr>
            <w:tcW w:w="47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Section</w:t>
            </w:r>
          </w:p>
        </w:tc>
        <w:tc>
          <w:tcPr>
            <w:tcW w:w="439"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RAN2 Parent IE</w:t>
            </w:r>
          </w:p>
        </w:tc>
        <w:tc>
          <w:tcPr>
            <w:tcW w:w="428"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RAN2 ASN.1 name</w:t>
            </w:r>
          </w:p>
        </w:tc>
        <w:tc>
          <w:tcPr>
            <w:tcW w:w="988"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Parameter name in the spec</w:t>
            </w:r>
          </w:p>
        </w:tc>
        <w:tc>
          <w:tcPr>
            <w:tcW w:w="531"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New or existing?</w:t>
            </w:r>
          </w:p>
        </w:tc>
        <w:tc>
          <w:tcPr>
            <w:tcW w:w="988"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Parameter name in the text</w:t>
            </w:r>
          </w:p>
        </w:tc>
        <w:tc>
          <w:tcPr>
            <w:tcW w:w="952"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Description</w:t>
            </w:r>
          </w:p>
        </w:tc>
        <w:tc>
          <w:tcPr>
            <w:tcW w:w="281"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Value range</w:t>
            </w:r>
          </w:p>
        </w:tc>
        <w:tc>
          <w:tcPr>
            <w:tcW w:w="459"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Default value aspect</w:t>
            </w:r>
          </w:p>
        </w:tc>
        <w:tc>
          <w:tcPr>
            <w:tcW w:w="49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Per (UE, cell, TRP, …)</w:t>
            </w:r>
          </w:p>
        </w:tc>
        <w:tc>
          <w:tcPr>
            <w:tcW w:w="734"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Required for initial access or IDLE/INACTIVE</w:t>
            </w:r>
          </w:p>
        </w:tc>
        <w:tc>
          <w:tcPr>
            <w:tcW w:w="663"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Specification</w:t>
            </w:r>
          </w:p>
        </w:tc>
        <w:tc>
          <w:tcPr>
            <w:tcW w:w="54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Comment</w:t>
            </w:r>
          </w:p>
        </w:tc>
      </w:tr>
      <w:tr>
        <w:tblPrEx>
          <w:tblCellMar>
            <w:top w:w="0" w:type="dxa"/>
            <w:left w:w="108" w:type="dxa"/>
            <w:bottom w:w="0" w:type="dxa"/>
            <w:right w:w="108" w:type="dxa"/>
          </w:tblCellMar>
        </w:tblPrEx>
        <w:trPr>
          <w:trHeight w:val="1150" w:hRule="atLeast"/>
        </w:trPr>
        <w:tc>
          <w:tcPr>
            <w:tcW w:w="643" w:type="dxa"/>
            <w:tcBorders>
              <w:top w:val="nil"/>
              <w:left w:val="single" w:color="auto" w:sz="4" w:space="0"/>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IoT_NTN_enh-Core</w:t>
            </w:r>
          </w:p>
        </w:tc>
        <w:tc>
          <w:tcPr>
            <w:tcW w:w="579"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 transmission after original GNSS validity duration expires for eMTC</w:t>
            </w:r>
          </w:p>
        </w:tc>
        <w:tc>
          <w:tcPr>
            <w:tcW w:w="65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36.213</w:t>
            </w:r>
          </w:p>
        </w:tc>
        <w:tc>
          <w:tcPr>
            <w:tcW w:w="47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439"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428"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988"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ULTransmissionExtension</w:t>
            </w:r>
          </w:p>
        </w:tc>
        <w:tc>
          <w:tcPr>
            <w:tcW w:w="531"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New</w:t>
            </w:r>
          </w:p>
        </w:tc>
        <w:tc>
          <w:tcPr>
            <w:tcW w:w="988"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ULTransmissionExtension</w:t>
            </w:r>
          </w:p>
        </w:tc>
        <w:tc>
          <w:tcPr>
            <w:tcW w:w="952"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BOOLEAN</w:t>
            </w:r>
          </w:p>
        </w:tc>
        <w:tc>
          <w:tcPr>
            <w:tcW w:w="459"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xml:space="preserve"> </w:t>
            </w:r>
          </w:p>
        </w:tc>
        <w:tc>
          <w:tcPr>
            <w:tcW w:w="49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per UE</w:t>
            </w:r>
          </w:p>
        </w:tc>
        <w:tc>
          <w:tcPr>
            <w:tcW w:w="734"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No</w:t>
            </w:r>
          </w:p>
        </w:tc>
        <w:tc>
          <w:tcPr>
            <w:tcW w:w="663"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36.331</w:t>
            </w:r>
          </w:p>
        </w:tc>
        <w:tc>
          <w:tcPr>
            <w:tcW w:w="54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FF0000"/>
                <w:sz w:val="18"/>
                <w:szCs w:val="18"/>
                <w:lang w:val="en-US" w:eastAsia="zh-CN"/>
              </w:rPr>
            </w:pPr>
            <w:r>
              <w:rPr>
                <w:rFonts w:ascii="Arial" w:hAnsi="Arial" w:eastAsia="等线" w:cs="Arial"/>
                <w:color w:val="FF0000"/>
                <w:sz w:val="18"/>
                <w:szCs w:val="18"/>
                <w:lang w:val="en-US" w:eastAsia="zh-CN"/>
              </w:rPr>
              <w:t>　</w:t>
            </w:r>
          </w:p>
        </w:tc>
      </w:tr>
      <w:tr>
        <w:tblPrEx>
          <w:tblCellMar>
            <w:top w:w="0" w:type="dxa"/>
            <w:left w:w="108" w:type="dxa"/>
            <w:bottom w:w="0" w:type="dxa"/>
            <w:right w:w="108" w:type="dxa"/>
          </w:tblCellMar>
        </w:tblPrEx>
        <w:trPr>
          <w:trHeight w:val="1150" w:hRule="atLeast"/>
        </w:trPr>
        <w:tc>
          <w:tcPr>
            <w:tcW w:w="643" w:type="dxa"/>
            <w:tcBorders>
              <w:top w:val="nil"/>
              <w:left w:val="single" w:color="auto" w:sz="4" w:space="0"/>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IoT_NTN_enh-Core</w:t>
            </w:r>
          </w:p>
        </w:tc>
        <w:tc>
          <w:tcPr>
            <w:tcW w:w="579"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 transmission after original GNSS validity duration expires  for NB-IoT</w:t>
            </w:r>
          </w:p>
        </w:tc>
        <w:tc>
          <w:tcPr>
            <w:tcW w:w="65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36.213</w:t>
            </w:r>
          </w:p>
        </w:tc>
        <w:tc>
          <w:tcPr>
            <w:tcW w:w="47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439"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428"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w:t>
            </w:r>
          </w:p>
        </w:tc>
        <w:tc>
          <w:tcPr>
            <w:tcW w:w="988"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ULTransmissionExtension-NB</w:t>
            </w:r>
          </w:p>
        </w:tc>
        <w:tc>
          <w:tcPr>
            <w:tcW w:w="531"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New</w:t>
            </w:r>
          </w:p>
        </w:tc>
        <w:tc>
          <w:tcPr>
            <w:tcW w:w="988"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ULTransmissionExtension-NB</w:t>
            </w:r>
          </w:p>
        </w:tc>
        <w:tc>
          <w:tcPr>
            <w:tcW w:w="952"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“UL transmission after original GNSS validity duration expires with duration X” is enabled/disabled by network.</w:t>
            </w:r>
          </w:p>
        </w:tc>
        <w:tc>
          <w:tcPr>
            <w:tcW w:w="281"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BOOLEAN</w:t>
            </w:r>
          </w:p>
        </w:tc>
        <w:tc>
          <w:tcPr>
            <w:tcW w:w="459"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 xml:space="preserve"> </w:t>
            </w:r>
          </w:p>
        </w:tc>
        <w:tc>
          <w:tcPr>
            <w:tcW w:w="49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per UE</w:t>
            </w:r>
          </w:p>
        </w:tc>
        <w:tc>
          <w:tcPr>
            <w:tcW w:w="734"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No</w:t>
            </w:r>
          </w:p>
        </w:tc>
        <w:tc>
          <w:tcPr>
            <w:tcW w:w="663"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eastAsia="zh-CN"/>
              </w:rPr>
              <w:t>36.331</w:t>
            </w:r>
          </w:p>
        </w:tc>
        <w:tc>
          <w:tcPr>
            <w:tcW w:w="54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FF0000"/>
                <w:sz w:val="18"/>
                <w:szCs w:val="18"/>
                <w:lang w:val="en-US" w:eastAsia="zh-CN"/>
              </w:rPr>
            </w:pPr>
            <w:r>
              <w:rPr>
                <w:rFonts w:ascii="Arial" w:hAnsi="Arial" w:eastAsia="等线" w:cs="Arial"/>
                <w:color w:val="FF0000"/>
                <w:sz w:val="18"/>
                <w:szCs w:val="18"/>
                <w:lang w:val="en-US" w:eastAsia="zh-CN"/>
              </w:rPr>
              <w:t>　</w:t>
            </w:r>
          </w:p>
        </w:tc>
      </w:tr>
    </w:tbl>
    <w:p>
      <w:pPr>
        <w:rPr>
          <w:rFonts w:ascii="Arial" w:hAnsi="Arial" w:cs="Arial"/>
        </w:rPr>
      </w:pPr>
    </w:p>
    <w:p>
      <w:pPr>
        <w:rPr>
          <w:rFonts w:ascii="Arial" w:hAnsi="Arial" w:cs="Arial"/>
        </w:rPr>
      </w:pPr>
      <w:r>
        <w:rPr>
          <w:rFonts w:ascii="Arial" w:hAnsi="Arial" w:cs="Arial"/>
          <w:highlight w:val="green"/>
        </w:rPr>
        <w:t>Agreement</w:t>
      </w:r>
    </w:p>
    <w:p>
      <w:pPr>
        <w:rPr>
          <w:rFonts w:ascii="Arial" w:hAnsi="Arial" w:cs="Arial"/>
          <w:lang w:eastAsia="zh-CN"/>
        </w:rPr>
      </w:pPr>
      <w:r>
        <w:rPr>
          <w:rStyle w:val="57"/>
          <w:rFonts w:ascii="Arial" w:hAnsi="Arial" w:cs="Arial"/>
          <w:i w:val="0"/>
        </w:rPr>
        <w:t xml:space="preserve">From RAN1 perspective, </w:t>
      </w:r>
      <w:r>
        <w:rPr>
          <w:rFonts w:ascii="Arial" w:hAnsi="Arial" w:cs="Arial"/>
          <w:lang w:eastAsia="zh-CN"/>
        </w:rPr>
        <w:t xml:space="preserve">the start time of duration X is at the point where original GNSS validity duration expires </w:t>
      </w:r>
    </w:p>
    <w:p>
      <w:pPr>
        <w:pStyle w:val="132"/>
        <w:widowControl/>
        <w:numPr>
          <w:ilvl w:val="0"/>
          <w:numId w:val="12"/>
        </w:numPr>
        <w:overflowPunct w:val="0"/>
        <w:spacing w:line="240" w:lineRule="auto"/>
        <w:ind w:leftChars="0"/>
        <w:contextualSpacing/>
        <w:jc w:val="left"/>
        <w:textAlignment w:val="baseline"/>
        <w:rPr>
          <w:rFonts w:ascii="Arial" w:hAnsi="Arial" w:cs="Arial"/>
          <w:sz w:val="20"/>
          <w:szCs w:val="20"/>
          <w:lang w:eastAsia="zh-CN"/>
        </w:rPr>
      </w:pPr>
      <w:r>
        <w:rPr>
          <w:rFonts w:ascii="Arial" w:hAnsi="Arial" w:cs="Arial"/>
          <w:sz w:val="20"/>
          <w:szCs w:val="20"/>
          <w:lang w:eastAsia="zh-CN"/>
        </w:rPr>
        <w:t>when timeAlignmentTimer is infinity, the end of X is at the point where new timer ULTransmissionExtentionTimer expires and ULTransmissionExtentionTimer is reset with length equal to Y every time when a MAC CE (to be defined by RAN2) is received</w:t>
      </w:r>
    </w:p>
    <w:p>
      <w:pPr>
        <w:pStyle w:val="132"/>
        <w:widowControl/>
        <w:numPr>
          <w:ilvl w:val="1"/>
          <w:numId w:val="12"/>
        </w:numPr>
        <w:overflowPunct w:val="0"/>
        <w:spacing w:line="240" w:lineRule="auto"/>
        <w:ind w:leftChars="0"/>
        <w:contextualSpacing/>
        <w:jc w:val="left"/>
        <w:textAlignment w:val="baseline"/>
        <w:rPr>
          <w:rStyle w:val="57"/>
          <w:rFonts w:ascii="Arial" w:hAnsi="Arial" w:cs="Arial"/>
          <w:i w:val="0"/>
          <w:iCs w:val="0"/>
          <w:sz w:val="20"/>
          <w:szCs w:val="20"/>
        </w:rPr>
      </w:pPr>
      <w:r>
        <w:rPr>
          <w:rStyle w:val="57"/>
          <w:rFonts w:ascii="Arial" w:hAnsi="Arial" w:cs="Arial"/>
          <w:i w:val="0"/>
          <w:sz w:val="20"/>
          <w:szCs w:val="20"/>
        </w:rPr>
        <w:t>Note 1: It is up to RAN2 to decide whether the MAC CE is the legacy TAC or a new TAC or a new MAC CE.</w:t>
      </w:r>
    </w:p>
    <w:p>
      <w:pPr>
        <w:pStyle w:val="132"/>
        <w:widowControl/>
        <w:numPr>
          <w:ilvl w:val="0"/>
          <w:numId w:val="12"/>
        </w:numPr>
        <w:overflowPunct w:val="0"/>
        <w:spacing w:line="240" w:lineRule="auto"/>
        <w:ind w:leftChars="0"/>
        <w:contextualSpacing/>
        <w:jc w:val="left"/>
        <w:textAlignment w:val="baseline"/>
        <w:rPr>
          <w:rStyle w:val="57"/>
          <w:rFonts w:ascii="Arial" w:hAnsi="Arial" w:eastAsia="Batang" w:cs="Arial"/>
          <w:i w:val="0"/>
          <w:iCs w:val="0"/>
          <w:sz w:val="20"/>
          <w:szCs w:val="20"/>
          <w:lang w:eastAsia="zh-CN"/>
        </w:rPr>
      </w:pPr>
      <w:r>
        <w:rPr>
          <w:rStyle w:val="57"/>
          <w:rFonts w:ascii="Arial" w:hAnsi="Arial" w:cs="Arial"/>
          <w:i w:val="0"/>
          <w:sz w:val="20"/>
          <w:szCs w:val="20"/>
        </w:rPr>
        <w:t>Note 2: It is up to RAN2 to implement the above behaviour based on new timer, existing timer, or by extending GNSS validity.</w:t>
      </w:r>
    </w:p>
    <w:p>
      <w:pPr>
        <w:pStyle w:val="132"/>
        <w:widowControl/>
        <w:numPr>
          <w:ilvl w:val="0"/>
          <w:numId w:val="12"/>
        </w:numPr>
        <w:overflowPunct w:val="0"/>
        <w:spacing w:line="240" w:lineRule="auto"/>
        <w:ind w:leftChars="0"/>
        <w:contextualSpacing/>
        <w:jc w:val="left"/>
        <w:textAlignment w:val="baseline"/>
        <w:rPr>
          <w:rStyle w:val="57"/>
          <w:rFonts w:ascii="Arial" w:hAnsi="Arial" w:cs="Arial"/>
          <w:i w:val="0"/>
          <w:iCs w:val="0"/>
          <w:sz w:val="20"/>
          <w:szCs w:val="20"/>
        </w:rPr>
      </w:pPr>
      <w:r>
        <w:rPr>
          <w:rStyle w:val="57"/>
          <w:rFonts w:ascii="Arial" w:hAnsi="Arial" w:cs="Arial"/>
          <w:i w:val="0"/>
          <w:iCs w:val="0"/>
          <w:sz w:val="20"/>
          <w:szCs w:val="20"/>
        </w:rPr>
        <w:t>Send an LS to RAN2</w:t>
      </w:r>
    </w:p>
    <w:p>
      <w:pPr>
        <w:rPr>
          <w:rFonts w:ascii="Arial" w:hAnsi="Arial" w:cs="Arial"/>
        </w:rPr>
      </w:pPr>
    </w:p>
    <w:p>
      <w:pPr>
        <w:rPr>
          <w:rFonts w:ascii="Arial" w:hAnsi="Arial" w:cs="Arial"/>
          <w:highlight w:val="green"/>
        </w:rPr>
      </w:pPr>
      <w:r>
        <w:rPr>
          <w:rFonts w:ascii="Arial" w:hAnsi="Arial" w:cs="Arial"/>
          <w:highlight w:val="green"/>
        </w:rPr>
        <w:t>R1-2312696</w:t>
      </w:r>
      <w:r>
        <w:rPr>
          <w:rFonts w:ascii="Arial" w:hAnsi="Arial" w:cs="Arial"/>
          <w:highlight w:val="green"/>
        </w:rPr>
        <w:tab/>
      </w:r>
      <w:r>
        <w:rPr>
          <w:rFonts w:ascii="Arial" w:hAnsi="Arial" w:cs="Arial"/>
          <w:highlight w:val="green"/>
        </w:rPr>
        <w:t>LS on improved GNSS operations in Rel-18 IoT NTN</w:t>
      </w:r>
      <w:r>
        <w:rPr>
          <w:rFonts w:ascii="Arial" w:hAnsi="Arial" w:cs="Arial"/>
          <w:highlight w:val="green"/>
        </w:rPr>
        <w:tab/>
      </w:r>
      <w:r>
        <w:rPr>
          <w:rFonts w:ascii="Arial" w:hAnsi="Arial" w:cs="Arial"/>
          <w:highlight w:val="green"/>
        </w:rPr>
        <w:t>Moderator (MediaTek Inc.)</w:t>
      </w:r>
    </w:p>
    <w:p>
      <w:pPr>
        <w:rPr>
          <w:rFonts w:ascii="Arial" w:hAnsi="Arial" w:cs="Arial"/>
        </w:rPr>
      </w:pPr>
    </w:p>
    <w:p>
      <w:pPr>
        <w:rPr>
          <w:rFonts w:ascii="Arial" w:hAnsi="Arial" w:cs="Arial"/>
        </w:rPr>
      </w:pPr>
      <w:r>
        <w:rPr>
          <w:rFonts w:ascii="Arial" w:hAnsi="Arial" w:cs="Arial"/>
          <w:highlight w:val="green"/>
        </w:rPr>
        <w:t>Agreement</w:t>
      </w:r>
    </w:p>
    <w:p>
      <w:pPr>
        <w:rPr>
          <w:rFonts w:ascii="Arial" w:hAnsi="Arial" w:cs="Arial"/>
          <w:bCs/>
        </w:rPr>
      </w:pPr>
      <w:r>
        <w:rPr>
          <w:rFonts w:ascii="Arial" w:hAnsi="Arial" w:cs="Arial"/>
          <w:bCs/>
        </w:rPr>
        <w:t>TP#2 in section 4.2.5 of R1-2312299 is endorsed for TS36.213 Clause 16.10 and Clause 18.</w:t>
      </w:r>
    </w:p>
    <w:p>
      <w:pPr>
        <w:rPr>
          <w:rFonts w:ascii="Arial" w:hAnsi="Arial" w:cs="Arial"/>
        </w:rPr>
      </w:pPr>
    </w:p>
    <w:p>
      <w:pPr>
        <w:rPr>
          <w:rFonts w:ascii="Arial" w:hAnsi="Arial" w:cs="Arial"/>
        </w:rPr>
      </w:pPr>
      <w:r>
        <w:rPr>
          <w:rFonts w:ascii="Arial" w:hAnsi="Arial" w:cs="Arial"/>
          <w:highlight w:val="green"/>
        </w:rPr>
        <w:t>Agreement</w:t>
      </w:r>
    </w:p>
    <w:p>
      <w:pPr>
        <w:rPr>
          <w:rFonts w:ascii="Arial" w:hAnsi="Arial" w:cs="Arial"/>
          <w:bCs/>
        </w:rPr>
      </w:pPr>
      <w:r>
        <w:rPr>
          <w:rFonts w:ascii="Arial" w:hAnsi="Arial" w:cs="Arial"/>
          <w:bCs/>
        </w:rPr>
        <w:t>Add new higher layer parameter ul-TransmissionExtensionValue for eMTC and NB-IoT for R18 IoT NTN as follows:</w:t>
      </w:r>
    </w:p>
    <w:tbl>
      <w:tblPr>
        <w:tblStyle w:val="51"/>
        <w:tblW w:w="9630" w:type="dxa"/>
        <w:tblInd w:w="0" w:type="dxa"/>
        <w:tblLayout w:type="fixed"/>
        <w:tblCellMar>
          <w:top w:w="0" w:type="dxa"/>
          <w:left w:w="108" w:type="dxa"/>
          <w:bottom w:w="0" w:type="dxa"/>
          <w:right w:w="108" w:type="dxa"/>
        </w:tblCellMar>
      </w:tblPr>
      <w:tblGrid>
        <w:gridCol w:w="422"/>
        <w:gridCol w:w="777"/>
        <w:gridCol w:w="357"/>
        <w:gridCol w:w="425"/>
        <w:gridCol w:w="425"/>
        <w:gridCol w:w="425"/>
        <w:gridCol w:w="567"/>
        <w:gridCol w:w="284"/>
        <w:gridCol w:w="992"/>
        <w:gridCol w:w="1843"/>
        <w:gridCol w:w="850"/>
        <w:gridCol w:w="426"/>
        <w:gridCol w:w="425"/>
        <w:gridCol w:w="567"/>
        <w:gridCol w:w="425"/>
        <w:gridCol w:w="420"/>
      </w:tblGrid>
      <w:tr>
        <w:tblPrEx>
          <w:tblCellMar>
            <w:top w:w="0" w:type="dxa"/>
            <w:left w:w="108" w:type="dxa"/>
            <w:bottom w:w="0" w:type="dxa"/>
            <w:right w:w="108" w:type="dxa"/>
          </w:tblCellMar>
        </w:tblPrEx>
        <w:trPr>
          <w:trHeight w:val="780" w:hRule="atLeast"/>
        </w:trPr>
        <w:tc>
          <w:tcPr>
            <w:tcW w:w="421" w:type="dxa"/>
            <w:tcBorders>
              <w:top w:val="single" w:color="auto" w:sz="4" w:space="0"/>
              <w:left w:val="single" w:color="auto" w:sz="4" w:space="0"/>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WI code</w:t>
            </w:r>
          </w:p>
        </w:tc>
        <w:tc>
          <w:tcPr>
            <w:tcW w:w="77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Sub-feature group</w:t>
            </w:r>
          </w:p>
        </w:tc>
        <w:tc>
          <w:tcPr>
            <w:tcW w:w="35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RAN1 specification</w:t>
            </w:r>
          </w:p>
        </w:tc>
        <w:tc>
          <w:tcPr>
            <w:tcW w:w="42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Section</w:t>
            </w:r>
          </w:p>
        </w:tc>
        <w:tc>
          <w:tcPr>
            <w:tcW w:w="42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RAN2 Parent IE</w:t>
            </w:r>
          </w:p>
        </w:tc>
        <w:tc>
          <w:tcPr>
            <w:tcW w:w="42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RAN2 ASN.1 name</w:t>
            </w:r>
          </w:p>
        </w:tc>
        <w:tc>
          <w:tcPr>
            <w:tcW w:w="56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Parameter name in the spec</w:t>
            </w:r>
          </w:p>
        </w:tc>
        <w:tc>
          <w:tcPr>
            <w:tcW w:w="284"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New or existing?</w:t>
            </w:r>
          </w:p>
        </w:tc>
        <w:tc>
          <w:tcPr>
            <w:tcW w:w="992"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Parameter name in the text</w:t>
            </w:r>
          </w:p>
        </w:tc>
        <w:tc>
          <w:tcPr>
            <w:tcW w:w="1843"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Description</w:t>
            </w:r>
          </w:p>
        </w:tc>
        <w:tc>
          <w:tcPr>
            <w:tcW w:w="850"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Value range</w:t>
            </w:r>
          </w:p>
        </w:tc>
        <w:tc>
          <w:tcPr>
            <w:tcW w:w="426"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Default value aspect</w:t>
            </w:r>
          </w:p>
        </w:tc>
        <w:tc>
          <w:tcPr>
            <w:tcW w:w="42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Per (UE, cell, TRP, …)</w:t>
            </w:r>
          </w:p>
        </w:tc>
        <w:tc>
          <w:tcPr>
            <w:tcW w:w="567"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Required for initial access or IDLE/INACTIVE</w:t>
            </w:r>
          </w:p>
        </w:tc>
        <w:tc>
          <w:tcPr>
            <w:tcW w:w="425"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Specification</w:t>
            </w:r>
          </w:p>
        </w:tc>
        <w:tc>
          <w:tcPr>
            <w:tcW w:w="420" w:type="dxa"/>
            <w:tcBorders>
              <w:top w:val="single" w:color="auto" w:sz="4" w:space="0"/>
              <w:left w:val="nil"/>
              <w:bottom w:val="single" w:color="auto" w:sz="4" w:space="0"/>
              <w:right w:val="single" w:color="auto" w:sz="4" w:space="0"/>
            </w:tcBorders>
            <w:shd w:val="clear" w:color="auto" w:fill="00B0F0"/>
            <w:vAlign w:val="center"/>
          </w:tcPr>
          <w:p>
            <w:pPr>
              <w:rPr>
                <w:rFonts w:ascii="Arial" w:hAnsi="Arial" w:eastAsia="等线" w:cs="Arial"/>
                <w:b/>
                <w:bCs/>
                <w:color w:val="FFFFFF"/>
                <w:lang w:val="en-US" w:eastAsia="zh-CN"/>
              </w:rPr>
            </w:pPr>
            <w:r>
              <w:rPr>
                <w:rFonts w:ascii="Arial" w:hAnsi="Arial" w:eastAsia="等线" w:cs="Arial"/>
                <w:b/>
                <w:bCs/>
                <w:color w:val="FFFFFF"/>
                <w:lang w:val="en-US" w:eastAsia="zh-CN"/>
              </w:rPr>
              <w:t>Comment</w:t>
            </w:r>
          </w:p>
        </w:tc>
      </w:tr>
      <w:tr>
        <w:tblPrEx>
          <w:tblCellMar>
            <w:top w:w="0" w:type="dxa"/>
            <w:left w:w="108" w:type="dxa"/>
            <w:bottom w:w="0" w:type="dxa"/>
            <w:right w:w="108" w:type="dxa"/>
          </w:tblCellMar>
        </w:tblPrEx>
        <w:trPr>
          <w:trHeight w:val="1150" w:hRule="atLeast"/>
        </w:trPr>
        <w:tc>
          <w:tcPr>
            <w:tcW w:w="421" w:type="dxa"/>
            <w:tcBorders>
              <w:top w:val="nil"/>
              <w:left w:val="single" w:color="auto" w:sz="4" w:space="0"/>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IoT_NTN_enh-Core</w:t>
            </w:r>
          </w:p>
        </w:tc>
        <w:tc>
          <w:tcPr>
            <w:tcW w:w="77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 transmission after original GNSS validity duration expires for eMTC</w:t>
            </w:r>
          </w:p>
        </w:tc>
        <w:tc>
          <w:tcPr>
            <w:tcW w:w="357"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36.213</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56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ul-TransmissionExtensionValue</w:t>
            </w:r>
          </w:p>
        </w:tc>
        <w:tc>
          <w:tcPr>
            <w:tcW w:w="284"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New</w:t>
            </w:r>
          </w:p>
        </w:tc>
        <w:tc>
          <w:tcPr>
            <w:tcW w:w="992"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ul-TransmissionExtensionValue</w:t>
            </w:r>
          </w:p>
        </w:tc>
        <w:tc>
          <w:tcPr>
            <w:tcW w:w="1843"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Indicates the duration after original GNSS validity duration expires within which UL transmission is allowed. Value in number of sub-frames, value sf500 corresponds to 500 sub-frames, sf750 corresponds to 750 sub-frames and so on.</w:t>
            </w:r>
          </w:p>
        </w:tc>
        <w:tc>
          <w:tcPr>
            <w:tcW w:w="850"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{sf500, sf750, sf1280, sf1920, sf2560, sf5120, sf10240, spare1}</w:t>
            </w:r>
          </w:p>
        </w:tc>
        <w:tc>
          <w:tcPr>
            <w:tcW w:w="426"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xml:space="preserve">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per UE</w:t>
            </w:r>
          </w:p>
        </w:tc>
        <w:tc>
          <w:tcPr>
            <w:tcW w:w="56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No</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36.331</w:t>
            </w:r>
          </w:p>
        </w:tc>
        <w:tc>
          <w:tcPr>
            <w:tcW w:w="420"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FF0000"/>
                <w:sz w:val="18"/>
                <w:szCs w:val="18"/>
                <w:lang w:val="en-US" w:eastAsia="zh-CN"/>
              </w:rPr>
            </w:pPr>
            <w:r>
              <w:rPr>
                <w:rFonts w:ascii="Arial" w:hAnsi="Arial" w:eastAsia="等线" w:cs="Arial"/>
                <w:color w:val="FF0000"/>
                <w:sz w:val="18"/>
                <w:szCs w:val="18"/>
                <w:lang w:val="en-US"/>
              </w:rPr>
              <w:t>　</w:t>
            </w:r>
          </w:p>
        </w:tc>
      </w:tr>
      <w:tr>
        <w:tblPrEx>
          <w:tblCellMar>
            <w:top w:w="0" w:type="dxa"/>
            <w:left w:w="108" w:type="dxa"/>
            <w:bottom w:w="0" w:type="dxa"/>
            <w:right w:w="108" w:type="dxa"/>
          </w:tblCellMar>
        </w:tblPrEx>
        <w:trPr>
          <w:trHeight w:val="1150" w:hRule="atLeast"/>
        </w:trPr>
        <w:tc>
          <w:tcPr>
            <w:tcW w:w="421" w:type="dxa"/>
            <w:tcBorders>
              <w:top w:val="nil"/>
              <w:left w:val="single" w:color="auto" w:sz="4" w:space="0"/>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IoT_NTN_enh-Core</w:t>
            </w:r>
          </w:p>
        </w:tc>
        <w:tc>
          <w:tcPr>
            <w:tcW w:w="77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 transmission after original GNSS validity duration expires  for NB-IoT</w:t>
            </w:r>
          </w:p>
        </w:tc>
        <w:tc>
          <w:tcPr>
            <w:tcW w:w="357"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36.213</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w:t>
            </w:r>
          </w:p>
        </w:tc>
        <w:tc>
          <w:tcPr>
            <w:tcW w:w="56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ul-TransmissionExtensionValue-NB</w:t>
            </w:r>
          </w:p>
        </w:tc>
        <w:tc>
          <w:tcPr>
            <w:tcW w:w="284"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New</w:t>
            </w:r>
          </w:p>
        </w:tc>
        <w:tc>
          <w:tcPr>
            <w:tcW w:w="992"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ul-TransmissionExtensionValue</w:t>
            </w:r>
          </w:p>
        </w:tc>
        <w:tc>
          <w:tcPr>
            <w:tcW w:w="1843"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Indicates the duration after original GNSS validity duration expires within which UL transmission is allowed. Value in number of sub-frames, value sf500 corresponds to 500 sub-frames, sf750 corresponds to 750 sub-frames and so on.</w:t>
            </w:r>
          </w:p>
        </w:tc>
        <w:tc>
          <w:tcPr>
            <w:tcW w:w="850"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{sf500, sf750, sf1280, sf1920, sf2560, sf5120, sf10240, spare1}</w:t>
            </w:r>
          </w:p>
        </w:tc>
        <w:tc>
          <w:tcPr>
            <w:tcW w:w="426"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lang w:val="en-US"/>
              </w:rPr>
              <w:t xml:space="preserve"> </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per UE</w:t>
            </w:r>
          </w:p>
        </w:tc>
        <w:tc>
          <w:tcPr>
            <w:tcW w:w="567"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No</w:t>
            </w:r>
          </w:p>
        </w:tc>
        <w:tc>
          <w:tcPr>
            <w:tcW w:w="425" w:type="dxa"/>
            <w:tcBorders>
              <w:top w:val="nil"/>
              <w:left w:val="nil"/>
              <w:bottom w:val="single" w:color="auto" w:sz="4" w:space="0"/>
              <w:right w:val="single" w:color="auto" w:sz="4" w:space="0"/>
            </w:tcBorders>
            <w:shd w:val="clear" w:color="auto" w:fill="FFFFFF"/>
            <w:noWrap/>
            <w:vAlign w:val="center"/>
          </w:tcPr>
          <w:p>
            <w:pPr>
              <w:rPr>
                <w:rFonts w:ascii="Arial" w:hAnsi="Arial" w:eastAsia="等线" w:cs="Arial"/>
                <w:color w:val="0070C0"/>
                <w:sz w:val="18"/>
                <w:szCs w:val="18"/>
                <w:lang w:val="en-US" w:eastAsia="zh-CN"/>
              </w:rPr>
            </w:pPr>
            <w:r>
              <w:rPr>
                <w:rFonts w:ascii="Arial" w:hAnsi="Arial" w:eastAsia="等线" w:cs="Arial"/>
                <w:color w:val="0070C0"/>
                <w:sz w:val="18"/>
                <w:szCs w:val="18"/>
              </w:rPr>
              <w:t>36.331</w:t>
            </w:r>
          </w:p>
        </w:tc>
        <w:tc>
          <w:tcPr>
            <w:tcW w:w="420" w:type="dxa"/>
            <w:tcBorders>
              <w:top w:val="nil"/>
              <w:left w:val="nil"/>
              <w:bottom w:val="single" w:color="auto" w:sz="4" w:space="0"/>
              <w:right w:val="single" w:color="auto" w:sz="4" w:space="0"/>
            </w:tcBorders>
            <w:shd w:val="clear" w:color="auto" w:fill="FFFFFF"/>
            <w:vAlign w:val="center"/>
          </w:tcPr>
          <w:p>
            <w:pPr>
              <w:rPr>
                <w:rFonts w:ascii="Arial" w:hAnsi="Arial" w:eastAsia="等线" w:cs="Arial"/>
                <w:color w:val="FF0000"/>
                <w:sz w:val="18"/>
                <w:szCs w:val="18"/>
                <w:lang w:val="en-US" w:eastAsia="zh-CN"/>
              </w:rPr>
            </w:pPr>
            <w:r>
              <w:rPr>
                <w:rFonts w:ascii="Arial" w:hAnsi="Arial" w:eastAsia="等线" w:cs="Arial"/>
                <w:color w:val="FF0000"/>
                <w:sz w:val="18"/>
                <w:szCs w:val="18"/>
                <w:lang w:val="en-US"/>
              </w:rPr>
              <w:t>　</w:t>
            </w:r>
          </w:p>
        </w:tc>
      </w:tr>
    </w:tbl>
    <w:p>
      <w:pPr>
        <w:rPr>
          <w:rFonts w:ascii="Arial" w:hAnsi="Arial" w:eastAsia="Yu Mincho" w:cs="Arial"/>
          <w:highlight w:val="cyan"/>
          <w:lang w:eastAsia="ja-JP"/>
        </w:rPr>
      </w:pPr>
    </w:p>
    <w:p>
      <w:pPr>
        <w:pStyle w:val="5"/>
        <w:keepNext w:val="0"/>
        <w:numPr>
          <w:ilvl w:val="2"/>
          <w:numId w:val="13"/>
        </w:numPr>
        <w:ind w:left="340" w:hanging="340"/>
        <w:rPr>
          <w:rFonts w:cs="Arial"/>
          <w:lang w:eastAsia="ja-JP"/>
        </w:rPr>
      </w:pPr>
      <w:r>
        <w:rPr>
          <w:rFonts w:cs="Arial"/>
          <w:lang w:eastAsia="ja-JP"/>
        </w:rPr>
        <w:t>Remaining Open issues</w:t>
      </w:r>
    </w:p>
    <w:p>
      <w:pPr>
        <w:rPr>
          <w:rFonts w:ascii="Arial" w:hAnsi="Arial" w:cs="Arial"/>
        </w:rPr>
      </w:pPr>
    </w:p>
    <w:p>
      <w:pPr>
        <w:pStyle w:val="3"/>
        <w:keepNext w:val="0"/>
        <w:rPr>
          <w:rFonts w:cs="Arial"/>
          <w:lang w:eastAsia="ja-JP"/>
        </w:rPr>
      </w:pPr>
      <w:r>
        <w:rPr>
          <w:rFonts w:cs="Arial"/>
          <w:lang w:eastAsia="ja-JP"/>
        </w:rPr>
        <w:t>2.2</w:t>
      </w:r>
      <w:r>
        <w:rPr>
          <w:rFonts w:cs="Arial"/>
          <w:lang w:eastAsia="ja-JP"/>
        </w:rPr>
        <w:tab/>
      </w:r>
      <w:r>
        <w:rPr>
          <w:rFonts w:cs="Arial"/>
          <w:lang w:eastAsia="ja-JP"/>
        </w:rPr>
        <w:t>RAN2</w:t>
      </w:r>
    </w:p>
    <w:p>
      <w:pPr>
        <w:pStyle w:val="5"/>
        <w:keepNext w:val="0"/>
        <w:rPr>
          <w:rFonts w:cs="Arial"/>
          <w:lang w:eastAsia="ja-JP"/>
        </w:rPr>
      </w:pPr>
      <w:r>
        <w:rPr>
          <w:rFonts w:cs="Arial"/>
          <w:lang w:eastAsia="ja-JP"/>
        </w:rPr>
        <w:t>2.2.1</w:t>
      </w:r>
      <w:r>
        <w:rPr>
          <w:rFonts w:cs="Arial"/>
          <w:lang w:eastAsia="ja-JP"/>
        </w:rPr>
        <w:tab/>
      </w:r>
      <w:r>
        <w:rPr>
          <w:rFonts w:cs="Arial"/>
          <w:lang w:eastAsia="ja-JP"/>
        </w:rPr>
        <w:t>Agreements</w:t>
      </w:r>
    </w:p>
    <w:p>
      <w:pPr>
        <w:outlineLvl w:val="5"/>
        <w:rPr>
          <w:rFonts w:ascii="Arial" w:hAnsi="Arial" w:cs="Arial"/>
          <w:b/>
          <w:lang w:eastAsia="en-US"/>
        </w:rPr>
      </w:pPr>
      <w:r>
        <w:rPr>
          <w:rFonts w:ascii="Arial" w:hAnsi="Arial" w:cs="Arial"/>
          <w:b/>
          <w:lang w:eastAsia="en-US"/>
        </w:rPr>
        <w:t>RAN2#123-bis, October 9th – October 13th, 2023, Xiamen, China</w:t>
      </w:r>
    </w:p>
    <w:p>
      <w:pPr>
        <w:rPr>
          <w:rFonts w:ascii="Arial" w:hAnsi="Arial" w:cs="Arial"/>
          <w:b/>
          <w:lang w:eastAsia="ja-JP"/>
        </w:rPr>
      </w:pPr>
      <w:r>
        <w:rPr>
          <w:rFonts w:ascii="Arial" w:hAnsi="Arial" w:cs="Arial"/>
          <w:b/>
          <w:u w:val="single"/>
          <w:lang w:eastAsia="ja-JP"/>
        </w:rPr>
        <w:t>Agreements on “7.6.2.1 HARQ Enhancements”</w:t>
      </w:r>
    </w:p>
    <w:p>
      <w:pPr>
        <w:rPr>
          <w:rFonts w:ascii="Arial" w:hAnsi="Arial" w:cs="Arial"/>
          <w:lang w:eastAsia="ja-JP"/>
        </w:rPr>
      </w:pPr>
      <w:r>
        <w:rPr>
          <w:rFonts w:ascii="Arial" w:hAnsi="Arial" w:cs="Arial"/>
          <w:lang w:eastAsia="ja-JP"/>
        </w:rPr>
        <w:t>Agreements:</w:t>
      </w:r>
    </w:p>
    <w:p>
      <w:pPr>
        <w:pStyle w:val="132"/>
        <w:numPr>
          <w:ilvl w:val="0"/>
          <w:numId w:val="14"/>
        </w:numPr>
        <w:ind w:leftChars="0"/>
        <w:rPr>
          <w:rFonts w:ascii="Arial" w:hAnsi="Arial" w:cs="Arial"/>
          <w:sz w:val="20"/>
          <w:szCs w:val="20"/>
        </w:rPr>
      </w:pPr>
      <w:r>
        <w:rPr>
          <w:rFonts w:ascii="Arial" w:hAnsi="Arial" w:cs="Arial"/>
          <w:sz w:val="20"/>
          <w:szCs w:val="20"/>
        </w:rPr>
        <w:t>For NB-IoT UEs configured with two HARQ processes and at least one of them is configured with HARQ feedback disabled, RAN2 does not change the operation on drx-InactivityTimer for single-TB scheduling case.</w:t>
      </w:r>
    </w:p>
    <w:p>
      <w:pPr>
        <w:pStyle w:val="132"/>
        <w:numPr>
          <w:ilvl w:val="0"/>
          <w:numId w:val="14"/>
        </w:numPr>
        <w:ind w:leftChars="0"/>
        <w:rPr>
          <w:rFonts w:ascii="Arial" w:hAnsi="Arial" w:cs="Arial"/>
          <w:sz w:val="20"/>
          <w:szCs w:val="20"/>
        </w:rPr>
      </w:pPr>
      <w:r>
        <w:rPr>
          <w:rFonts w:ascii="Arial" w:hAnsi="Arial" w:cs="Arial"/>
          <w:sz w:val="20"/>
          <w:szCs w:val="20"/>
        </w:rPr>
        <w:t xml:space="preserve">For a HARQ process configured as HARQ feedback disabled by RRC and further reversed to HARQ feedback enabled by DCI, UE behaviour on DRX follows the case when HARQ feedback is disabled. </w:t>
      </w:r>
    </w:p>
    <w:p>
      <w:pPr>
        <w:pStyle w:val="132"/>
        <w:numPr>
          <w:ilvl w:val="0"/>
          <w:numId w:val="14"/>
        </w:numPr>
        <w:ind w:leftChars="0"/>
        <w:rPr>
          <w:rFonts w:ascii="Arial" w:hAnsi="Arial" w:cs="Arial"/>
          <w:sz w:val="20"/>
          <w:szCs w:val="20"/>
        </w:rPr>
      </w:pPr>
      <w:r>
        <w:rPr>
          <w:rFonts w:ascii="Arial" w:hAnsi="Arial" w:cs="Arial"/>
          <w:sz w:val="20"/>
          <w:szCs w:val="20"/>
        </w:rPr>
        <w:t>For multiple UL TBs scheduling, it is up to network implementation to configure multiple TBs using HARQ processes in the same or different HARQ modes. Start time for UL HARQ RTT timer for mode A will not change</w:t>
      </w:r>
    </w:p>
    <w:p>
      <w:pPr>
        <w:pStyle w:val="132"/>
        <w:numPr>
          <w:ilvl w:val="0"/>
          <w:numId w:val="14"/>
        </w:numPr>
        <w:ind w:leftChars="0"/>
        <w:rPr>
          <w:rFonts w:ascii="Arial" w:hAnsi="Arial" w:cs="Arial"/>
          <w:sz w:val="20"/>
          <w:szCs w:val="20"/>
        </w:rPr>
      </w:pPr>
      <w:r>
        <w:rPr>
          <w:rFonts w:ascii="Arial" w:hAnsi="Arial" w:cs="Arial"/>
          <w:sz w:val="20"/>
          <w:szCs w:val="20"/>
        </w:rPr>
        <w:t>For multiple TB scheduling with the same HARQ feedback enabled/disabled configuration (by RRC/DCI), HARQ RTT Timer for HARQ process with HARQ feedback enabled is calculated as legacy (can further check in offline 308)</w:t>
      </w:r>
    </w:p>
    <w:p>
      <w:pPr>
        <w:pStyle w:val="132"/>
        <w:numPr>
          <w:ilvl w:val="0"/>
          <w:numId w:val="14"/>
        </w:numPr>
        <w:ind w:leftChars="0"/>
        <w:rPr>
          <w:rFonts w:ascii="Arial" w:hAnsi="Arial" w:cs="Arial"/>
          <w:sz w:val="20"/>
          <w:szCs w:val="20"/>
        </w:rPr>
      </w:pPr>
      <w:r>
        <w:rPr>
          <w:rFonts w:ascii="Arial" w:hAnsi="Arial" w:cs="Arial"/>
          <w:sz w:val="20"/>
          <w:szCs w:val="20"/>
        </w:rPr>
        <w:t>For multiple TB scheduling with mixed HARQ feedback enabled/disabled configuration (by RRC), if HARQ-ACK bundling is configured, HARQ RTT Timer for HARQ process with HARQ feedback enabled is calculated as legacy.</w:t>
      </w:r>
    </w:p>
    <w:p>
      <w:pPr>
        <w:pStyle w:val="132"/>
        <w:numPr>
          <w:ilvl w:val="0"/>
          <w:numId w:val="14"/>
        </w:numPr>
        <w:ind w:leftChars="0"/>
        <w:rPr>
          <w:rFonts w:ascii="Arial" w:hAnsi="Arial" w:cs="Arial"/>
          <w:sz w:val="20"/>
          <w:szCs w:val="20"/>
        </w:rPr>
      </w:pPr>
      <w:r>
        <w:rPr>
          <w:rFonts w:ascii="Arial" w:hAnsi="Arial" w:cs="Arial"/>
          <w:sz w:val="20"/>
          <w:szCs w:val="20"/>
        </w:rPr>
        <w:t>HARQ mode configuration is not applicable for PUR in IoT NTN</w:t>
      </w:r>
    </w:p>
    <w:p>
      <w:pPr>
        <w:pStyle w:val="132"/>
        <w:numPr>
          <w:ilvl w:val="0"/>
          <w:numId w:val="14"/>
        </w:numPr>
        <w:ind w:leftChars="0"/>
        <w:rPr>
          <w:rFonts w:ascii="Arial" w:hAnsi="Arial" w:cs="Arial"/>
          <w:sz w:val="20"/>
          <w:szCs w:val="20"/>
        </w:rPr>
      </w:pPr>
      <w:r>
        <w:rPr>
          <w:rFonts w:ascii="Arial" w:hAnsi="Arial" w:cs="Arial"/>
          <w:sz w:val="20"/>
          <w:szCs w:val="20"/>
        </w:rPr>
        <w:t>For NB-IoT UE configured with two HARQ processes and at least one of them is configured with HARQ mode B, RAN2 does no change to the operation on drx-InactivityTimer for single TB scheduling case.</w:t>
      </w:r>
    </w:p>
    <w:p>
      <w:pPr>
        <w:pStyle w:val="132"/>
        <w:numPr>
          <w:ilvl w:val="0"/>
          <w:numId w:val="14"/>
        </w:numPr>
        <w:ind w:leftChars="0"/>
        <w:rPr>
          <w:rFonts w:ascii="Arial" w:hAnsi="Arial" w:cs="Arial"/>
          <w:sz w:val="20"/>
          <w:szCs w:val="20"/>
        </w:rPr>
      </w:pPr>
      <w:r>
        <w:rPr>
          <w:rFonts w:ascii="Arial" w:hAnsi="Arial" w:cs="Arial"/>
          <w:sz w:val="20"/>
          <w:szCs w:val="20"/>
        </w:rPr>
        <w:t>For eMTC over NTN with HARQ process configured with HARQ mode B, there is no need to change drx-InactivityTimer operation.</w:t>
      </w:r>
    </w:p>
    <w:p>
      <w:pPr>
        <w:pStyle w:val="132"/>
        <w:numPr>
          <w:ilvl w:val="0"/>
          <w:numId w:val="14"/>
        </w:numPr>
        <w:ind w:leftChars="0"/>
        <w:rPr>
          <w:rFonts w:ascii="Arial" w:hAnsi="Arial" w:cs="Arial"/>
          <w:sz w:val="20"/>
          <w:szCs w:val="20"/>
        </w:rPr>
      </w:pPr>
      <w:r>
        <w:rPr>
          <w:rFonts w:ascii="Arial" w:hAnsi="Arial" w:cs="Arial"/>
          <w:sz w:val="20"/>
          <w:szCs w:val="20"/>
        </w:rP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drx-InactivityTimer in the subframe containing the last repetition of the PDSCH plus 12 subframes plus deltaPDCCH).</w:t>
      </w:r>
    </w:p>
    <w:p>
      <w:pPr>
        <w:pStyle w:val="132"/>
        <w:numPr>
          <w:ilvl w:val="0"/>
          <w:numId w:val="14"/>
        </w:numPr>
        <w:ind w:leftChars="0"/>
        <w:rPr>
          <w:rFonts w:ascii="Arial" w:hAnsi="Arial" w:cs="Arial"/>
          <w:sz w:val="20"/>
          <w:szCs w:val="20"/>
        </w:rPr>
      </w:pPr>
      <w:r>
        <w:rPr>
          <w:rFonts w:ascii="Arial" w:hAnsi="Arial" w:cs="Arial"/>
          <w:sz w:val="20"/>
          <w:szCs w:val="20"/>
        </w:rPr>
        <w:t>For multiple TB scheduling with the same HARQ feedback enabled configuration at least by RRC, HARQ RTT Timer for HARQ process with HARQ feedback enabled is calculated as legacy.</w:t>
      </w:r>
    </w:p>
    <w:p>
      <w:pPr>
        <w:pStyle w:val="132"/>
        <w:numPr>
          <w:ilvl w:val="0"/>
          <w:numId w:val="14"/>
        </w:numPr>
        <w:ind w:leftChars="0"/>
        <w:rPr>
          <w:rFonts w:ascii="Arial" w:hAnsi="Arial" w:cs="Arial"/>
          <w:sz w:val="20"/>
          <w:szCs w:val="20"/>
        </w:rPr>
      </w:pPr>
      <w:r>
        <w:rPr>
          <w:rFonts w:ascii="Arial" w:hAnsi="Arial" w:cs="Arial"/>
          <w:sz w:val="20"/>
          <w:szCs w:val="20"/>
        </w:rPr>
        <w:t>In Rel-18 IoT NTN, if a NB-IoT UE receives a PDCCH indicating the transmission for multiple DL TBs, UE stops drx-InactivityTimer as legacy, regardless of the enabling/disabling HARQ feedback configuration for each of the multiple scheduled TB.</w:t>
      </w:r>
    </w:p>
    <w:p>
      <w:pPr>
        <w:pStyle w:val="132"/>
        <w:numPr>
          <w:ilvl w:val="0"/>
          <w:numId w:val="14"/>
        </w:numPr>
        <w:ind w:leftChars="0"/>
        <w:rPr>
          <w:rFonts w:ascii="Arial" w:hAnsi="Arial" w:cs="Arial"/>
          <w:sz w:val="20"/>
          <w:szCs w:val="20"/>
        </w:rPr>
      </w:pPr>
      <w:r>
        <w:rPr>
          <w:rFonts w:ascii="Arial" w:hAnsi="Arial" w:cs="Arial"/>
          <w:sz w:val="20"/>
          <w:szCs w:val="20"/>
        </w:rPr>
        <w:t>For UL multiple TB scheduling, UE only starts the UL HARQ RTT Timer for the HARQ process(es) with HARQ mode A.</w:t>
      </w:r>
    </w:p>
    <w:p>
      <w:pPr>
        <w:pStyle w:val="132"/>
        <w:numPr>
          <w:ilvl w:val="0"/>
          <w:numId w:val="14"/>
        </w:numPr>
        <w:ind w:leftChars="0"/>
        <w:rPr>
          <w:rFonts w:ascii="Arial" w:hAnsi="Arial" w:cs="Arial"/>
          <w:sz w:val="20"/>
          <w:szCs w:val="20"/>
        </w:rPr>
      </w:pPr>
      <w:r>
        <w:rPr>
          <w:rFonts w:ascii="Arial" w:hAnsi="Arial" w:cs="Arial"/>
          <w:sz w:val="20"/>
          <w:szCs w:val="20"/>
        </w:rPr>
        <w:t>In Rel-18 IoT NTN, if a NB-IoT UE receives a PDCCH indicating the transmission for UL multiple TBs, UE stops drx-InactivityTimer as legacy, regardless of the HARQ mode configuration for each of the multiple scheduled TB.</w:t>
      </w:r>
    </w:p>
    <w:p>
      <w:pPr>
        <w:pStyle w:val="132"/>
        <w:numPr>
          <w:ilvl w:val="0"/>
          <w:numId w:val="14"/>
        </w:numPr>
        <w:ind w:leftChars="0"/>
        <w:rPr>
          <w:rFonts w:ascii="Arial" w:hAnsi="Arial" w:cs="Arial"/>
          <w:sz w:val="20"/>
          <w:szCs w:val="20"/>
        </w:rPr>
      </w:pPr>
      <w:r>
        <w:rPr>
          <w:rFonts w:ascii="Arial" w:hAnsi="Arial" w:cs="Arial"/>
          <w:sz w:val="20"/>
          <w:szCs w:val="20"/>
        </w:rPr>
        <w:t>HARQ feedback enabled/disabled and HARQ mode configuration related to SPS are already perfectly captured by the NOTE in stage-2 running CR (no further spec changes are needed)</w:t>
      </w:r>
    </w:p>
    <w:p>
      <w:pPr>
        <w:rPr>
          <w:rFonts w:ascii="Arial" w:hAnsi="Arial" w:cs="Arial"/>
          <w:b/>
          <w:lang w:eastAsia="ja-JP"/>
        </w:rPr>
      </w:pPr>
      <w:r>
        <w:rPr>
          <w:rFonts w:ascii="Arial" w:hAnsi="Arial" w:cs="Arial"/>
          <w:b/>
          <w:u w:val="single"/>
          <w:lang w:eastAsia="ja-JP"/>
        </w:rPr>
        <w:t>Agreements on “7.6.2.2 GNSS Operation Enhancements”</w:t>
      </w:r>
    </w:p>
    <w:p>
      <w:pPr>
        <w:pStyle w:val="132"/>
        <w:numPr>
          <w:ilvl w:val="0"/>
          <w:numId w:val="14"/>
        </w:numPr>
        <w:ind w:leftChars="0"/>
        <w:rPr>
          <w:rFonts w:ascii="Arial" w:hAnsi="Arial" w:cs="Arial"/>
          <w:sz w:val="20"/>
          <w:szCs w:val="20"/>
        </w:rPr>
      </w:pPr>
      <w:r>
        <w:rPr>
          <w:rFonts w:ascii="Arial" w:hAnsi="Arial" w:cs="Arial"/>
          <w:sz w:val="20"/>
          <w:szCs w:val="20"/>
        </w:rPr>
        <w:t>A new RRC parameter is introduced in dedicated RRC signalling to enable/disable duration X.</w:t>
      </w:r>
    </w:p>
    <w:p>
      <w:pPr>
        <w:pStyle w:val="132"/>
        <w:numPr>
          <w:ilvl w:val="0"/>
          <w:numId w:val="14"/>
        </w:numPr>
        <w:ind w:leftChars="0"/>
        <w:rPr>
          <w:rFonts w:ascii="Arial" w:hAnsi="Arial" w:cs="Arial"/>
          <w:sz w:val="20"/>
          <w:szCs w:val="20"/>
        </w:rPr>
      </w:pPr>
      <w:r>
        <w:rPr>
          <w:rFonts w:ascii="Arial" w:hAnsi="Arial" w:cs="Arial"/>
          <w:sz w:val="20"/>
          <w:szCs w:val="20"/>
        </w:rPr>
        <w:t>A new RRC parameter is introduced in dedicated RRC signalling to configure duration Y when timeAlignmentTimer is infinity.</w:t>
      </w:r>
    </w:p>
    <w:p>
      <w:pPr>
        <w:pStyle w:val="132"/>
        <w:numPr>
          <w:ilvl w:val="0"/>
          <w:numId w:val="14"/>
        </w:numPr>
        <w:ind w:leftChars="0"/>
        <w:rPr>
          <w:rFonts w:ascii="Arial" w:hAnsi="Arial" w:cs="Arial"/>
          <w:sz w:val="20"/>
          <w:szCs w:val="20"/>
        </w:rPr>
      </w:pPr>
      <w:r>
        <w:rPr>
          <w:rFonts w:ascii="Arial" w:hAnsi="Arial" w:cs="Arial"/>
          <w:sz w:val="20"/>
          <w:szCs w:val="20"/>
        </w:rPr>
        <w:t xml:space="preserve">GNSS Duration Report MAC CE will not trigger SR; instead CBRA will be used. </w:t>
      </w:r>
    </w:p>
    <w:p>
      <w:pPr>
        <w:pStyle w:val="132"/>
        <w:numPr>
          <w:ilvl w:val="0"/>
          <w:numId w:val="14"/>
        </w:numPr>
        <w:ind w:leftChars="0"/>
        <w:rPr>
          <w:rFonts w:ascii="Arial" w:hAnsi="Arial" w:cs="Arial"/>
          <w:sz w:val="20"/>
          <w:szCs w:val="20"/>
        </w:rPr>
      </w:pPr>
      <w:r>
        <w:rPr>
          <w:rFonts w:ascii="Arial" w:hAnsi="Arial" w:cs="Arial"/>
          <w:sz w:val="20"/>
          <w:szCs w:val="20"/>
        </w:rPr>
        <w:t>A reserved LCID will be used for GNSS measurement command MAC CE (in DL).</w:t>
      </w:r>
    </w:p>
    <w:p>
      <w:pPr>
        <w:pStyle w:val="132"/>
        <w:numPr>
          <w:ilvl w:val="0"/>
          <w:numId w:val="14"/>
        </w:numPr>
        <w:ind w:leftChars="0"/>
        <w:rPr>
          <w:rFonts w:ascii="Arial" w:hAnsi="Arial" w:cs="Arial"/>
          <w:sz w:val="20"/>
          <w:szCs w:val="20"/>
        </w:rPr>
      </w:pPr>
      <w:r>
        <w:rPr>
          <w:rFonts w:ascii="Arial" w:hAnsi="Arial" w:cs="Arial"/>
          <w:sz w:val="20"/>
          <w:szCs w:val="20"/>
        </w:rPr>
        <w:t>GNSS measurement validity duration report MAC CE priority is in-between TAR MAC CE and BSR MAC CE.</w:t>
      </w:r>
    </w:p>
    <w:p>
      <w:pPr>
        <w:pStyle w:val="132"/>
        <w:numPr>
          <w:ilvl w:val="0"/>
          <w:numId w:val="14"/>
        </w:numPr>
        <w:ind w:leftChars="0"/>
        <w:rPr>
          <w:rFonts w:ascii="Arial" w:hAnsi="Arial" w:cs="Arial"/>
          <w:sz w:val="20"/>
          <w:szCs w:val="20"/>
        </w:rPr>
      </w:pPr>
      <w:r>
        <w:rPr>
          <w:rFonts w:ascii="Arial" w:hAnsi="Arial" w:cs="Arial"/>
          <w:sz w:val="20"/>
          <w:szCs w:val="20"/>
        </w:rPr>
        <w:t>The following update in NOTE in Stage 2 running CR is agreed:</w:t>
      </w:r>
    </w:p>
    <w:p>
      <w:pPr>
        <w:pStyle w:val="132"/>
        <w:ind w:left="720" w:leftChars="0"/>
        <w:rPr>
          <w:rFonts w:ascii="Arial" w:hAnsi="Arial" w:cs="Arial"/>
          <w:sz w:val="20"/>
          <w:szCs w:val="20"/>
        </w:rPr>
      </w:pPr>
      <w:r>
        <w:rPr>
          <w:rFonts w:ascii="Arial" w:hAnsi="Arial" w:cs="Arial"/>
          <w:sz w:val="20"/>
          <w:szCs w:val="20"/>
        </w:rPr>
        <w:t>NOTE: The AS operations (e.g. RLM related timers, dataInactivityTimer, CHO execution, neighbour cell measurement, RACH, SR, and BSR) are suspended when UE is performing GNSS measurement during GNSS measurement gap and resumed when the GNSS measurement is finished</w:t>
      </w:r>
    </w:p>
    <w:p>
      <w:pPr>
        <w:pStyle w:val="132"/>
        <w:numPr>
          <w:ilvl w:val="0"/>
          <w:numId w:val="14"/>
        </w:numPr>
        <w:ind w:leftChars="0"/>
        <w:rPr>
          <w:rFonts w:ascii="Arial" w:hAnsi="Arial" w:cs="Arial"/>
          <w:sz w:val="20"/>
          <w:szCs w:val="20"/>
        </w:rPr>
      </w:pPr>
      <w:r>
        <w:rPr>
          <w:rFonts w:ascii="Arial" w:hAnsi="Arial" w:cs="Arial"/>
          <w:sz w:val="20"/>
          <w:szCs w:val="20"/>
        </w:rPr>
        <w:t>The following update in NOTE in Stage 2 running CR is agreed ((FFS whether to suspend T317, T318 during measurement gap):</w:t>
      </w:r>
    </w:p>
    <w:p>
      <w:pPr>
        <w:pStyle w:val="132"/>
        <w:ind w:left="720" w:leftChars="0"/>
        <w:rPr>
          <w:rFonts w:ascii="Arial" w:hAnsi="Arial" w:cs="Arial"/>
          <w:sz w:val="20"/>
          <w:szCs w:val="20"/>
        </w:rPr>
      </w:pPr>
      <w:r>
        <w:rPr>
          <w:rFonts w:ascii="Arial" w:hAnsi="Arial" w:cs="Arial"/>
          <w:sz w:val="20"/>
          <w:szCs w:val="20"/>
        </w:rPr>
        <w:t>NOTE: The AS operations (e.g. RLM related timers, dataInactivityTimer, CHO execution, neighbour cell measurement, RACH, SR, and BSR) are suspended when UE is performing GNSS measurement during GNSS measurement gap</w:t>
      </w:r>
    </w:p>
    <w:p>
      <w:pPr>
        <w:pStyle w:val="132"/>
        <w:numPr>
          <w:ilvl w:val="0"/>
          <w:numId w:val="14"/>
        </w:numPr>
        <w:ind w:leftChars="0"/>
        <w:rPr>
          <w:rFonts w:ascii="Arial" w:hAnsi="Arial" w:cs="Arial"/>
          <w:sz w:val="20"/>
          <w:szCs w:val="20"/>
        </w:rPr>
      </w:pPr>
      <w:r>
        <w:rPr>
          <w:rFonts w:ascii="Arial" w:hAnsi="Arial" w:cs="Arial"/>
          <w:sz w:val="20"/>
          <w:szCs w:val="20"/>
        </w:rPr>
        <w:t>For both network-triggered and UE-autonomous Measurement Gap Length Configuration: Use MAC CE (with 1 bit indication to differentiate the two cases) (FFS if a RRC configuration is needed for NW trigger case)</w:t>
      </w:r>
    </w:p>
    <w:p>
      <w:pPr>
        <w:rPr>
          <w:rFonts w:ascii="Arial" w:hAnsi="Arial" w:cs="Arial"/>
          <w:lang w:eastAsia="ja-JP"/>
        </w:rPr>
      </w:pPr>
      <w:r>
        <w:rPr>
          <w:rFonts w:ascii="Arial" w:hAnsi="Arial" w:cs="Arial"/>
          <w:b/>
          <w:u w:val="single"/>
          <w:lang w:eastAsia="ja-JP"/>
        </w:rPr>
        <w:t>Agreements on “7.6.3 Mobility Enhancements”</w:t>
      </w:r>
    </w:p>
    <w:p>
      <w:pPr>
        <w:pStyle w:val="132"/>
        <w:numPr>
          <w:ilvl w:val="0"/>
          <w:numId w:val="14"/>
        </w:numPr>
        <w:ind w:leftChars="0"/>
        <w:rPr>
          <w:rFonts w:ascii="Arial" w:hAnsi="Arial" w:cs="Arial"/>
          <w:sz w:val="20"/>
          <w:szCs w:val="20"/>
        </w:rPr>
      </w:pPr>
      <w:r>
        <w:rPr>
          <w:rFonts w:ascii="Arial" w:hAnsi="Arial" w:cs="Arial"/>
          <w:sz w:val="20"/>
          <w:szCs w:val="20"/>
        </w:rPr>
        <w:t xml:space="preserve">Upon absence of satellite IDs for intra-frequency, the UE assumes Rel-17 behavior for intra-frequency measurements, i.e., measurement according to UE implementation. </w:t>
      </w:r>
    </w:p>
    <w:p>
      <w:pPr>
        <w:pStyle w:val="132"/>
        <w:numPr>
          <w:ilvl w:val="0"/>
          <w:numId w:val="14"/>
        </w:numPr>
        <w:ind w:leftChars="0"/>
        <w:rPr>
          <w:rFonts w:ascii="Arial" w:hAnsi="Arial" w:cs="Arial"/>
          <w:sz w:val="20"/>
          <w:szCs w:val="20"/>
        </w:rPr>
      </w:pPr>
      <w:r>
        <w:rPr>
          <w:rFonts w:ascii="Arial" w:hAnsi="Arial" w:cs="Arial"/>
          <w:sz w:val="20"/>
          <w:szCs w:val="20"/>
        </w:rPr>
        <w:t xml:space="preserve">Upon absence of satellite IDs for inter-frequency, the UE assumes Rel-17 behavior for inter-frequency measurements, i.e., measurement according to UE implementation. </w:t>
      </w:r>
    </w:p>
    <w:p>
      <w:pPr>
        <w:pStyle w:val="132"/>
        <w:numPr>
          <w:ilvl w:val="0"/>
          <w:numId w:val="14"/>
        </w:numPr>
        <w:ind w:leftChars="0"/>
        <w:rPr>
          <w:rFonts w:ascii="Arial" w:hAnsi="Arial" w:cs="Arial"/>
          <w:sz w:val="20"/>
          <w:szCs w:val="20"/>
        </w:rPr>
      </w:pPr>
      <w:r>
        <w:rPr>
          <w:rFonts w:ascii="Arial" w:hAnsi="Arial" w:cs="Arial"/>
          <w:sz w:val="20"/>
          <w:szCs w:val="20"/>
        </w:rPr>
        <w:t>RAN2 understands that if SIBxx is present, then satellite IDs in either SIB3, SIB5 or both SIB3 and SIB5 should be present (up to NW implementation, no spec impact)</w:t>
      </w:r>
    </w:p>
    <w:p>
      <w:pPr>
        <w:pStyle w:val="132"/>
        <w:numPr>
          <w:ilvl w:val="0"/>
          <w:numId w:val="14"/>
        </w:numPr>
        <w:ind w:leftChars="0"/>
        <w:rPr>
          <w:rFonts w:ascii="Arial" w:hAnsi="Arial" w:cs="Arial"/>
          <w:sz w:val="20"/>
          <w:szCs w:val="20"/>
        </w:rPr>
      </w:pPr>
      <w:r>
        <w:rPr>
          <w:rFonts w:ascii="Arial" w:hAnsi="Arial" w:cs="Arial"/>
          <w:sz w:val="20"/>
          <w:szCs w:val="20"/>
        </w:rPr>
        <w:t>Satellite assistance information is provided per frequency, and not associated with PCIs. The satellite IDs for intra-frequency measurements are in SIB3 as in the current running CR (no need to place them into SIB4).</w:t>
      </w:r>
    </w:p>
    <w:p>
      <w:pPr>
        <w:pStyle w:val="132"/>
        <w:numPr>
          <w:ilvl w:val="0"/>
          <w:numId w:val="14"/>
        </w:numPr>
        <w:ind w:leftChars="0"/>
        <w:rPr>
          <w:rFonts w:ascii="Arial" w:hAnsi="Arial" w:cs="Arial"/>
          <w:sz w:val="20"/>
          <w:szCs w:val="20"/>
        </w:rPr>
      </w:pPr>
      <w:r>
        <w:rPr>
          <w:rFonts w:ascii="Arial" w:hAnsi="Arial" w:cs="Arial"/>
          <w:sz w:val="20"/>
          <w:szCs w:val="20"/>
        </w:rPr>
        <w:t>Introduce satellite ID for serving satellite (in SIB31) as well. RAN2 does not consider implicitly reusing serving satellite assistance information.</w:t>
      </w:r>
    </w:p>
    <w:p>
      <w:pPr>
        <w:pStyle w:val="132"/>
        <w:numPr>
          <w:ilvl w:val="0"/>
          <w:numId w:val="14"/>
        </w:numPr>
        <w:ind w:leftChars="0"/>
        <w:rPr>
          <w:rFonts w:ascii="Arial" w:hAnsi="Arial" w:cs="Arial"/>
          <w:sz w:val="20"/>
          <w:szCs w:val="20"/>
        </w:rPr>
      </w:pPr>
      <w:r>
        <w:rPr>
          <w:rFonts w:ascii="Arial" w:hAnsi="Arial" w:cs="Arial"/>
          <w:sz w:val="20"/>
          <w:szCs w:val="20"/>
        </w:rPr>
        <w:t>t-ServiceStartNeigh is signalled per satellite</w:t>
      </w:r>
    </w:p>
    <w:p>
      <w:pPr>
        <w:pStyle w:val="132"/>
        <w:numPr>
          <w:ilvl w:val="0"/>
          <w:numId w:val="14"/>
        </w:numPr>
        <w:ind w:leftChars="0"/>
        <w:rPr>
          <w:rFonts w:ascii="Arial" w:hAnsi="Arial" w:cs="Arial"/>
          <w:sz w:val="20"/>
          <w:szCs w:val="20"/>
        </w:rPr>
      </w:pPr>
      <w:r>
        <w:rPr>
          <w:rFonts w:ascii="Arial" w:hAnsi="Arial" w:cs="Arial"/>
          <w:sz w:val="20"/>
          <w:szCs w:val="20"/>
        </w:rPr>
        <w:t>Separate reference locations are introduced for earth-quasi fixed cells and earth-moving cells.</w:t>
      </w:r>
    </w:p>
    <w:p>
      <w:pPr>
        <w:pStyle w:val="132"/>
        <w:numPr>
          <w:ilvl w:val="0"/>
          <w:numId w:val="14"/>
        </w:numPr>
        <w:ind w:leftChars="0"/>
        <w:rPr>
          <w:rFonts w:ascii="Arial" w:hAnsi="Arial" w:cs="Arial"/>
          <w:sz w:val="20"/>
          <w:szCs w:val="20"/>
        </w:rPr>
      </w:pPr>
      <w:r>
        <w:rPr>
          <w:rFonts w:ascii="Arial" w:hAnsi="Arial" w:cs="Arial"/>
          <w:sz w:val="20"/>
          <w:szCs w:val="20"/>
        </w:rPr>
        <w:t xml:space="preserve">Working assumption: </w:t>
      </w:r>
    </w:p>
    <w:p>
      <w:pPr>
        <w:pStyle w:val="132"/>
        <w:numPr>
          <w:ilvl w:val="0"/>
          <w:numId w:val="14"/>
        </w:numPr>
        <w:ind w:leftChars="0"/>
        <w:rPr>
          <w:rFonts w:ascii="Arial" w:hAnsi="Arial" w:cs="Arial"/>
          <w:sz w:val="20"/>
          <w:szCs w:val="20"/>
        </w:rPr>
      </w:pPr>
      <w:r>
        <w:rPr>
          <w:rFonts w:ascii="Arial" w:hAnsi="Arial" w:cs="Arial"/>
          <w:sz w:val="20"/>
          <w:szCs w:val="20"/>
        </w:rPr>
        <w:t>Adopt the same decision as for NR NTN to discriminate whether a frequency is for TN or NTN</w:t>
      </w:r>
    </w:p>
    <w:p>
      <w:pPr>
        <w:rPr>
          <w:rFonts w:ascii="Arial" w:hAnsi="Arial" w:cs="Arial"/>
          <w:lang w:eastAsia="ja-JP"/>
        </w:rPr>
      </w:pPr>
      <w:r>
        <w:rPr>
          <w:rFonts w:ascii="Arial" w:hAnsi="Arial" w:cs="Arial"/>
          <w:b/>
          <w:u w:val="single"/>
          <w:lang w:eastAsia="ja-JP"/>
        </w:rPr>
        <w:t>Agreements on “7.6.4 Enhancements to discontinuous coverage”</w:t>
      </w:r>
    </w:p>
    <w:p>
      <w:pPr>
        <w:pStyle w:val="132"/>
        <w:numPr>
          <w:ilvl w:val="0"/>
          <w:numId w:val="14"/>
        </w:numPr>
        <w:ind w:leftChars="0"/>
        <w:rPr>
          <w:rFonts w:ascii="Arial" w:hAnsi="Arial" w:cs="Arial"/>
          <w:sz w:val="20"/>
          <w:szCs w:val="20"/>
        </w:rPr>
      </w:pPr>
      <w:r>
        <w:rPr>
          <w:rFonts w:ascii="Arial" w:hAnsi="Arial" w:cs="Arial"/>
          <w:sz w:val="20"/>
          <w:szCs w:val="20"/>
        </w:rPr>
        <w:t>Provide carrier frequency for the existing satellite list in SIB32 to facilitate cell selection and reduce service interruption after an NTN coverage gap (FFS if the information can be considered as valid after the validity of SI)</w:t>
      </w:r>
    </w:p>
    <w:p>
      <w:pPr>
        <w:pStyle w:val="132"/>
        <w:ind w:left="720" w:leftChars="0"/>
        <w:rPr>
          <w:rFonts w:ascii="Arial" w:hAnsi="Arial" w:cs="Arial"/>
          <w:sz w:val="20"/>
          <w:szCs w:val="20"/>
        </w:rPr>
      </w:pPr>
    </w:p>
    <w:p>
      <w:pPr>
        <w:outlineLvl w:val="5"/>
        <w:rPr>
          <w:rFonts w:ascii="Arial" w:hAnsi="Arial" w:cs="Arial"/>
          <w:b/>
          <w:lang w:eastAsia="en-US"/>
        </w:rPr>
      </w:pPr>
      <w:r>
        <w:rPr>
          <w:rFonts w:ascii="Arial" w:hAnsi="Arial" w:cs="Arial"/>
          <w:b/>
          <w:lang w:eastAsia="en-US"/>
        </w:rPr>
        <w:t>RAN2#124, November 13</w:t>
      </w:r>
      <w:r>
        <w:rPr>
          <w:rFonts w:ascii="Arial" w:hAnsi="Arial" w:cs="Arial"/>
          <w:b/>
          <w:vertAlign w:val="superscript"/>
          <w:lang w:eastAsia="en-US"/>
        </w:rPr>
        <w:t>th</w:t>
      </w:r>
      <w:r>
        <w:rPr>
          <w:rFonts w:ascii="Arial" w:hAnsi="Arial" w:cs="Arial"/>
          <w:b/>
          <w:lang w:eastAsia="en-US"/>
        </w:rPr>
        <w:t xml:space="preserve"> – November 17</w:t>
      </w:r>
      <w:r>
        <w:rPr>
          <w:rFonts w:ascii="Arial" w:hAnsi="Arial" w:cs="Arial"/>
          <w:b/>
          <w:vertAlign w:val="superscript"/>
          <w:lang w:eastAsia="en-US"/>
        </w:rPr>
        <w:t>th</w:t>
      </w:r>
      <w:r>
        <w:rPr>
          <w:rFonts w:ascii="Arial" w:hAnsi="Arial" w:cs="Arial"/>
          <w:b/>
          <w:lang w:eastAsia="en-US"/>
        </w:rPr>
        <w:t>, 2023, Chicago, USA</w:t>
      </w:r>
    </w:p>
    <w:p>
      <w:pPr>
        <w:rPr>
          <w:rFonts w:ascii="Arial" w:hAnsi="Arial" w:cs="Arial"/>
          <w:b/>
          <w:lang w:eastAsia="ja-JP"/>
        </w:rPr>
      </w:pPr>
      <w:r>
        <w:rPr>
          <w:rFonts w:ascii="Arial" w:hAnsi="Arial" w:cs="Arial"/>
          <w:b/>
          <w:u w:val="single"/>
          <w:lang w:eastAsia="ja-JP"/>
        </w:rPr>
        <w:t>Agreements on “7.6.2.1 HARQ Enhancements”</w:t>
      </w:r>
    </w:p>
    <w:p>
      <w:pPr>
        <w:rPr>
          <w:rFonts w:ascii="Arial" w:hAnsi="Arial" w:cs="Arial"/>
          <w:lang w:eastAsia="ja-JP"/>
        </w:rPr>
      </w:pPr>
      <w:r>
        <w:rPr>
          <w:rFonts w:ascii="Arial" w:hAnsi="Arial" w:cs="Arial"/>
          <w:lang w:eastAsia="ja-JP"/>
        </w:rPr>
        <w:t>Agreements:</w:t>
      </w:r>
    </w:p>
    <w:p>
      <w:pPr>
        <w:pStyle w:val="132"/>
        <w:numPr>
          <w:ilvl w:val="0"/>
          <w:numId w:val="14"/>
        </w:numPr>
        <w:ind w:leftChars="0"/>
        <w:rPr>
          <w:rFonts w:ascii="Arial" w:hAnsi="Arial" w:cs="Arial"/>
          <w:sz w:val="20"/>
          <w:szCs w:val="20"/>
        </w:rPr>
      </w:pPr>
      <w:r>
        <w:rPr>
          <w:rFonts w:ascii="Arial" w:hAnsi="Arial" w:cs="Arial"/>
          <w:sz w:val="20"/>
          <w:szCs w:val="20"/>
        </w:rPr>
        <w:t>For multiple TB scheduling with mixed HARQ feedback enabled/disabled configuration, if HARQ-ACK bundling is not configured, HARQ RTT Timer for HARQ process with HARQ feedback enabled is calculated based on the number of scheduled TBs with HARQ feedback enabled.</w:t>
      </w:r>
    </w:p>
    <w:p>
      <w:pPr>
        <w:pStyle w:val="132"/>
        <w:numPr>
          <w:ilvl w:val="0"/>
          <w:numId w:val="14"/>
        </w:numPr>
        <w:ind w:leftChars="0"/>
        <w:rPr>
          <w:rFonts w:ascii="Arial" w:hAnsi="Arial" w:cs="Arial"/>
          <w:sz w:val="20"/>
          <w:szCs w:val="20"/>
        </w:rPr>
      </w:pPr>
      <w:r>
        <w:rPr>
          <w:rFonts w:ascii="Arial" w:hAnsi="Arial" w:cs="Arial"/>
          <w:sz w:val="20"/>
          <w:szCs w:val="20"/>
        </w:rPr>
        <w:t>For DL multiple TB scheduling for a NB-IoT UE, if both HARQ processes are with disabled HARQ feedback, UE starts drx-InactivityTimer in the subframe containing the last repetition of the PDSCH corresponding to the last scheduled TB plus 12 subframes plus deltaPDCCH.</w:t>
      </w:r>
    </w:p>
    <w:p>
      <w:pPr>
        <w:pStyle w:val="132"/>
        <w:numPr>
          <w:ilvl w:val="0"/>
          <w:numId w:val="14"/>
        </w:numPr>
        <w:ind w:leftChars="0"/>
        <w:rPr>
          <w:rFonts w:ascii="Arial" w:hAnsi="Arial" w:cs="Arial"/>
          <w:sz w:val="20"/>
          <w:szCs w:val="20"/>
        </w:rPr>
      </w:pPr>
      <w:r>
        <w:rPr>
          <w:rFonts w:ascii="Arial" w:hAnsi="Arial" w:cs="Arial"/>
          <w:sz w:val="20"/>
          <w:szCs w:val="20"/>
        </w:rPr>
        <w:t>For UL multiple TB scheduling for a NB-IoT UE, if both HARQ processes are configured with HARQ mode B, UE starts drx-InactivityTimer in the subframe containing the last repetition of the PUSCH corresponding to the last scheduled TB plus 1 subframe plus deltaPDCCH.</w:t>
      </w:r>
    </w:p>
    <w:p>
      <w:pPr>
        <w:pStyle w:val="132"/>
        <w:numPr>
          <w:ilvl w:val="0"/>
          <w:numId w:val="14"/>
        </w:numPr>
        <w:ind w:leftChars="0"/>
        <w:rPr>
          <w:rFonts w:ascii="Arial" w:hAnsi="Arial" w:cs="Arial"/>
          <w:sz w:val="20"/>
          <w:szCs w:val="20"/>
        </w:rPr>
      </w:pPr>
      <w:r>
        <w:rPr>
          <w:rFonts w:ascii="Arial" w:hAnsi="Arial" w:cs="Arial"/>
          <w:sz w:val="20"/>
          <w:szCs w:val="20"/>
        </w:rPr>
        <w:t>RAN2 confirms that for both single TB scheduling and multiple TB scheduling. for a HARQ process configured as HARQ feedback enabled by RRC and further reversed to HARQ feedback disabled by DCI, UE behaviour on DRX follows the case when HARQ feedback is disabled.</w:t>
      </w:r>
    </w:p>
    <w:p>
      <w:pPr>
        <w:rPr>
          <w:rFonts w:ascii="Arial" w:hAnsi="Arial" w:cs="Arial"/>
          <w:lang w:val="en-US" w:eastAsia="ja-JP"/>
        </w:rPr>
      </w:pPr>
    </w:p>
    <w:p>
      <w:pPr>
        <w:rPr>
          <w:rFonts w:ascii="Arial" w:hAnsi="Arial" w:cs="Arial"/>
          <w:b/>
          <w:lang w:eastAsia="ja-JP"/>
        </w:rPr>
      </w:pPr>
      <w:r>
        <w:rPr>
          <w:rFonts w:ascii="Arial" w:hAnsi="Arial" w:cs="Arial"/>
          <w:b/>
          <w:u w:val="single"/>
          <w:lang w:eastAsia="ja-JP"/>
        </w:rPr>
        <w:t>Agreements on “7.6.2.2 GNSS Operation Enhancements”</w:t>
      </w:r>
    </w:p>
    <w:p>
      <w:pPr>
        <w:rPr>
          <w:rFonts w:ascii="Arial" w:hAnsi="Arial" w:cs="Arial"/>
          <w:lang w:eastAsia="ja-JP"/>
        </w:rPr>
      </w:pPr>
      <w:r>
        <w:rPr>
          <w:rFonts w:ascii="Arial" w:hAnsi="Arial" w:cs="Arial"/>
          <w:lang w:eastAsia="ja-JP"/>
        </w:rPr>
        <w:t>Agreements:</w:t>
      </w:r>
    </w:p>
    <w:p>
      <w:pPr>
        <w:pStyle w:val="132"/>
        <w:numPr>
          <w:ilvl w:val="0"/>
          <w:numId w:val="15"/>
        </w:numPr>
        <w:ind w:leftChars="0"/>
        <w:rPr>
          <w:rFonts w:ascii="Arial" w:hAnsi="Arial" w:cs="Arial"/>
          <w:sz w:val="20"/>
          <w:szCs w:val="20"/>
        </w:rPr>
      </w:pPr>
      <w:r>
        <w:rPr>
          <w:rFonts w:ascii="Arial" w:hAnsi="Arial" w:cs="Arial"/>
          <w:sz w:val="20"/>
          <w:szCs w:val="20"/>
        </w:rPr>
        <w:t>Upon start of GNSS measurement, UE keeps T317 running if it is currently running.</w:t>
      </w:r>
    </w:p>
    <w:p>
      <w:pPr>
        <w:pStyle w:val="132"/>
        <w:numPr>
          <w:ilvl w:val="0"/>
          <w:numId w:val="15"/>
        </w:numPr>
        <w:ind w:leftChars="0"/>
        <w:rPr>
          <w:rFonts w:ascii="Arial" w:hAnsi="Arial" w:cs="Arial"/>
          <w:sz w:val="20"/>
          <w:szCs w:val="20"/>
        </w:rPr>
      </w:pPr>
      <w:r>
        <w:rPr>
          <w:rFonts w:ascii="Arial" w:hAnsi="Arial" w:cs="Arial"/>
          <w:sz w:val="20"/>
          <w:szCs w:val="20"/>
        </w:rPr>
        <w:t>If T317 expires during GNSS measurement gap, the SIB31 reacquisition and also T318 are not started until after GNSS measurement completion.</w:t>
      </w:r>
    </w:p>
    <w:p>
      <w:pPr>
        <w:pStyle w:val="132"/>
        <w:numPr>
          <w:ilvl w:val="0"/>
          <w:numId w:val="15"/>
        </w:numPr>
        <w:ind w:leftChars="0"/>
        <w:rPr>
          <w:rFonts w:ascii="Arial" w:hAnsi="Arial" w:cs="Arial"/>
          <w:sz w:val="20"/>
          <w:szCs w:val="20"/>
        </w:rPr>
      </w:pPr>
      <w:r>
        <w:rPr>
          <w:rFonts w:ascii="Arial" w:hAnsi="Arial" w:cs="Arial"/>
          <w:sz w:val="20"/>
          <w:szCs w:val="20"/>
        </w:rPr>
        <w:t>Upon start of GNSS measurement, T318 needs to be stopped if it is currently running. The T318 is restarted after GNSS measurement completion.</w:t>
      </w:r>
    </w:p>
    <w:p>
      <w:pPr>
        <w:pStyle w:val="132"/>
        <w:numPr>
          <w:ilvl w:val="0"/>
          <w:numId w:val="15"/>
        </w:numPr>
        <w:ind w:leftChars="0"/>
        <w:rPr>
          <w:rFonts w:ascii="Arial" w:hAnsi="Arial" w:cs="Arial"/>
          <w:sz w:val="20"/>
          <w:szCs w:val="20"/>
        </w:rPr>
      </w:pPr>
      <w:r>
        <w:rPr>
          <w:rFonts w:ascii="Arial" w:hAnsi="Arial" w:cs="Arial"/>
          <w:sz w:val="20"/>
          <w:szCs w:val="20"/>
        </w:rPr>
        <w:t>The duration X is not used to extend the original GNSS validity duration but at least to perform uplink transmission</w:t>
      </w:r>
    </w:p>
    <w:p>
      <w:pPr>
        <w:pStyle w:val="132"/>
        <w:numPr>
          <w:ilvl w:val="0"/>
          <w:numId w:val="15"/>
        </w:numPr>
        <w:ind w:leftChars="0"/>
        <w:rPr>
          <w:rFonts w:ascii="Arial" w:hAnsi="Arial" w:cs="Arial"/>
          <w:sz w:val="20"/>
          <w:szCs w:val="20"/>
        </w:rPr>
      </w:pPr>
      <w:r>
        <w:rPr>
          <w:rFonts w:ascii="Arial" w:hAnsi="Arial" w:cs="Arial"/>
          <w:sz w:val="20"/>
          <w:szCs w:val="20"/>
        </w:rPr>
        <w:t>If UL transmission extension is enabled, e.g., ul-TransmissionExtensionEnabled is set to TRUE:</w:t>
      </w:r>
    </w:p>
    <w:p>
      <w:pPr>
        <w:pStyle w:val="132"/>
        <w:ind w:left="720" w:leftChars="0"/>
        <w:rPr>
          <w:rFonts w:ascii="Arial" w:hAnsi="Arial" w:cs="Arial"/>
          <w:sz w:val="20"/>
          <w:szCs w:val="20"/>
        </w:rPr>
      </w:pPr>
      <w:r>
        <w:rPr>
          <w:rFonts w:ascii="Arial" w:hAnsi="Arial" w:cs="Arial"/>
          <w:sz w:val="20"/>
          <w:szCs w:val="20"/>
        </w:rPr>
        <w:t>- If no indication of network triggered GNSS measurement is received from lower layers and gnss-AutonomousEnabled is not configured, upon duration X expires, UE moves to idle mode.</w:t>
      </w:r>
    </w:p>
    <w:p>
      <w:pPr>
        <w:pStyle w:val="132"/>
        <w:ind w:left="720" w:leftChars="0"/>
        <w:rPr>
          <w:rFonts w:ascii="Arial" w:hAnsi="Arial" w:cs="Arial"/>
          <w:sz w:val="20"/>
          <w:szCs w:val="20"/>
        </w:rPr>
      </w:pPr>
      <w:r>
        <w:rPr>
          <w:rFonts w:ascii="Arial" w:hAnsi="Arial" w:cs="Arial"/>
          <w:sz w:val="20"/>
          <w:szCs w:val="20"/>
        </w:rPr>
        <w:t>- If no indication of network triggered GNSS measurement is received from lower layers and gnss-AutonomousEnabled is configured, upon duration X expires, UE keeps in RRC_CONNECTED and triggers autonomous GNSS measurement.</w:t>
      </w:r>
    </w:p>
    <w:p>
      <w:pPr>
        <w:pStyle w:val="132"/>
        <w:numPr>
          <w:ilvl w:val="0"/>
          <w:numId w:val="15"/>
        </w:numPr>
        <w:ind w:leftChars="0"/>
        <w:rPr>
          <w:rFonts w:ascii="Arial" w:hAnsi="Arial" w:cs="Arial"/>
          <w:sz w:val="20"/>
          <w:szCs w:val="20"/>
        </w:rPr>
      </w:pPr>
      <w:r>
        <w:rPr>
          <w:rFonts w:ascii="Arial" w:hAnsi="Arial" w:cs="Arial"/>
          <w:sz w:val="20"/>
          <w:szCs w:val="20"/>
        </w:rPr>
        <w:t>For both NB-IoT and eMTC over NTN, either we use the remaining LCID value for GNSS validity duration report MAC CE or we repurpose one of the existing codepoint.</w:t>
      </w:r>
    </w:p>
    <w:p>
      <w:pPr>
        <w:pStyle w:val="132"/>
        <w:numPr>
          <w:ilvl w:val="0"/>
          <w:numId w:val="15"/>
        </w:numPr>
        <w:ind w:leftChars="0"/>
        <w:rPr>
          <w:rFonts w:ascii="Arial" w:hAnsi="Arial" w:cs="Arial"/>
          <w:sz w:val="20"/>
          <w:szCs w:val="20"/>
        </w:rPr>
      </w:pPr>
      <w:r>
        <w:rPr>
          <w:rFonts w:ascii="Arial" w:hAnsi="Arial" w:cs="Arial"/>
          <w:sz w:val="20"/>
          <w:szCs w:val="20"/>
        </w:rPr>
        <w:t>The start time of duration X is at the point where original GNSS validity duration expires (The wording can be rephrased based on how to capture it).</w:t>
      </w:r>
    </w:p>
    <w:p>
      <w:pPr>
        <w:pStyle w:val="132"/>
        <w:numPr>
          <w:ilvl w:val="0"/>
          <w:numId w:val="15"/>
        </w:numPr>
        <w:ind w:leftChars="0"/>
        <w:rPr>
          <w:rFonts w:ascii="Arial" w:hAnsi="Arial" w:cs="Arial"/>
          <w:sz w:val="20"/>
          <w:szCs w:val="20"/>
        </w:rPr>
      </w:pPr>
      <w:r>
        <w:rPr>
          <w:rFonts w:ascii="Arial" w:hAnsi="Arial" w:cs="Arial"/>
          <w:sz w:val="20"/>
          <w:szCs w:val="20"/>
        </w:rPr>
        <w:t>If an indication of network triggered GNSS measurement is received from lower layers within duration X, UE triggers GNSS measurement (no specification impact).</w:t>
      </w:r>
    </w:p>
    <w:p>
      <w:pPr>
        <w:pStyle w:val="132"/>
        <w:numPr>
          <w:ilvl w:val="0"/>
          <w:numId w:val="15"/>
        </w:numPr>
        <w:ind w:leftChars="0"/>
        <w:rPr>
          <w:rFonts w:ascii="Arial" w:hAnsi="Arial" w:cs="Arial"/>
          <w:sz w:val="20"/>
          <w:szCs w:val="20"/>
        </w:rPr>
      </w:pPr>
      <w:r>
        <w:rPr>
          <w:rFonts w:ascii="Arial" w:hAnsi="Arial" w:cs="Arial"/>
          <w:sz w:val="20"/>
          <w:szCs w:val="20"/>
        </w:rPr>
        <w:t>For both NB-IoT and eMTC over NTN, use the remaining LCID value for GNSS validity duration report MAC CE.</w:t>
      </w:r>
    </w:p>
    <w:p>
      <w:pPr>
        <w:pStyle w:val="132"/>
        <w:numPr>
          <w:ilvl w:val="0"/>
          <w:numId w:val="15"/>
        </w:numPr>
        <w:ind w:leftChars="0"/>
        <w:rPr>
          <w:rFonts w:ascii="Arial" w:hAnsi="Arial" w:cs="Arial"/>
          <w:sz w:val="20"/>
          <w:szCs w:val="20"/>
        </w:rPr>
      </w:pPr>
      <w:r>
        <w:rPr>
          <w:rFonts w:ascii="Arial" w:hAnsi="Arial" w:cs="Arial"/>
          <w:sz w:val="20"/>
          <w:szCs w:val="20"/>
        </w:rPr>
        <w:t>UE may use the outdated GNSS position within the duration X at least for mobility. The network can limit the number of times X is extended and/or the value of X (can check if we need some different behaviour to handle the CHO in Earth Moving Cell case)</w:t>
      </w:r>
    </w:p>
    <w:p>
      <w:pPr>
        <w:pStyle w:val="132"/>
        <w:numPr>
          <w:ilvl w:val="0"/>
          <w:numId w:val="15"/>
        </w:numPr>
        <w:ind w:leftChars="0"/>
        <w:rPr>
          <w:rFonts w:ascii="Arial" w:hAnsi="Arial" w:cs="Arial"/>
          <w:sz w:val="20"/>
          <w:szCs w:val="20"/>
        </w:rPr>
      </w:pPr>
      <w:r>
        <w:rPr>
          <w:rFonts w:ascii="Arial" w:hAnsi="Arial" w:cs="Arial"/>
          <w:sz w:val="20"/>
          <w:szCs w:val="20"/>
        </w:rPr>
        <w:t>For the case when timeAlignmentTimer is infinity, a (legacy/new) MAC CE is introduced/used to reset ULTransmissionExtentionTimer with length equal to Y).</w:t>
      </w:r>
    </w:p>
    <w:p>
      <w:pPr>
        <w:rPr>
          <w:rFonts w:ascii="Arial" w:hAnsi="Arial" w:cs="Arial"/>
          <w:lang w:eastAsia="ja-JP"/>
        </w:rPr>
      </w:pPr>
    </w:p>
    <w:p>
      <w:pPr>
        <w:rPr>
          <w:rFonts w:ascii="Arial" w:hAnsi="Arial" w:cs="Arial"/>
          <w:lang w:eastAsia="ja-JP"/>
        </w:rPr>
      </w:pPr>
      <w:r>
        <w:rPr>
          <w:rFonts w:ascii="Arial" w:hAnsi="Arial" w:cs="Arial"/>
          <w:b/>
          <w:u w:val="single"/>
          <w:lang w:eastAsia="ja-JP"/>
        </w:rPr>
        <w:t>Agreements on “7.6.3 Mobility Enhancements”</w:t>
      </w:r>
    </w:p>
    <w:p>
      <w:pPr>
        <w:rPr>
          <w:rFonts w:ascii="Arial" w:hAnsi="Arial" w:cs="Arial"/>
          <w:lang w:eastAsia="ja-JP"/>
        </w:rPr>
      </w:pPr>
      <w:r>
        <w:rPr>
          <w:rFonts w:ascii="Arial" w:hAnsi="Arial" w:cs="Arial"/>
          <w:lang w:eastAsia="ja-JP"/>
        </w:rPr>
        <w:t>Agreements:</w:t>
      </w:r>
    </w:p>
    <w:p>
      <w:pPr>
        <w:pStyle w:val="132"/>
        <w:numPr>
          <w:ilvl w:val="0"/>
          <w:numId w:val="16"/>
        </w:numPr>
        <w:ind w:leftChars="0"/>
        <w:rPr>
          <w:rFonts w:ascii="Arial" w:hAnsi="Arial" w:cs="Arial"/>
          <w:sz w:val="20"/>
          <w:szCs w:val="20"/>
        </w:rPr>
      </w:pPr>
      <w:r>
        <w:rPr>
          <w:rFonts w:ascii="Arial" w:hAnsi="Arial" w:cs="Arial"/>
          <w:sz w:val="20"/>
          <w:szCs w:val="20"/>
        </w:rPr>
        <w:t>For NB-IoT NTN, it is up to UE implementation which frequencies to be measured/prioritized in RRC_CONNECTED</w:t>
      </w:r>
    </w:p>
    <w:p>
      <w:pPr>
        <w:pStyle w:val="132"/>
        <w:numPr>
          <w:ilvl w:val="0"/>
          <w:numId w:val="16"/>
        </w:numPr>
        <w:ind w:leftChars="0"/>
        <w:rPr>
          <w:rFonts w:ascii="Arial" w:hAnsi="Arial" w:cs="Arial"/>
          <w:sz w:val="20"/>
          <w:szCs w:val="20"/>
        </w:rPr>
      </w:pPr>
      <w:r>
        <w:rPr>
          <w:rFonts w:ascii="Arial" w:hAnsi="Arial" w:cs="Arial"/>
          <w:sz w:val="20"/>
          <w:szCs w:val="20"/>
        </w:rPr>
        <w:t>Same as NR NTN, the network does not configure the location-based CHO and time-based CHO simultaneously for the same candidate cell.</w:t>
      </w:r>
    </w:p>
    <w:p>
      <w:pPr>
        <w:pStyle w:val="132"/>
        <w:numPr>
          <w:ilvl w:val="0"/>
          <w:numId w:val="16"/>
        </w:numPr>
        <w:ind w:leftChars="0"/>
        <w:rPr>
          <w:rFonts w:ascii="Arial" w:hAnsi="Arial" w:cs="Arial"/>
          <w:sz w:val="20"/>
          <w:szCs w:val="20"/>
        </w:rPr>
      </w:pPr>
      <w:r>
        <w:rPr>
          <w:rFonts w:ascii="Arial" w:hAnsi="Arial" w:cs="Arial"/>
          <w:sz w:val="20"/>
          <w:szCs w:val="20"/>
        </w:rPr>
        <w:t>For both RRC_CONNECTED and RRC_IDLE, time/location based neighbour cell measurement triggering can be configured together with the existing RSRP based triggering. If configured jointly, the UE starts measure neighbour cell when either of the triggering condition is met.</w:t>
      </w:r>
    </w:p>
    <w:p>
      <w:pPr>
        <w:pStyle w:val="132"/>
        <w:numPr>
          <w:ilvl w:val="0"/>
          <w:numId w:val="16"/>
        </w:numPr>
        <w:ind w:leftChars="0"/>
        <w:rPr>
          <w:rFonts w:ascii="Arial" w:hAnsi="Arial" w:cs="Arial"/>
          <w:sz w:val="20"/>
          <w:szCs w:val="20"/>
        </w:rPr>
      </w:pPr>
      <w:r>
        <w:rPr>
          <w:rFonts w:ascii="Arial" w:hAnsi="Arial" w:cs="Arial"/>
          <w:sz w:val="20"/>
          <w:szCs w:val="20"/>
        </w:rPr>
        <w:t>UE may acquire SIBxx during T318.</w:t>
      </w:r>
    </w:p>
    <w:p>
      <w:pPr>
        <w:pStyle w:val="132"/>
        <w:numPr>
          <w:ilvl w:val="0"/>
          <w:numId w:val="16"/>
        </w:numPr>
        <w:ind w:leftChars="0"/>
        <w:rPr>
          <w:rFonts w:ascii="Arial" w:hAnsi="Arial" w:cs="Arial"/>
          <w:sz w:val="20"/>
          <w:szCs w:val="20"/>
        </w:rPr>
      </w:pPr>
      <w:r>
        <w:rPr>
          <w:rFonts w:ascii="Arial" w:hAnsi="Arial" w:cs="Arial"/>
          <w:sz w:val="20"/>
          <w:szCs w:val="20"/>
        </w:rPr>
        <w:t>Clarify in the spec that RLF is not triggered if T318 expires and SIB31 has been obtained.</w:t>
      </w:r>
    </w:p>
    <w:p>
      <w:pPr>
        <w:pStyle w:val="132"/>
        <w:numPr>
          <w:ilvl w:val="0"/>
          <w:numId w:val="16"/>
        </w:numPr>
        <w:ind w:leftChars="0"/>
        <w:rPr>
          <w:rFonts w:ascii="Arial" w:hAnsi="Arial" w:cs="Arial"/>
          <w:sz w:val="20"/>
          <w:szCs w:val="20"/>
        </w:rPr>
      </w:pPr>
      <w:r>
        <w:rPr>
          <w:rFonts w:ascii="Arial" w:hAnsi="Arial" w:cs="Arial"/>
          <w:sz w:val="20"/>
          <w:szCs w:val="20"/>
        </w:rPr>
        <w:t>UE stops T318 when both SIB31 and SIBxx have been acquired. If the UE hasn’t finished acquiring SIBxx during T318, UE aborts the acquisition of SIBxx and resumes UL operations.</w:t>
      </w:r>
    </w:p>
    <w:p>
      <w:pPr>
        <w:pStyle w:val="132"/>
        <w:numPr>
          <w:ilvl w:val="0"/>
          <w:numId w:val="16"/>
        </w:numPr>
        <w:ind w:leftChars="0"/>
        <w:rPr>
          <w:rFonts w:ascii="Arial" w:hAnsi="Arial" w:cs="Arial"/>
          <w:sz w:val="20"/>
          <w:szCs w:val="20"/>
        </w:rPr>
      </w:pPr>
      <w:r>
        <w:rPr>
          <w:rFonts w:ascii="Arial" w:hAnsi="Arial" w:cs="Arial"/>
          <w:sz w:val="20"/>
          <w:szCs w:val="20"/>
        </w:rPr>
        <w:t>UE discriminates whether a frequency is for TN or NTN in an implicit way,  i.e., if the SIBxx is present and the satellite ID is absent for a frequency in SIB5, the UE assumes TN frequency measurement. If the SIBxx is present and the satellite ID is present for a frequency in SIB5, but the same satellite ID is absent in the SIBxx, the UE is not required to measure this frequency.</w:t>
      </w:r>
    </w:p>
    <w:p>
      <w:pPr>
        <w:pStyle w:val="132"/>
        <w:numPr>
          <w:ilvl w:val="0"/>
          <w:numId w:val="16"/>
        </w:numPr>
        <w:ind w:leftChars="0"/>
        <w:rPr>
          <w:rFonts w:ascii="Arial" w:hAnsi="Arial" w:cs="Arial"/>
          <w:sz w:val="20"/>
          <w:szCs w:val="20"/>
        </w:rPr>
      </w:pPr>
      <w:r>
        <w:rPr>
          <w:rFonts w:ascii="Arial" w:hAnsi="Arial" w:cs="Arial"/>
          <w:sz w:val="20"/>
          <w:szCs w:val="20"/>
        </w:rPr>
        <w:t>eMTC UEs in NTN should use MeasObject(s) for performing measurements based on time/location criteria.</w:t>
      </w:r>
    </w:p>
    <w:p>
      <w:pPr>
        <w:pStyle w:val="132"/>
        <w:numPr>
          <w:ilvl w:val="0"/>
          <w:numId w:val="16"/>
        </w:numPr>
        <w:ind w:leftChars="0"/>
        <w:rPr>
          <w:rFonts w:ascii="Arial" w:hAnsi="Arial" w:cs="Arial"/>
          <w:sz w:val="20"/>
          <w:szCs w:val="20"/>
        </w:rPr>
      </w:pPr>
      <w:r>
        <w:rPr>
          <w:rFonts w:ascii="Arial" w:hAnsi="Arial" w:cs="Arial"/>
          <w:sz w:val="20"/>
          <w:szCs w:val="20"/>
        </w:rPr>
        <w:t>We introduce the possibility to broadcast neighbor NTN cell information (SIBXX) in a TN cell (We remove the restriction in 36.331 that SIBXX can only be sent in a NTN cell. No changes expected to other Stage 3 specs)</w:t>
      </w:r>
    </w:p>
    <w:p>
      <w:pPr>
        <w:pStyle w:val="132"/>
        <w:numPr>
          <w:ilvl w:val="0"/>
          <w:numId w:val="16"/>
        </w:numPr>
        <w:ind w:leftChars="0"/>
        <w:rPr>
          <w:rFonts w:ascii="Arial" w:hAnsi="Arial" w:cs="Arial"/>
          <w:sz w:val="20"/>
          <w:szCs w:val="20"/>
        </w:rPr>
      </w:pPr>
      <w:r>
        <w:rPr>
          <w:rFonts w:ascii="Arial" w:hAnsi="Arial" w:cs="Arial"/>
          <w:sz w:val="20"/>
          <w:szCs w:val="20"/>
        </w:rPr>
        <w:t>For CHO in EMC a new event is introduced.</w:t>
      </w:r>
    </w:p>
    <w:p>
      <w:pPr>
        <w:pStyle w:val="132"/>
        <w:numPr>
          <w:ilvl w:val="0"/>
          <w:numId w:val="16"/>
        </w:numPr>
        <w:ind w:leftChars="0"/>
        <w:rPr>
          <w:rFonts w:ascii="Arial" w:hAnsi="Arial" w:cs="Arial"/>
          <w:sz w:val="20"/>
          <w:szCs w:val="20"/>
        </w:rPr>
      </w:pPr>
      <w:r>
        <w:rPr>
          <w:rFonts w:ascii="Arial" w:hAnsi="Arial" w:cs="Arial"/>
          <w:sz w:val="20"/>
          <w:szCs w:val="20"/>
        </w:rPr>
        <w:t>New event comprises a reference location and distance threshold for source and target cell.</w:t>
      </w:r>
    </w:p>
    <w:p>
      <w:pPr>
        <w:pStyle w:val="132"/>
        <w:numPr>
          <w:ilvl w:val="0"/>
          <w:numId w:val="16"/>
        </w:numPr>
        <w:ind w:leftChars="0"/>
        <w:rPr>
          <w:rFonts w:ascii="Arial" w:hAnsi="Arial" w:cs="Arial"/>
          <w:sz w:val="20"/>
          <w:szCs w:val="20"/>
        </w:rPr>
      </w:pPr>
      <w:r>
        <w:rPr>
          <w:rFonts w:ascii="Arial" w:hAnsi="Arial" w:cs="Arial"/>
          <w:sz w:val="20"/>
          <w:szCs w:val="20"/>
        </w:rPr>
        <w:t>Ephemeris and epochTime information for candidate CHO cell is also provided in RRC Reconfiguration (configuring the CHO) within the configuration prepared by the source cell (outside of the new event).</w:t>
      </w:r>
    </w:p>
    <w:p>
      <w:pPr>
        <w:rPr>
          <w:rFonts w:ascii="Arial" w:hAnsi="Arial" w:cs="Arial"/>
          <w:lang w:val="en-US" w:eastAsia="ja-JP"/>
        </w:rPr>
      </w:pPr>
    </w:p>
    <w:p>
      <w:pPr>
        <w:rPr>
          <w:rFonts w:ascii="Arial" w:hAnsi="Arial" w:cs="Arial"/>
          <w:lang w:eastAsia="ja-JP"/>
        </w:rPr>
      </w:pPr>
      <w:r>
        <w:rPr>
          <w:rFonts w:ascii="Arial" w:hAnsi="Arial" w:cs="Arial"/>
          <w:b/>
          <w:u w:val="single"/>
          <w:lang w:eastAsia="ja-JP"/>
        </w:rPr>
        <w:t>Agreements on “7.6.4 Enhancements to discontinuous coverage”</w:t>
      </w:r>
    </w:p>
    <w:p>
      <w:pPr>
        <w:pStyle w:val="132"/>
        <w:numPr>
          <w:ilvl w:val="0"/>
          <w:numId w:val="17"/>
        </w:numPr>
        <w:ind w:leftChars="0"/>
        <w:rPr>
          <w:rFonts w:ascii="Arial" w:hAnsi="Arial" w:cs="Arial"/>
          <w:sz w:val="20"/>
          <w:szCs w:val="20"/>
        </w:rPr>
      </w:pPr>
      <w:r>
        <w:rPr>
          <w:rFonts w:ascii="Arial" w:hAnsi="Arial" w:cs="Arial"/>
          <w:sz w:val="20"/>
          <w:szCs w:val="20"/>
        </w:rPr>
        <w:t>Capture a NOTE in RRC Spec “UE may directly go to RRC_IDLE after RLF is triggered if there is not enough time for the UE to finish the procedure of RRC re-establishment due to the discontinuous coverage” (actual wording can be further discussed in the CR review). We leave it to UE implementation on how to evaluate whether there is “enough time” or not</w:t>
      </w:r>
    </w:p>
    <w:p>
      <w:pPr>
        <w:pStyle w:val="132"/>
        <w:numPr>
          <w:ilvl w:val="0"/>
          <w:numId w:val="17"/>
        </w:numPr>
        <w:ind w:leftChars="0"/>
        <w:rPr>
          <w:rFonts w:ascii="Arial" w:hAnsi="Arial" w:cs="Arial"/>
          <w:sz w:val="20"/>
          <w:szCs w:val="20"/>
        </w:rPr>
      </w:pPr>
      <w:r>
        <w:rPr>
          <w:rFonts w:ascii="Arial" w:hAnsi="Arial" w:cs="Arial"/>
          <w:sz w:val="20"/>
          <w:szCs w:val="20"/>
        </w:rPr>
        <w:t>UE should apply early stop of T310 and go to RRC_IDLE state upon expiry of t-Service for the discontinuous coverage scenario.</w:t>
      </w:r>
    </w:p>
    <w:p>
      <w:pPr>
        <w:pStyle w:val="132"/>
        <w:numPr>
          <w:ilvl w:val="0"/>
          <w:numId w:val="17"/>
        </w:numPr>
        <w:ind w:leftChars="0"/>
        <w:rPr>
          <w:rFonts w:ascii="Arial" w:hAnsi="Arial" w:cs="Arial"/>
          <w:sz w:val="20"/>
          <w:szCs w:val="20"/>
        </w:rPr>
      </w:pPr>
      <w:r>
        <w:rPr>
          <w:rFonts w:ascii="Arial" w:hAnsi="Arial" w:cs="Arial"/>
          <w:sz w:val="20"/>
          <w:szCs w:val="20"/>
        </w:rPr>
        <w:t>UE should apply early stop of T310 and go to RRC_IDLE, if it becomes out of the current serving cell coverage for the discontinuous coverage scenario.</w:t>
      </w:r>
    </w:p>
    <w:p>
      <w:pPr>
        <w:pStyle w:val="132"/>
        <w:numPr>
          <w:ilvl w:val="0"/>
          <w:numId w:val="17"/>
        </w:numPr>
        <w:ind w:leftChars="0"/>
        <w:rPr>
          <w:rFonts w:ascii="Arial" w:hAnsi="Arial" w:cs="Arial"/>
          <w:sz w:val="20"/>
          <w:szCs w:val="20"/>
        </w:rPr>
      </w:pPr>
      <w:r>
        <w:rPr>
          <w:rFonts w:ascii="Arial" w:hAnsi="Arial" w:cs="Arial"/>
          <w:sz w:val="20"/>
          <w:szCs w:val="20"/>
        </w:rPr>
        <w:t>UE behavior on how to use the frequency information in SIB32 for cell selection in discontinuous coverage scenario should be captured in TS 36.304. (discuss exact wording as part of the 38.304 CR review)</w:t>
      </w:r>
    </w:p>
    <w:p>
      <w:pPr>
        <w:pStyle w:val="132"/>
        <w:numPr>
          <w:ilvl w:val="0"/>
          <w:numId w:val="17"/>
        </w:numPr>
        <w:ind w:leftChars="0"/>
        <w:rPr>
          <w:rFonts w:ascii="Arial" w:hAnsi="Arial" w:cs="Arial"/>
          <w:sz w:val="20"/>
          <w:szCs w:val="20"/>
        </w:rPr>
      </w:pPr>
      <w:r>
        <w:rPr>
          <w:rFonts w:ascii="Arial" w:hAnsi="Arial" w:cs="Arial"/>
          <w:sz w:val="20"/>
          <w:szCs w:val="20"/>
        </w:rPr>
        <w:t>For discontinuous coverage, explicit RRC Release using a new RRC Release cause is not supported.</w:t>
      </w:r>
    </w:p>
    <w:p>
      <w:pPr>
        <w:pStyle w:val="5"/>
        <w:keepNext w:val="0"/>
        <w:rPr>
          <w:rFonts w:cs="Arial"/>
          <w:lang w:eastAsia="ja-JP"/>
        </w:rPr>
      </w:pPr>
      <w:r>
        <w:rPr>
          <w:rFonts w:cs="Arial"/>
          <w:lang w:eastAsia="ja-JP"/>
        </w:rPr>
        <w:t>2.2.2</w:t>
      </w:r>
      <w:r>
        <w:rPr>
          <w:rFonts w:cs="Arial"/>
          <w:lang w:eastAsia="ja-JP"/>
        </w:rPr>
        <w:tab/>
      </w:r>
      <w:bookmarkStart w:id="2" w:name="_Hlk66098907"/>
      <w:r>
        <w:rPr>
          <w:rFonts w:cs="Arial"/>
          <w:lang w:eastAsia="ja-JP"/>
        </w:rPr>
        <w:t>Remaining Open issues</w:t>
      </w:r>
      <w:bookmarkEnd w:id="2"/>
    </w:p>
    <w:p>
      <w:pPr>
        <w:pStyle w:val="132"/>
        <w:numPr>
          <w:ilvl w:val="0"/>
          <w:numId w:val="18"/>
        </w:numPr>
        <w:ind w:leftChars="0"/>
        <w:rPr>
          <w:rFonts w:ascii="Arial" w:hAnsi="Arial" w:cs="Arial"/>
          <w:sz w:val="20"/>
          <w:szCs w:val="20"/>
        </w:rPr>
      </w:pPr>
      <w:r>
        <w:rPr>
          <w:rFonts w:ascii="Arial" w:hAnsi="Arial" w:cs="Arial"/>
          <w:sz w:val="20"/>
          <w:szCs w:val="20"/>
        </w:rPr>
        <w:t>All WI RAN2 objectives are completed, with some pending clarifications, which will be discussed as part of maintenance activity:</w:t>
      </w:r>
    </w:p>
    <w:p>
      <w:pPr>
        <w:pStyle w:val="132"/>
        <w:numPr>
          <w:ilvl w:val="1"/>
          <w:numId w:val="18"/>
        </w:numPr>
        <w:ind w:leftChars="0"/>
        <w:rPr>
          <w:rFonts w:ascii="Arial" w:hAnsi="Arial" w:cs="Arial"/>
          <w:sz w:val="20"/>
          <w:szCs w:val="20"/>
        </w:rPr>
      </w:pPr>
      <w:r>
        <w:rPr>
          <w:rFonts w:ascii="Arial" w:hAnsi="Arial" w:cs="Arial"/>
          <w:sz w:val="20"/>
          <w:szCs w:val="20"/>
        </w:rPr>
        <w:t>Update 36.300, 36.321 and 36.331 CRs considering the following aspects:</w:t>
      </w:r>
    </w:p>
    <w:p>
      <w:pPr>
        <w:pStyle w:val="132"/>
        <w:numPr>
          <w:ilvl w:val="2"/>
          <w:numId w:val="18"/>
        </w:numPr>
        <w:ind w:leftChars="0"/>
        <w:rPr>
          <w:rFonts w:ascii="Arial" w:hAnsi="Arial" w:cs="Arial"/>
          <w:sz w:val="20"/>
          <w:szCs w:val="20"/>
        </w:rPr>
      </w:pPr>
      <w:r>
        <w:rPr>
          <w:rFonts w:ascii="Arial" w:hAnsi="Arial" w:cs="Arial"/>
          <w:sz w:val="20"/>
          <w:szCs w:val="20"/>
        </w:rPr>
        <w:t>DRX inactivity timer starting during HARQ enabling/disabling in multi-TB scheduling (DL and UL).</w:t>
      </w:r>
    </w:p>
    <w:p>
      <w:pPr>
        <w:pStyle w:val="132"/>
        <w:numPr>
          <w:ilvl w:val="2"/>
          <w:numId w:val="18"/>
        </w:numPr>
        <w:ind w:leftChars="0"/>
        <w:rPr>
          <w:rFonts w:ascii="Arial" w:hAnsi="Arial" w:cs="Arial"/>
          <w:sz w:val="20"/>
          <w:szCs w:val="20"/>
        </w:rPr>
      </w:pPr>
      <w:r>
        <w:rPr>
          <w:rFonts w:ascii="Arial" w:hAnsi="Arial" w:cs="Arial"/>
          <w:sz w:val="20"/>
          <w:szCs w:val="20"/>
        </w:rPr>
        <w:t>Select new or existing MAC CE for time alignment timer (X and/or Y) handling in GNSS improvement.</w:t>
      </w:r>
    </w:p>
    <w:p>
      <w:pPr>
        <w:pStyle w:val="88"/>
        <w:spacing w:line="240" w:lineRule="auto"/>
        <w:ind w:left="0" w:firstLine="0"/>
        <w:jc w:val="both"/>
        <w:rPr>
          <w:rFonts w:ascii="Arial" w:hAnsi="Arial" w:cs="Arial"/>
          <w:lang w:eastAsia="ja-JP"/>
        </w:rPr>
      </w:pPr>
    </w:p>
    <w:p>
      <w:pPr>
        <w:pStyle w:val="3"/>
        <w:keepNext w:val="0"/>
        <w:rPr>
          <w:rFonts w:eastAsia="宋体" w:cs="Arial"/>
          <w:lang w:eastAsia="zh-CN"/>
        </w:rPr>
      </w:pPr>
      <w:r>
        <w:rPr>
          <w:rFonts w:cs="Arial"/>
          <w:lang w:eastAsia="ja-JP"/>
        </w:rPr>
        <w:t>2.3</w:t>
      </w:r>
      <w:r>
        <w:rPr>
          <w:rFonts w:cs="Arial"/>
          <w:lang w:eastAsia="ja-JP"/>
        </w:rPr>
        <w:tab/>
      </w:r>
      <w:r>
        <w:rPr>
          <w:rFonts w:cs="Arial"/>
          <w:lang w:eastAsia="ja-JP"/>
        </w:rPr>
        <w:t>RAN</w:t>
      </w:r>
      <w:r>
        <w:rPr>
          <w:rFonts w:eastAsia="宋体" w:cs="Arial"/>
          <w:lang w:val="en-US" w:eastAsia="zh-CN"/>
        </w:rPr>
        <w:t>3</w:t>
      </w:r>
    </w:p>
    <w:p>
      <w:pPr>
        <w:pStyle w:val="5"/>
        <w:keepNext w:val="0"/>
        <w:rPr>
          <w:rFonts w:cs="Arial"/>
          <w:lang w:eastAsia="ja-JP"/>
        </w:rPr>
      </w:pPr>
      <w:r>
        <w:rPr>
          <w:rFonts w:cs="Arial"/>
          <w:lang w:eastAsia="ja-JP"/>
        </w:rPr>
        <w:t>2.3.1</w:t>
      </w:r>
      <w:r>
        <w:rPr>
          <w:rFonts w:cs="Arial"/>
          <w:lang w:eastAsia="ja-JP"/>
        </w:rPr>
        <w:tab/>
      </w:r>
      <w:r>
        <w:rPr>
          <w:rFonts w:cs="Arial"/>
          <w:lang w:eastAsia="ja-JP"/>
        </w:rPr>
        <w:t>Agreements</w:t>
      </w:r>
    </w:p>
    <w:p>
      <w:pPr>
        <w:outlineLvl w:val="5"/>
        <w:rPr>
          <w:rFonts w:ascii="Arial" w:hAnsi="Arial" w:eastAsia="宋体" w:cs="Arial"/>
          <w:b/>
          <w:lang w:val="en-US" w:eastAsia="zh-CN"/>
        </w:rPr>
      </w:pPr>
      <w:r>
        <w:rPr>
          <w:rFonts w:ascii="Arial" w:hAnsi="Arial" w:cs="Arial"/>
          <w:b/>
          <w:lang w:eastAsia="en-US"/>
        </w:rPr>
        <w:t>RAN</w:t>
      </w:r>
      <w:r>
        <w:rPr>
          <w:rFonts w:hint="eastAsia" w:ascii="Arial" w:hAnsi="Arial" w:eastAsia="宋体" w:cs="Arial"/>
          <w:b/>
          <w:lang w:val="en-US" w:eastAsia="zh-CN"/>
        </w:rPr>
        <w:t>3</w:t>
      </w:r>
      <w:r>
        <w:rPr>
          <w:rFonts w:ascii="Arial" w:hAnsi="Arial" w:cs="Arial"/>
          <w:b/>
          <w:lang w:eastAsia="en-US"/>
        </w:rPr>
        <w:t>#12</w:t>
      </w:r>
      <w:r>
        <w:rPr>
          <w:rFonts w:ascii="Arial" w:hAnsi="Arial" w:eastAsia="宋体" w:cs="Arial"/>
          <w:b/>
          <w:lang w:val="en-US" w:eastAsia="zh-CN"/>
        </w:rPr>
        <w:t>1</w:t>
      </w:r>
      <w:r>
        <w:rPr>
          <w:rFonts w:hint="eastAsia" w:ascii="Arial" w:hAnsi="Arial" w:eastAsia="宋体" w:cs="Arial"/>
          <w:b/>
          <w:lang w:val="en-US" w:eastAsia="zh-CN"/>
        </w:rPr>
        <w:t>bis</w:t>
      </w:r>
      <w:r>
        <w:rPr>
          <w:rFonts w:ascii="Arial" w:hAnsi="Arial" w:cs="Arial"/>
          <w:b/>
          <w:lang w:eastAsia="en-US"/>
        </w:rPr>
        <w:t xml:space="preserve">, </w:t>
      </w:r>
      <w:r>
        <w:rPr>
          <w:rFonts w:hint="eastAsia" w:ascii="Arial" w:hAnsi="Arial" w:eastAsia="宋体" w:cs="Arial"/>
          <w:b/>
          <w:lang w:val="en-US" w:eastAsia="zh-CN"/>
        </w:rPr>
        <w:t>October</w:t>
      </w:r>
      <w:r>
        <w:rPr>
          <w:rFonts w:ascii="Arial" w:hAnsi="Arial" w:cs="Arial"/>
          <w:b/>
          <w:lang w:eastAsia="en-US"/>
        </w:rPr>
        <w:t xml:space="preserve"> </w:t>
      </w:r>
      <w:r>
        <w:rPr>
          <w:rFonts w:hint="eastAsia" w:ascii="Arial" w:hAnsi="Arial" w:eastAsia="宋体" w:cs="Arial"/>
          <w:b/>
          <w:lang w:val="en-US" w:eastAsia="zh-CN"/>
        </w:rPr>
        <w:t>9</w:t>
      </w:r>
      <w:r>
        <w:rPr>
          <w:rFonts w:hint="eastAsia" w:ascii="Arial" w:hAnsi="Arial" w:eastAsia="宋体" w:cs="Arial"/>
          <w:b/>
          <w:vertAlign w:val="superscript"/>
          <w:lang w:val="en-US" w:eastAsia="zh-CN"/>
        </w:rPr>
        <w:t>th</w:t>
      </w:r>
      <w:r>
        <w:rPr>
          <w:rFonts w:ascii="Arial" w:hAnsi="Arial" w:cs="Arial"/>
          <w:b/>
          <w:lang w:eastAsia="en-US"/>
        </w:rPr>
        <w:t xml:space="preserve"> – </w:t>
      </w:r>
      <w:r>
        <w:rPr>
          <w:rFonts w:hint="eastAsia" w:ascii="Arial" w:hAnsi="Arial" w:eastAsia="宋体" w:cs="Arial"/>
          <w:b/>
          <w:lang w:val="en-US" w:eastAsia="zh-CN"/>
        </w:rPr>
        <w:t>October</w:t>
      </w:r>
      <w:r>
        <w:rPr>
          <w:rFonts w:ascii="Arial" w:hAnsi="Arial" w:cs="Arial"/>
          <w:b/>
          <w:lang w:eastAsia="en-US"/>
        </w:rPr>
        <w:t xml:space="preserve"> </w:t>
      </w:r>
      <w:r>
        <w:rPr>
          <w:rFonts w:hint="eastAsia" w:ascii="Arial" w:hAnsi="Arial" w:eastAsia="宋体" w:cs="Arial"/>
          <w:b/>
          <w:lang w:val="en-US" w:eastAsia="zh-CN"/>
        </w:rPr>
        <w:t>13</w:t>
      </w:r>
      <w:r>
        <w:rPr>
          <w:rFonts w:ascii="Arial" w:hAnsi="Arial" w:cs="Arial"/>
          <w:b/>
          <w:vertAlign w:val="superscript"/>
          <w:lang w:eastAsia="en-US"/>
        </w:rPr>
        <w:t>th</w:t>
      </w:r>
      <w:r>
        <w:rPr>
          <w:rFonts w:ascii="Arial" w:hAnsi="Arial" w:cs="Arial"/>
          <w:b/>
          <w:lang w:eastAsia="en-US"/>
        </w:rPr>
        <w:t>, 2023, Xiamen, China</w:t>
      </w:r>
    </w:p>
    <w:p>
      <w:pPr>
        <w:rPr>
          <w:rFonts w:ascii="Arial" w:hAnsi="Arial" w:cs="Arial"/>
          <w:b/>
          <w:u w:val="single"/>
          <w:lang w:val="en-US" w:eastAsia="zh-CN"/>
        </w:rPr>
      </w:pPr>
      <w:r>
        <w:rPr>
          <w:rFonts w:ascii="Arial" w:hAnsi="Arial" w:cs="Arial"/>
          <w:b/>
          <w:u w:val="single"/>
          <w:lang w:eastAsia="ja-JP"/>
        </w:rPr>
        <w:t>Agreements on “18.2 Support discontinuous coverage”</w:t>
      </w:r>
    </w:p>
    <w:p>
      <w:pPr>
        <w:pStyle w:val="132"/>
        <w:numPr>
          <w:ilvl w:val="0"/>
          <w:numId w:val="17"/>
        </w:numPr>
        <w:ind w:leftChars="0"/>
        <w:rPr>
          <w:rFonts w:ascii="Arial" w:hAnsi="Arial" w:cs="Arial"/>
          <w:sz w:val="20"/>
          <w:szCs w:val="20"/>
        </w:rPr>
      </w:pPr>
      <w:r>
        <w:rPr>
          <w:rFonts w:hint="eastAsia" w:ascii="Arial" w:hAnsi="Arial" w:eastAsia="宋体" w:cs="Arial"/>
          <w:sz w:val="20"/>
          <w:szCs w:val="20"/>
          <w:lang w:eastAsia="zh-CN"/>
        </w:rPr>
        <w:t>Miscellaneous correction on the BL CRs</w:t>
      </w:r>
      <w:r>
        <w:rPr>
          <w:rFonts w:hint="eastAsia" w:ascii="Arial" w:hAnsi="Arial" w:cs="Arial"/>
          <w:sz w:val="20"/>
          <w:szCs w:val="20"/>
          <w:lang w:eastAsia="en-US"/>
        </w:rPr>
        <w:t>.</w:t>
      </w:r>
    </w:p>
    <w:p>
      <w:pPr>
        <w:pStyle w:val="132"/>
        <w:numPr>
          <w:numId w:val="0"/>
        </w:numPr>
        <w:rPr>
          <w:rFonts w:ascii="Arial" w:hAnsi="Arial" w:cs="Arial"/>
          <w:sz w:val="20"/>
          <w:szCs w:val="20"/>
        </w:rPr>
      </w:pPr>
    </w:p>
    <w:p>
      <w:pPr>
        <w:outlineLvl w:val="5"/>
        <w:rPr>
          <w:rFonts w:hint="default" w:ascii="Arial" w:hAnsi="Arial" w:eastAsia="宋体" w:cs="Arial"/>
          <w:b/>
          <w:highlight w:val="none"/>
          <w:lang w:val="en-US" w:eastAsia="zh-CN"/>
        </w:rPr>
      </w:pPr>
      <w:r>
        <w:rPr>
          <w:rFonts w:ascii="Arial" w:hAnsi="Arial" w:cs="Arial"/>
          <w:b/>
          <w:highlight w:val="none"/>
          <w:lang w:eastAsia="en-US"/>
        </w:rPr>
        <w:t>RAN</w:t>
      </w:r>
      <w:r>
        <w:rPr>
          <w:rFonts w:hint="eastAsia" w:ascii="Arial" w:hAnsi="Arial" w:eastAsia="宋体" w:cs="Arial"/>
          <w:b/>
          <w:highlight w:val="none"/>
          <w:lang w:val="en-US" w:eastAsia="zh-CN"/>
        </w:rPr>
        <w:t>3</w:t>
      </w:r>
      <w:r>
        <w:rPr>
          <w:rFonts w:ascii="Arial" w:hAnsi="Arial" w:cs="Arial"/>
          <w:b/>
          <w:highlight w:val="none"/>
          <w:lang w:eastAsia="en-US"/>
        </w:rPr>
        <w:t>#12</w:t>
      </w:r>
      <w:r>
        <w:rPr>
          <w:rFonts w:hint="eastAsia" w:ascii="Arial" w:hAnsi="Arial" w:eastAsia="宋体" w:cs="Arial"/>
          <w:b/>
          <w:highlight w:val="none"/>
          <w:lang w:val="en-US" w:eastAsia="zh-CN"/>
        </w:rPr>
        <w:t>2</w:t>
      </w:r>
      <w:r>
        <w:rPr>
          <w:rFonts w:ascii="Arial" w:hAnsi="Arial" w:cs="Arial"/>
          <w:b/>
          <w:highlight w:val="none"/>
          <w:lang w:eastAsia="en-US"/>
        </w:rPr>
        <w:t xml:space="preserve">, </w:t>
      </w:r>
      <w:r>
        <w:rPr>
          <w:rFonts w:hint="eastAsia" w:ascii="Arial" w:hAnsi="Arial" w:eastAsia="宋体" w:cs="Arial"/>
          <w:b/>
          <w:highlight w:val="none"/>
          <w:lang w:val="en-US" w:eastAsia="zh-CN"/>
        </w:rPr>
        <w:t>November</w:t>
      </w:r>
      <w:r>
        <w:rPr>
          <w:rFonts w:ascii="Arial" w:hAnsi="Arial" w:cs="Arial"/>
          <w:b/>
          <w:highlight w:val="none"/>
          <w:lang w:eastAsia="en-US"/>
        </w:rPr>
        <w:t xml:space="preserve"> </w:t>
      </w:r>
      <w:r>
        <w:rPr>
          <w:rFonts w:hint="eastAsia" w:ascii="Arial" w:hAnsi="Arial" w:eastAsia="宋体" w:cs="Arial"/>
          <w:b/>
          <w:highlight w:val="none"/>
          <w:lang w:val="en-US" w:eastAsia="zh-CN"/>
        </w:rPr>
        <w:t>13</w:t>
      </w:r>
      <w:r>
        <w:rPr>
          <w:rFonts w:hint="eastAsia" w:ascii="Arial" w:hAnsi="Arial" w:eastAsia="宋体" w:cs="Arial"/>
          <w:b/>
          <w:highlight w:val="none"/>
          <w:vertAlign w:val="superscript"/>
          <w:lang w:val="en-US" w:eastAsia="zh-CN"/>
        </w:rPr>
        <w:t>th</w:t>
      </w:r>
      <w:r>
        <w:rPr>
          <w:rFonts w:ascii="Arial" w:hAnsi="Arial" w:cs="Arial"/>
          <w:b/>
          <w:highlight w:val="none"/>
          <w:lang w:eastAsia="en-US"/>
        </w:rPr>
        <w:t xml:space="preserve"> – </w:t>
      </w:r>
      <w:r>
        <w:rPr>
          <w:rFonts w:hint="eastAsia" w:ascii="Arial" w:hAnsi="Arial" w:eastAsia="宋体" w:cs="Arial"/>
          <w:b/>
          <w:highlight w:val="none"/>
          <w:lang w:val="en-US" w:eastAsia="zh-CN"/>
        </w:rPr>
        <w:t>November</w:t>
      </w:r>
      <w:r>
        <w:rPr>
          <w:rFonts w:ascii="Arial" w:hAnsi="Arial" w:cs="Arial"/>
          <w:b/>
          <w:highlight w:val="none"/>
          <w:lang w:eastAsia="en-US"/>
        </w:rPr>
        <w:t xml:space="preserve"> </w:t>
      </w:r>
      <w:r>
        <w:rPr>
          <w:rFonts w:hint="eastAsia" w:ascii="Arial" w:hAnsi="Arial" w:eastAsia="宋体" w:cs="Arial"/>
          <w:b/>
          <w:highlight w:val="none"/>
          <w:lang w:val="en-US" w:eastAsia="zh-CN"/>
        </w:rPr>
        <w:t>17</w:t>
      </w:r>
      <w:r>
        <w:rPr>
          <w:rFonts w:ascii="Arial" w:hAnsi="Arial" w:cs="Arial"/>
          <w:b/>
          <w:highlight w:val="none"/>
          <w:vertAlign w:val="superscript"/>
          <w:lang w:eastAsia="en-US"/>
        </w:rPr>
        <w:t>th</w:t>
      </w:r>
      <w:r>
        <w:rPr>
          <w:rFonts w:ascii="Arial" w:hAnsi="Arial" w:cs="Arial"/>
          <w:b/>
          <w:highlight w:val="none"/>
          <w:lang w:eastAsia="en-US"/>
        </w:rPr>
        <w:t xml:space="preserve">, 2023, </w:t>
      </w:r>
      <w:r>
        <w:rPr>
          <w:rFonts w:hint="eastAsia" w:ascii="Arial" w:hAnsi="Arial" w:eastAsia="宋体" w:cs="Arial"/>
          <w:b/>
          <w:highlight w:val="none"/>
          <w:lang w:val="en-US" w:eastAsia="zh-CN"/>
        </w:rPr>
        <w:t>Chicago</w:t>
      </w:r>
      <w:r>
        <w:rPr>
          <w:rFonts w:ascii="Arial" w:hAnsi="Arial" w:eastAsia="宋体" w:cs="Arial"/>
          <w:b/>
          <w:highlight w:val="none"/>
          <w:lang w:val="en-US" w:eastAsia="zh-CN"/>
        </w:rPr>
        <w:t xml:space="preserve">, </w:t>
      </w:r>
      <w:r>
        <w:rPr>
          <w:rFonts w:hint="eastAsia" w:ascii="Arial" w:hAnsi="Arial" w:eastAsia="宋体" w:cs="Arial"/>
          <w:b/>
          <w:highlight w:val="none"/>
          <w:lang w:val="en-US" w:eastAsia="zh-CN"/>
        </w:rPr>
        <w:t>USA</w:t>
      </w:r>
    </w:p>
    <w:p>
      <w:pPr>
        <w:rPr>
          <w:rFonts w:ascii="Arial" w:hAnsi="Arial" w:cs="Arial"/>
          <w:b/>
          <w:u w:val="single"/>
          <w:lang w:val="en-US" w:eastAsia="zh-CN"/>
        </w:rPr>
      </w:pPr>
      <w:r>
        <w:rPr>
          <w:rFonts w:ascii="Arial" w:hAnsi="Arial" w:cs="Arial"/>
          <w:b/>
          <w:u w:val="single"/>
          <w:lang w:eastAsia="ja-JP"/>
        </w:rPr>
        <w:t>Agreements on “18.2 Support discontinuous coverage”</w:t>
      </w:r>
    </w:p>
    <w:p>
      <w:pPr>
        <w:pStyle w:val="132"/>
        <w:numPr>
          <w:ilvl w:val="0"/>
          <w:numId w:val="17"/>
        </w:numPr>
        <w:ind w:leftChars="0"/>
        <w:rPr>
          <w:rFonts w:hint="eastAsia" w:ascii="Arial" w:hAnsi="Arial" w:cs="Arial"/>
          <w:sz w:val="20"/>
          <w:szCs w:val="20"/>
          <w:highlight w:val="none"/>
          <w:lang w:eastAsia="en-US"/>
        </w:rPr>
      </w:pPr>
      <w:r>
        <w:rPr>
          <w:rFonts w:hint="default" w:ascii="Arial" w:hAnsi="Arial" w:cs="Arial"/>
          <w:sz w:val="20"/>
          <w:szCs w:val="20"/>
          <w:highlight w:val="none"/>
          <w:lang w:eastAsia="en-US"/>
        </w:rPr>
        <w:t xml:space="preserve">RAN3 strictly adheres to the Rel-18 IoT NTN WID and stops discussion on </w:t>
      </w:r>
      <w:r>
        <w:rPr>
          <w:rFonts w:hint="eastAsia" w:ascii="Arial" w:hAnsi="Arial" w:eastAsia="宋体" w:cs="Arial"/>
          <w:sz w:val="20"/>
          <w:szCs w:val="20"/>
          <w:highlight w:val="none"/>
          <w:lang w:val="en-US" w:eastAsia="zh-CN"/>
        </w:rPr>
        <w:t>network verified UE location</w:t>
      </w:r>
      <w:r>
        <w:rPr>
          <w:rFonts w:hint="default" w:ascii="Arial" w:hAnsi="Arial" w:cs="Arial"/>
          <w:sz w:val="20"/>
          <w:szCs w:val="20"/>
          <w:highlight w:val="none"/>
          <w:lang w:eastAsia="en-US"/>
        </w:rPr>
        <w:t xml:space="preserve">. The corresponding changes to the TS 36.300 BL CR </w:t>
      </w:r>
      <w:r>
        <w:rPr>
          <w:rFonts w:hint="eastAsia" w:ascii="Arial" w:hAnsi="Arial" w:eastAsia="宋体" w:cs="Arial"/>
          <w:sz w:val="20"/>
          <w:szCs w:val="20"/>
          <w:highlight w:val="none"/>
          <w:lang w:val="en-US" w:eastAsia="zh-CN"/>
        </w:rPr>
        <w:t>have been</w:t>
      </w:r>
      <w:r>
        <w:rPr>
          <w:rFonts w:hint="default" w:ascii="Arial" w:hAnsi="Arial" w:cs="Arial"/>
          <w:sz w:val="20"/>
          <w:szCs w:val="20"/>
          <w:highlight w:val="none"/>
          <w:lang w:eastAsia="en-US"/>
        </w:rPr>
        <w:t xml:space="preserve"> reverted. </w:t>
      </w:r>
      <w:r>
        <w:rPr>
          <w:rFonts w:hint="eastAsia" w:ascii="Arial" w:hAnsi="Arial" w:cs="Arial"/>
          <w:sz w:val="20"/>
          <w:szCs w:val="20"/>
          <w:highlight w:val="none"/>
          <w:lang w:eastAsia="en-US"/>
        </w:rPr>
        <w:t>.</w:t>
      </w:r>
    </w:p>
    <w:p>
      <w:pPr>
        <w:pStyle w:val="132"/>
        <w:numPr>
          <w:numId w:val="0"/>
        </w:numPr>
        <w:rPr>
          <w:rFonts w:ascii="Arial" w:hAnsi="Arial" w:cs="Arial"/>
          <w:sz w:val="20"/>
          <w:szCs w:val="20"/>
        </w:rPr>
      </w:pPr>
    </w:p>
    <w:p>
      <w:pPr>
        <w:pStyle w:val="5"/>
        <w:keepNext w:val="0"/>
        <w:rPr>
          <w:lang w:eastAsia="ja-JP"/>
        </w:rPr>
      </w:pPr>
      <w:bookmarkStart w:id="4" w:name="_GoBack"/>
      <w:bookmarkEnd w:id="4"/>
      <w:r>
        <w:rPr>
          <w:lang w:eastAsia="ja-JP"/>
        </w:rPr>
        <w:t>2.3.2</w:t>
      </w:r>
      <w:r>
        <w:rPr>
          <w:lang w:eastAsia="ja-JP"/>
        </w:rPr>
        <w:tab/>
      </w:r>
      <w:r>
        <w:rPr>
          <w:lang w:eastAsia="ja-JP"/>
        </w:rPr>
        <w:t>Remaining Open issues</w:t>
      </w:r>
    </w:p>
    <w:p>
      <w:pPr>
        <w:pStyle w:val="88"/>
        <w:numPr>
          <w:ilvl w:val="0"/>
          <w:numId w:val="19"/>
        </w:numPr>
        <w:rPr>
          <w:rFonts w:ascii="Arial" w:hAnsi="Arial" w:cs="Arial"/>
        </w:rPr>
      </w:pPr>
      <w:r>
        <w:rPr>
          <w:rFonts w:ascii="Arial" w:hAnsi="Arial" w:cs="Arial"/>
          <w:lang w:eastAsia="ja-JP"/>
        </w:rPr>
        <w:t>All WI RAN3 objectives are completed, no critical outstanding issues. Any further clarifications will be discussed as part of maintenance activity (if needed).</w:t>
      </w:r>
    </w:p>
    <w:p>
      <w:pPr>
        <w:rPr>
          <w:rFonts w:ascii="Arial" w:hAnsi="Arial" w:cs="Arial"/>
        </w:rPr>
      </w:pPr>
    </w:p>
    <w:p>
      <w:pPr>
        <w:pStyle w:val="3"/>
        <w:keepNext w:val="0"/>
        <w:rPr>
          <w:rFonts w:cs="Arial"/>
          <w:lang w:eastAsia="ja-JP"/>
        </w:rPr>
      </w:pPr>
      <w:r>
        <w:rPr>
          <w:rFonts w:cs="Arial"/>
          <w:lang w:eastAsia="ja-JP"/>
        </w:rPr>
        <w:t>2.4</w:t>
      </w:r>
      <w:r>
        <w:rPr>
          <w:rFonts w:cs="Arial"/>
          <w:lang w:eastAsia="ja-JP"/>
        </w:rPr>
        <w:tab/>
      </w:r>
      <w:r>
        <w:rPr>
          <w:rFonts w:cs="Arial"/>
          <w:lang w:eastAsia="ja-JP"/>
        </w:rPr>
        <w:t>RAN4</w:t>
      </w:r>
    </w:p>
    <w:p>
      <w:pPr>
        <w:pStyle w:val="5"/>
        <w:keepNext w:val="0"/>
        <w:rPr>
          <w:rFonts w:cs="Arial"/>
          <w:lang w:eastAsia="ja-JP"/>
        </w:rPr>
      </w:pPr>
      <w:r>
        <w:rPr>
          <w:rFonts w:cs="Arial"/>
          <w:lang w:eastAsia="ja-JP"/>
        </w:rPr>
        <w:t>2.4.1</w:t>
      </w:r>
      <w:r>
        <w:rPr>
          <w:rFonts w:cs="Arial"/>
          <w:lang w:eastAsia="ja-JP"/>
        </w:rPr>
        <w:tab/>
      </w:r>
      <w:r>
        <w:rPr>
          <w:rFonts w:cs="Arial"/>
          <w:lang w:eastAsia="ja-JP"/>
        </w:rPr>
        <w:t xml:space="preserve">Agreements: </w:t>
      </w:r>
    </w:p>
    <w:p>
      <w:pPr>
        <w:outlineLvl w:val="5"/>
        <w:rPr>
          <w:rFonts w:ascii="Arial" w:hAnsi="Arial" w:cs="Arial"/>
          <w:b/>
          <w:lang w:eastAsia="en-US"/>
        </w:rPr>
      </w:pPr>
      <w:r>
        <w:rPr>
          <w:rFonts w:ascii="Arial" w:hAnsi="Arial" w:cs="Arial"/>
          <w:b/>
          <w:lang w:eastAsia="en-US"/>
        </w:rPr>
        <w:t>RAN4#108-bis, October 9th – October 13th, 2023, Xiamen, China</w:t>
      </w:r>
    </w:p>
    <w:p>
      <w:pPr>
        <w:pStyle w:val="9"/>
        <w:rPr>
          <w:rFonts w:cs="Arial"/>
          <w:u w:val="single"/>
          <w:lang w:eastAsia="en-US"/>
        </w:rPr>
      </w:pPr>
      <w:r>
        <w:rPr>
          <w:rFonts w:cs="Arial"/>
          <w:u w:val="single"/>
          <w:lang w:eastAsia="en-US"/>
        </w:rPr>
        <w:t>Core Part - RRM</w:t>
      </w:r>
    </w:p>
    <w:p>
      <w:pPr>
        <w:tabs>
          <w:tab w:val="left" w:pos="567"/>
        </w:tabs>
        <w:snapToGrid w:val="0"/>
        <w:rPr>
          <w:rFonts w:ascii="Arial" w:hAnsi="Arial" w:cs="Arial"/>
          <w:bCs/>
          <w:i/>
          <w:iCs/>
        </w:rPr>
      </w:pPr>
      <w:r>
        <w:rPr>
          <w:rFonts w:ascii="Arial" w:hAnsi="Arial" w:cs="Arial"/>
          <w:bCs/>
          <w:i/>
          <w:iCs/>
        </w:rPr>
        <w:t>Sub-Topic 1: K_satellite and other general issue</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0"/>
        </w:numPr>
        <w:spacing w:line="240" w:lineRule="auto"/>
        <w:textAlignment w:val="baseline"/>
        <w:rPr>
          <w:rFonts w:ascii="Arial" w:hAnsi="Arial" w:eastAsia="MS Mincho" w:cs="Arial"/>
          <w:bCs/>
          <w:lang w:eastAsia="en-US"/>
        </w:rPr>
      </w:pPr>
      <w:r>
        <w:rPr>
          <w:rFonts w:ascii="Arial" w:hAnsi="Arial" w:eastAsia="MS Mincho" w:cs="Arial"/>
          <w:bCs/>
          <w:lang w:eastAsia="en-US"/>
        </w:rPr>
        <w:t>For Idle mode, each frequency carrier</w:t>
      </w:r>
    </w:p>
    <w:p>
      <w:pPr>
        <w:numPr>
          <w:ilvl w:val="1"/>
          <w:numId w:val="20"/>
        </w:numPr>
        <w:spacing w:line="240" w:lineRule="auto"/>
        <w:textAlignment w:val="baseline"/>
        <w:rPr>
          <w:rFonts w:ascii="Arial" w:hAnsi="Arial" w:eastAsia="MS Mincho" w:cs="Arial"/>
          <w:bCs/>
          <w:lang w:eastAsia="en-US"/>
        </w:rPr>
      </w:pPr>
      <w:r>
        <w:rPr>
          <w:rFonts w:ascii="Arial" w:hAnsi="Arial" w:eastAsia="MS Mincho" w:cs="Arial"/>
          <w:lang w:eastAsia="en-US"/>
        </w:rPr>
        <w:t>K</w:t>
      </w:r>
      <w:r>
        <w:rPr>
          <w:rFonts w:ascii="Arial" w:hAnsi="Arial" w:eastAsia="MS Mincho" w:cs="Arial"/>
          <w:vertAlign w:val="subscript"/>
          <w:lang w:eastAsia="en-US"/>
        </w:rPr>
        <w:t>satellite</w:t>
      </w:r>
      <w:r>
        <w:rPr>
          <w:rFonts w:ascii="Arial" w:hAnsi="Arial" w:eastAsia="MS Mincho" w:cs="Arial"/>
          <w:bCs/>
          <w:lang w:val="en-US" w:eastAsia="zh-CN"/>
        </w:rPr>
        <w:t xml:space="preserve"> =2, if there are at least two NGSO satellites (including UE serving satellite) to be monitored by UE </w:t>
      </w:r>
      <w:r>
        <w:rPr>
          <w:rFonts w:ascii="Arial" w:hAnsi="Arial" w:eastAsia="MS Mincho" w:cs="Arial"/>
          <w:lang w:eastAsia="en-US"/>
        </w:rPr>
        <w:t>in this frequency carrier</w:t>
      </w:r>
    </w:p>
    <w:p>
      <w:pPr>
        <w:numPr>
          <w:ilvl w:val="1"/>
          <w:numId w:val="20"/>
        </w:numPr>
        <w:spacing w:line="240" w:lineRule="auto"/>
        <w:textAlignment w:val="baseline"/>
        <w:rPr>
          <w:rFonts w:ascii="Arial" w:hAnsi="Arial" w:eastAsia="MS Mincho" w:cs="Arial"/>
          <w:bCs/>
          <w:lang w:val="en-US" w:eastAsia="zh-CN"/>
        </w:rPr>
      </w:pPr>
      <w:r>
        <w:rPr>
          <w:rFonts w:ascii="Arial" w:hAnsi="Arial" w:eastAsia="MS Mincho" w:cs="Arial"/>
          <w:lang w:eastAsia="en-US"/>
        </w:rPr>
        <w:t>K</w:t>
      </w:r>
      <w:r>
        <w:rPr>
          <w:rFonts w:ascii="Arial" w:hAnsi="Arial" w:eastAsia="MS Mincho" w:cs="Arial"/>
          <w:vertAlign w:val="subscript"/>
          <w:lang w:eastAsia="en-US"/>
        </w:rPr>
        <w:t>satellite</w:t>
      </w:r>
      <w:r>
        <w:rPr>
          <w:rFonts w:ascii="Arial" w:hAnsi="Arial" w:eastAsia="MS Mincho" w:cs="Arial"/>
          <w:bCs/>
          <w:lang w:val="en-US" w:eastAsia="zh-CN"/>
        </w:rPr>
        <w:t xml:space="preserve"> =1, if there is only one NGSO satellite to be monitored in this frequency carrier</w:t>
      </w:r>
    </w:p>
    <w:p>
      <w:pPr>
        <w:numPr>
          <w:ilvl w:val="0"/>
          <w:numId w:val="20"/>
        </w:numPr>
        <w:spacing w:line="240" w:lineRule="auto"/>
        <w:textAlignment w:val="baseline"/>
        <w:rPr>
          <w:rFonts w:ascii="Arial" w:hAnsi="Arial" w:eastAsia="MS Mincho" w:cs="Arial"/>
          <w:bCs/>
          <w:lang w:eastAsia="en-US"/>
        </w:rPr>
      </w:pPr>
      <w:r>
        <w:rPr>
          <w:rFonts w:ascii="Arial" w:hAnsi="Arial" w:eastAsia="MS Mincho" w:cs="Arial"/>
          <w:bCs/>
          <w:lang w:eastAsia="en-US"/>
        </w:rPr>
        <w:t>For Connected mode, each frequency carrier</w:t>
      </w:r>
    </w:p>
    <w:p>
      <w:pPr>
        <w:numPr>
          <w:ilvl w:val="1"/>
          <w:numId w:val="20"/>
        </w:numPr>
        <w:spacing w:line="240" w:lineRule="auto"/>
        <w:textAlignment w:val="baseline"/>
        <w:rPr>
          <w:rFonts w:ascii="Arial" w:hAnsi="Arial" w:eastAsia="MS Mincho" w:cs="Arial"/>
          <w:bCs/>
          <w:lang w:eastAsia="en-US"/>
        </w:rPr>
      </w:pPr>
      <w:r>
        <w:rPr>
          <w:rFonts w:ascii="Arial" w:hAnsi="Arial" w:eastAsia="MS Mincho" w:cs="Arial"/>
          <w:lang w:eastAsia="en-US"/>
        </w:rPr>
        <w:t>K</w:t>
      </w:r>
      <w:r>
        <w:rPr>
          <w:rFonts w:ascii="Arial" w:hAnsi="Arial" w:eastAsia="MS Mincho" w:cs="Arial"/>
          <w:vertAlign w:val="subscript"/>
          <w:lang w:eastAsia="en-US"/>
        </w:rPr>
        <w:t>satellite</w:t>
      </w:r>
      <w:r>
        <w:rPr>
          <w:rFonts w:ascii="Arial" w:hAnsi="Arial" w:eastAsia="MS Mincho" w:cs="Arial"/>
          <w:bCs/>
          <w:lang w:val="en-US" w:eastAsia="zh-CN"/>
        </w:rPr>
        <w:t xml:space="preserve"> =2, if there are </w:t>
      </w:r>
      <w:r>
        <w:rPr>
          <w:rFonts w:ascii="Arial" w:hAnsi="Arial" w:eastAsia="MS Mincho" w:cs="Arial"/>
          <w:bCs/>
          <w:strike/>
          <w:lang w:val="en-US" w:eastAsia="zh-CN"/>
        </w:rPr>
        <w:t>at least</w:t>
      </w:r>
      <w:r>
        <w:rPr>
          <w:rFonts w:ascii="Arial" w:hAnsi="Arial" w:eastAsia="MS Mincho" w:cs="Arial"/>
          <w:bCs/>
          <w:lang w:val="en-US" w:eastAsia="zh-CN"/>
        </w:rPr>
        <w:t xml:space="preserve"> two NGSO satellites (including UE serving satellite) to be monitored by UE </w:t>
      </w:r>
      <w:r>
        <w:rPr>
          <w:rFonts w:ascii="Arial" w:hAnsi="Arial" w:eastAsia="MS Mincho" w:cs="Arial"/>
          <w:lang w:eastAsia="en-US"/>
        </w:rPr>
        <w:t>in this frequency carrier</w:t>
      </w:r>
    </w:p>
    <w:p>
      <w:pPr>
        <w:numPr>
          <w:ilvl w:val="1"/>
          <w:numId w:val="20"/>
        </w:numPr>
        <w:spacing w:line="240" w:lineRule="auto"/>
        <w:textAlignment w:val="baseline"/>
        <w:rPr>
          <w:rFonts w:ascii="Arial" w:hAnsi="Arial" w:eastAsia="MS Mincho" w:cs="Arial"/>
          <w:bCs/>
          <w:lang w:val="en-US" w:eastAsia="zh-CN"/>
        </w:rPr>
      </w:pPr>
      <w:r>
        <w:rPr>
          <w:rFonts w:ascii="Arial" w:hAnsi="Arial" w:eastAsia="MS Mincho" w:cs="Arial"/>
          <w:lang w:eastAsia="en-US"/>
        </w:rPr>
        <w:t>K</w:t>
      </w:r>
      <w:r>
        <w:rPr>
          <w:rFonts w:ascii="Arial" w:hAnsi="Arial" w:eastAsia="MS Mincho" w:cs="Arial"/>
          <w:vertAlign w:val="subscript"/>
          <w:lang w:eastAsia="en-US"/>
        </w:rPr>
        <w:t>satellite</w:t>
      </w:r>
      <w:r>
        <w:rPr>
          <w:rFonts w:ascii="Arial" w:hAnsi="Arial" w:eastAsia="MS Mincho" w:cs="Arial"/>
          <w:bCs/>
          <w:lang w:val="en-US" w:eastAsia="zh-CN"/>
        </w:rPr>
        <w:t xml:space="preserve"> =1, if there is only one NGSO satellite to be monitored in this frequency carrier</w:t>
      </w:r>
    </w:p>
    <w:p>
      <w:pPr>
        <w:overflowPunct/>
        <w:autoSpaceDE/>
        <w:autoSpaceDN/>
        <w:adjustRightInd/>
        <w:spacing w:after="0" w:line="240" w:lineRule="auto"/>
        <w:rPr>
          <w:rFonts w:ascii="Arial" w:hAnsi="Arial" w:eastAsia="PMingLiU" w:cs="Arial"/>
          <w:iCs/>
        </w:rPr>
      </w:pPr>
    </w:p>
    <w:p>
      <w:pPr>
        <w:tabs>
          <w:tab w:val="left" w:pos="567"/>
        </w:tabs>
        <w:snapToGrid w:val="0"/>
        <w:rPr>
          <w:rFonts w:ascii="Arial" w:hAnsi="Arial" w:cs="Arial"/>
          <w:bCs/>
        </w:rPr>
      </w:pPr>
      <w:r>
        <w:rPr>
          <w:rFonts w:ascii="Arial" w:hAnsi="Arial" w:cs="Arial"/>
          <w:bCs/>
        </w:rPr>
        <w:t>Issue 1-1-2: K_satellite for NGSO and t-ServiceStart(Neigh)</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1"/>
        </w:numPr>
        <w:spacing w:after="0" w:line="240" w:lineRule="auto"/>
        <w:textAlignment w:val="baseline"/>
        <w:rPr>
          <w:rFonts w:ascii="Arial" w:hAnsi="Arial" w:eastAsia="MS Mincho" w:cs="Arial"/>
          <w:bCs/>
          <w:lang w:val="en-US" w:eastAsia="zh-CN"/>
        </w:rPr>
      </w:pPr>
      <w:r>
        <w:rPr>
          <w:rFonts w:ascii="Arial" w:hAnsi="Arial" w:eastAsia="PMingLiU" w:cs="Arial"/>
          <w:bCs/>
          <w:iCs/>
          <w:szCs w:val="18"/>
          <w:lang w:val="en-US"/>
        </w:rPr>
        <w:t>For Ksatellite, all neighbor cell of neighboring NGSO satellite are not considered to be monitored before t-serviceStart(Neigh) if t-serviceStart(Neigh) is configured.</w:t>
      </w:r>
    </w:p>
    <w:p>
      <w:pPr>
        <w:overflowPunct/>
        <w:autoSpaceDE/>
        <w:autoSpaceDN/>
        <w:adjustRightInd/>
        <w:spacing w:after="0" w:line="240" w:lineRule="auto"/>
        <w:rPr>
          <w:rFonts w:ascii="Arial" w:hAnsi="Arial" w:eastAsia="PMingLiU" w:cs="Arial"/>
          <w:iCs/>
        </w:rPr>
      </w:pP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 xml:space="preserve">Sub-Topic 2: IDLE mode measurements  </w:t>
      </w:r>
    </w:p>
    <w:p>
      <w:pPr>
        <w:tabs>
          <w:tab w:val="left" w:pos="567"/>
        </w:tabs>
        <w:snapToGrid w:val="0"/>
        <w:rPr>
          <w:rFonts w:ascii="Arial" w:hAnsi="Arial" w:cs="Arial"/>
          <w:bCs/>
        </w:rPr>
      </w:pPr>
      <w:r>
        <w:rPr>
          <w:rFonts w:ascii="Arial" w:hAnsi="Arial" w:cs="Arial"/>
          <w:bCs/>
        </w:rPr>
        <w:t xml:space="preserve">Issue 2-2: Location-based triggering cell reselection measurements </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2"/>
        </w:numPr>
        <w:spacing w:line="240" w:lineRule="auto"/>
        <w:textAlignment w:val="baseline"/>
        <w:rPr>
          <w:rFonts w:ascii="Arial" w:hAnsi="Arial" w:eastAsia="宋体" w:cs="Arial"/>
          <w:sz w:val="21"/>
          <w:szCs w:val="21"/>
          <w:lang w:val="en-US" w:eastAsia="zh-CN"/>
        </w:rPr>
      </w:pPr>
      <w:r>
        <w:rPr>
          <w:rFonts w:ascii="Arial" w:hAnsi="Arial" w:eastAsia="宋体" w:cs="Arial"/>
          <w:sz w:val="21"/>
          <w:szCs w:val="21"/>
          <w:lang w:val="en-US" w:eastAsia="zh-CN"/>
        </w:rPr>
        <w:t>For IDLE mode neighbour cell measurements for eMTC and NB-IoT, the location-based measurement initiation condition for NR-NTN in R18 (in clause 4.2C.2.3 and 4.2C.2.4 in TS 38.133) can be reused with necessary modifications of parameters names</w:t>
      </w:r>
    </w:p>
    <w:p>
      <w:pPr>
        <w:numPr>
          <w:ilvl w:val="0"/>
          <w:numId w:val="22"/>
        </w:numPr>
        <w:spacing w:line="240" w:lineRule="auto"/>
        <w:textAlignment w:val="baseline"/>
        <w:rPr>
          <w:rFonts w:ascii="Arial" w:hAnsi="Arial" w:eastAsia="宋体" w:cs="Arial"/>
          <w:sz w:val="21"/>
          <w:szCs w:val="21"/>
          <w:lang w:val="en-US" w:eastAsia="zh-CN"/>
        </w:rPr>
      </w:pPr>
      <w:r>
        <w:rPr>
          <w:rFonts w:ascii="Arial" w:hAnsi="Arial" w:eastAsia="宋体" w:cs="Arial"/>
          <w:sz w:val="21"/>
          <w:szCs w:val="21"/>
          <w:lang w:val="en-US" w:eastAsia="zh-CN"/>
        </w:rPr>
        <w:t>Note:</w:t>
      </w:r>
    </w:p>
    <w:p>
      <w:pPr>
        <w:numPr>
          <w:ilvl w:val="1"/>
          <w:numId w:val="22"/>
        </w:numPr>
        <w:spacing w:line="240" w:lineRule="auto"/>
        <w:textAlignment w:val="baseline"/>
        <w:rPr>
          <w:rFonts w:ascii="Arial" w:hAnsi="Arial" w:eastAsia="宋体" w:cs="Arial"/>
          <w:sz w:val="21"/>
          <w:szCs w:val="21"/>
          <w:lang w:val="en-US" w:eastAsia="zh-CN"/>
        </w:rPr>
      </w:pPr>
      <w:r>
        <w:rPr>
          <w:rFonts w:ascii="Arial" w:hAnsi="Arial" w:eastAsia="宋体" w:cs="Arial"/>
          <w:sz w:val="21"/>
          <w:szCs w:val="21"/>
          <w:lang w:val="en-US" w:eastAsia="zh-CN"/>
        </w:rPr>
        <w:t>Requirements apply for quasi-fixed cell and earth-moving cell</w:t>
      </w:r>
    </w:p>
    <w:p>
      <w:pPr>
        <w:numPr>
          <w:ilvl w:val="2"/>
          <w:numId w:val="22"/>
        </w:numPr>
        <w:spacing w:line="240" w:lineRule="auto"/>
        <w:textAlignment w:val="baseline"/>
        <w:rPr>
          <w:rFonts w:ascii="Arial" w:hAnsi="Arial" w:eastAsia="宋体" w:cs="Arial"/>
          <w:sz w:val="21"/>
          <w:szCs w:val="21"/>
          <w:lang w:val="en-US" w:eastAsia="zh-CN"/>
        </w:rPr>
      </w:pPr>
      <w:r>
        <w:rPr>
          <w:rFonts w:ascii="Arial" w:hAnsi="Arial" w:eastAsia="宋体" w:cs="Arial"/>
          <w:sz w:val="21"/>
          <w:szCs w:val="21"/>
          <w:lang w:val="en-US" w:eastAsia="zh-CN"/>
        </w:rPr>
        <w:t>For defining the requirements for earth-moving cell, further discuss based on the agreement from R18 NR NTN.</w:t>
      </w:r>
    </w:p>
    <w:p>
      <w:pPr>
        <w:numPr>
          <w:ilvl w:val="1"/>
          <w:numId w:val="22"/>
        </w:numPr>
        <w:spacing w:line="240" w:lineRule="auto"/>
        <w:textAlignment w:val="baseline"/>
        <w:rPr>
          <w:rFonts w:ascii="Arial" w:hAnsi="Arial" w:eastAsia="宋体" w:cs="Arial"/>
          <w:sz w:val="21"/>
          <w:szCs w:val="21"/>
          <w:lang w:val="en-US" w:eastAsia="zh-CN"/>
        </w:rPr>
      </w:pPr>
      <w:r>
        <w:rPr>
          <w:rFonts w:ascii="Arial" w:hAnsi="Arial" w:eastAsia="宋体" w:cs="Arial"/>
          <w:sz w:val="21"/>
          <w:szCs w:val="21"/>
          <w:lang w:val="en-US" w:eastAsia="zh-CN"/>
        </w:rPr>
        <w:t>margin for distanceThresh is discussed in other issue</w:t>
      </w: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 xml:space="preserve">Sub-Topic 3: CONN mode measurements  </w:t>
      </w:r>
    </w:p>
    <w:p>
      <w:pPr>
        <w:tabs>
          <w:tab w:val="left" w:pos="567"/>
        </w:tabs>
        <w:snapToGrid w:val="0"/>
        <w:rPr>
          <w:rFonts w:ascii="Arial" w:hAnsi="Arial" w:cs="Arial"/>
          <w:bCs/>
        </w:rPr>
      </w:pPr>
      <w:r>
        <w:rPr>
          <w:rFonts w:ascii="Arial" w:hAnsi="Arial" w:cs="Arial"/>
          <w:bCs/>
        </w:rPr>
        <w:t>Issue 3-0 (new): For NGSO, neighbor NGSO satellite measurement in connected mode</w:t>
      </w:r>
    </w:p>
    <w:p>
      <w:pPr>
        <w:overflowPunct/>
        <w:autoSpaceDE/>
        <w:autoSpaceDN/>
        <w:adjustRightInd/>
        <w:spacing w:after="120" w:line="240" w:lineRule="auto"/>
        <w:rPr>
          <w:rFonts w:ascii="Arial" w:hAnsi="Arial" w:eastAsia="宋体" w:cs="Arial"/>
          <w:lang w:val="en-US" w:eastAsia="en-US"/>
        </w:rPr>
      </w:pPr>
      <w:r>
        <w:rPr>
          <w:rFonts w:ascii="Arial" w:hAnsi="Arial" w:eastAsia="宋体" w:cs="Arial"/>
          <w:lang w:val="en-US" w:eastAsia="en-US"/>
        </w:rPr>
        <w:t>Discuss the following options until next meeting:</w:t>
      </w:r>
    </w:p>
    <w:p>
      <w:pPr>
        <w:numPr>
          <w:ilvl w:val="0"/>
          <w:numId w:val="23"/>
        </w:numPr>
        <w:spacing w:line="240" w:lineRule="auto"/>
        <w:textAlignment w:val="baseline"/>
        <w:rPr>
          <w:rFonts w:ascii="Arial" w:hAnsi="Arial" w:eastAsia="MS Mincho" w:cs="Arial"/>
          <w:lang w:eastAsia="zh-CN"/>
        </w:rPr>
      </w:pPr>
      <w:r>
        <w:rPr>
          <w:rFonts w:ascii="Arial" w:hAnsi="Arial" w:eastAsia="MS Mincho" w:cs="Arial"/>
          <w:lang w:eastAsia="zh-CN"/>
        </w:rPr>
        <w:t xml:space="preserve">Option 1: For NB-IoT, best effort measurement for </w:t>
      </w:r>
      <w:r>
        <w:rPr>
          <w:rFonts w:ascii="Arial" w:hAnsi="Arial" w:eastAsia="MS Mincho" w:cs="Arial"/>
          <w:u w:val="single"/>
          <w:lang w:eastAsia="zh-CN"/>
        </w:rPr>
        <w:t>inter-satellite</w:t>
      </w:r>
      <w:r>
        <w:rPr>
          <w:rFonts w:ascii="Arial" w:hAnsi="Arial" w:eastAsia="MS Mincho" w:cs="Arial"/>
          <w:lang w:eastAsia="zh-CN"/>
        </w:rPr>
        <w:t xml:space="preserve"> neighbor NGSO satellite for intra-frequency measurement, similar to inter-frequency.  </w:t>
      </w:r>
    </w:p>
    <w:p>
      <w:pPr>
        <w:numPr>
          <w:ilvl w:val="0"/>
          <w:numId w:val="23"/>
        </w:numPr>
        <w:spacing w:line="240" w:lineRule="auto"/>
        <w:textAlignment w:val="baseline"/>
        <w:rPr>
          <w:rFonts w:ascii="Arial" w:hAnsi="Arial" w:eastAsia="MS Mincho" w:cs="Arial"/>
          <w:lang w:eastAsia="zh-CN"/>
        </w:rPr>
      </w:pPr>
      <w:r>
        <w:rPr>
          <w:rFonts w:ascii="Arial" w:hAnsi="Arial" w:eastAsia="MS Mincho" w:cs="Arial"/>
          <w:lang w:eastAsia="zh-CN"/>
        </w:rPr>
        <w:t xml:space="preserve">Option 2: other options are not precluded. </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3-1: K_satellite, update NB-IoT inter-frequency measurement in connected mode</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4"/>
        </w:numPr>
        <w:spacing w:line="240" w:lineRule="auto"/>
        <w:textAlignment w:val="baseline"/>
        <w:rPr>
          <w:rFonts w:ascii="Arial" w:hAnsi="Arial" w:eastAsia="Batang" w:cs="Arial"/>
          <w:lang w:eastAsia="ko-KR"/>
        </w:rPr>
      </w:pPr>
      <w:r>
        <w:rPr>
          <w:rFonts w:ascii="Arial" w:hAnsi="Arial" w:eastAsia="Batang" w:cs="Arial"/>
          <w:lang w:eastAsia="ko-KR"/>
        </w:rPr>
        <w:fldChar w:fldCharType="begin"/>
      </w:r>
      <w:r>
        <w:rPr>
          <w:rFonts w:ascii="Arial" w:hAnsi="Arial" w:eastAsia="Batang" w:cs="Arial"/>
          <w:lang w:eastAsia="ko-KR"/>
        </w:rPr>
        <w:instrText xml:space="preserve"> REF _Ref146637939 \h  \* MERGEFORMAT </w:instrText>
      </w:r>
      <w:r>
        <w:rPr>
          <w:rFonts w:ascii="Arial" w:hAnsi="Arial" w:eastAsia="Batang" w:cs="Arial"/>
          <w:lang w:eastAsia="ko-KR"/>
        </w:rPr>
        <w:fldChar w:fldCharType="separate"/>
      </w:r>
      <w:r>
        <w:rPr>
          <w:rFonts w:ascii="Arial" w:hAnsi="Arial" w:eastAsia="MS Mincho" w:cs="Arial"/>
          <w:lang w:eastAsia="en-US"/>
        </w:rPr>
        <w:t xml:space="preserve">NTN </w:t>
      </w:r>
      <w:bookmarkStart w:id="3" w:name="_Hlk146909403"/>
      <w:r>
        <w:rPr>
          <w:rFonts w:ascii="Arial" w:hAnsi="Arial" w:eastAsia="MS Mincho" w:cs="Arial"/>
          <w:lang w:eastAsia="en-US"/>
        </w:rPr>
        <w:t>NB-IoT inter-frequency measurement in connected mode</w:t>
      </w:r>
      <w:bookmarkEnd w:id="3"/>
      <w:r>
        <w:rPr>
          <w:rFonts w:ascii="Arial" w:hAnsi="Arial" w:eastAsia="MS Mincho" w:cs="Arial"/>
          <w:lang w:eastAsia="en-US"/>
        </w:rPr>
        <w:t xml:space="preserve">, update </w:t>
      </w:r>
      <w:r>
        <w:rPr>
          <w:rFonts w:ascii="Arial" w:hAnsi="Arial" w:cs="Arial"/>
          <w:lang w:eastAsia="zh-CN"/>
        </w:rPr>
        <w:t>T</w:t>
      </w:r>
      <w:r>
        <w:rPr>
          <w:rFonts w:ascii="Arial" w:hAnsi="Arial" w:cs="Arial"/>
          <w:vertAlign w:val="subscript"/>
          <w:lang w:eastAsia="en-GB"/>
        </w:rPr>
        <w:t>detect_i</w:t>
      </w:r>
      <w:r>
        <w:rPr>
          <w:rFonts w:ascii="Arial" w:hAnsi="Arial" w:cs="Arial"/>
          <w:vertAlign w:val="subscript"/>
          <w:lang w:eastAsia="zh-CN"/>
        </w:rPr>
        <w:t>nter</w:t>
      </w:r>
      <w:r>
        <w:rPr>
          <w:rFonts w:ascii="Arial" w:hAnsi="Arial" w:cs="Arial"/>
          <w:vertAlign w:val="subscript"/>
          <w:lang w:eastAsia="en-GB"/>
        </w:rPr>
        <w:t xml:space="preserve"> NB1-NC</w:t>
      </w:r>
      <w:r>
        <w:rPr>
          <w:rFonts w:ascii="Arial" w:hAnsi="Arial" w:cs="Arial"/>
          <w:vertAlign w:val="subscript"/>
          <w:lang w:eastAsia="zh-CN"/>
        </w:rPr>
        <w:t xml:space="preserve">  </w:t>
      </w:r>
      <w:r>
        <w:rPr>
          <w:rFonts w:ascii="Arial" w:hAnsi="Arial" w:cs="Arial"/>
          <w:lang w:eastAsia="zh-CN"/>
        </w:rPr>
        <w:t xml:space="preserve">and </w:t>
      </w:r>
      <w:r>
        <w:rPr>
          <w:rFonts w:ascii="Arial" w:hAnsi="Arial" w:eastAsia="MS Mincho" w:cs="Arial"/>
          <w:lang w:eastAsia="zh-CN"/>
        </w:rPr>
        <w:t>T</w:t>
      </w:r>
      <w:r>
        <w:rPr>
          <w:rFonts w:ascii="Arial" w:hAnsi="Arial" w:cs="Arial"/>
          <w:vertAlign w:val="subscript"/>
          <w:lang w:eastAsia="en-GB"/>
        </w:rPr>
        <w:t>measure _inter NB1-NC</w:t>
      </w:r>
      <w:r>
        <w:rPr>
          <w:rFonts w:ascii="Arial" w:hAnsi="Arial" w:eastAsia="MS Mincho" w:cs="Arial"/>
          <w:lang w:eastAsia="en-US"/>
        </w:rPr>
        <w:t xml:space="preserve"> as</w:t>
      </w:r>
      <w:r>
        <w:rPr>
          <w:rFonts w:ascii="Arial" w:hAnsi="Arial" w:eastAsia="Batang" w:cs="Arial"/>
          <w:lang w:eastAsia="ko-KR"/>
        </w:rPr>
        <w:fldChar w:fldCharType="end"/>
      </w:r>
    </w:p>
    <w:p>
      <w:pPr>
        <w:numPr>
          <w:ilvl w:val="1"/>
          <w:numId w:val="24"/>
        </w:numPr>
        <w:spacing w:line="240" w:lineRule="auto"/>
        <w:textAlignment w:val="baseline"/>
        <w:rPr>
          <w:rFonts w:ascii="Arial" w:hAnsi="Arial" w:cs="Arial"/>
          <w:lang w:eastAsia="zh-CN"/>
        </w:rPr>
      </w:pPr>
      <m:oMath>
        <m:sSub>
          <m:sSubPr>
            <m:ctrlPr>
              <w:rPr>
                <w:rFonts w:ascii="Cambria Math" w:hAnsi="Cambria Math" w:cs="Arial"/>
                <w:iCs/>
                <w:lang w:val="sv-SE" w:eastAsia="en-GB"/>
              </w:rPr>
            </m:ctrlPr>
          </m:sSubPr>
          <m:e>
            <m:r>
              <m:rPr>
                <m:sty m:val="p"/>
              </m:rPr>
              <w:rPr>
                <w:rFonts w:ascii="Cambria Math" w:hAnsi="Cambria Math" w:cs="Arial"/>
                <w:lang w:eastAsia="zh-CN"/>
              </w:rPr>
              <m:t>T</m:t>
            </m:r>
            <m:ctrlPr>
              <w:rPr>
                <w:rFonts w:ascii="Cambria Math" w:hAnsi="Cambria Math" w:cs="Arial"/>
                <w:iCs/>
                <w:lang w:val="sv-SE" w:eastAsia="en-GB"/>
              </w:rPr>
            </m:ctrlPr>
          </m:e>
          <m:sub>
            <m:r>
              <m:rPr>
                <m:sty m:val="p"/>
              </m:rPr>
              <w:rPr>
                <w:rFonts w:ascii="Cambria Math" w:hAnsi="Cambria Math" w:cs="Arial"/>
                <w:lang w:eastAsia="zh-CN"/>
              </w:rPr>
              <m:t>detect_inter_NB1−NC</m:t>
            </m:r>
            <m:ctrlPr>
              <w:rPr>
                <w:rFonts w:ascii="Cambria Math" w:hAnsi="Cambria Math" w:cs="Arial"/>
                <w:iCs/>
                <w:lang w:val="sv-SE" w:eastAsia="en-GB"/>
              </w:rPr>
            </m:ctrlPr>
          </m:sub>
        </m:sSub>
        <m:r>
          <m:rPr>
            <m:sty m:val="p"/>
          </m:rPr>
          <w:rPr>
            <w:rFonts w:ascii="Cambria Math" w:hAnsi="Cambria Math" w:eastAsia="Cambria Math" w:cs="Arial"/>
            <w:lang w:eastAsia="zh-CN"/>
          </w:rPr>
          <m:t>=</m:t>
        </m:r>
        <m:nary>
          <m:naryPr>
            <m:chr m:val="∑"/>
            <m:limLoc m:val="undOvr"/>
            <m:ctrlPr>
              <w:rPr>
                <w:rFonts w:ascii="Cambria Math" w:hAnsi="Cambria Math" w:eastAsia="Cambria Math" w:cs="Arial"/>
                <w:lang w:val="sv-SE" w:eastAsia="en-GB"/>
              </w:rPr>
            </m:ctrlPr>
          </m:naryPr>
          <m:sub>
            <m:r>
              <m:rPr/>
              <w:rPr>
                <w:rFonts w:ascii="Cambria Math" w:hAnsi="Cambria Math" w:eastAsia="Cambria Math" w:cs="Arial"/>
                <w:lang w:val="sv-SE" w:eastAsia="zh-CN"/>
              </w:rPr>
              <m:t>i</m:t>
            </m:r>
            <m:ctrlPr>
              <w:rPr>
                <w:rFonts w:ascii="Cambria Math" w:hAnsi="Cambria Math" w:eastAsia="Cambria Math" w:cs="Arial"/>
                <w:lang w:val="sv-SE" w:eastAsia="en-GB"/>
              </w:rPr>
            </m:ctrlPr>
          </m:sub>
          <m:sup>
            <m:r>
              <m:rPr/>
              <w:rPr>
                <w:rFonts w:ascii="Cambria Math" w:hAnsi="Cambria Math" w:eastAsia="Cambria Math" w:cs="Arial"/>
                <w:lang w:val="sv-SE" w:eastAsia="zh-CN"/>
              </w:rPr>
              <m:t>N</m:t>
            </m:r>
            <m:r>
              <m:rPr/>
              <w:rPr>
                <w:rFonts w:ascii="Cambria Math" w:hAnsi="Cambria Math" w:eastAsia="Cambria Math" w:cs="Arial"/>
                <w:lang w:val="en-US" w:eastAsia="zh-CN"/>
              </w:rPr>
              <m:t>∗</m:t>
            </m:r>
            <m:r>
              <m:rPr>
                <m:sty m:val="p"/>
              </m:rPr>
              <w:rPr>
                <w:rFonts w:ascii="Cambria Math" w:hAnsi="Cambria Math" w:cs="Arial"/>
                <w:lang w:eastAsia="zh-CN"/>
              </w:rPr>
              <m:t>K_satellite</m:t>
            </m:r>
            <m:ctrlPr>
              <w:rPr>
                <w:rFonts w:ascii="Cambria Math" w:hAnsi="Cambria Math" w:eastAsia="Cambria Math" w:cs="Arial"/>
                <w:lang w:val="sv-SE" w:eastAsia="en-GB"/>
              </w:rPr>
            </m:ctrlPr>
          </m:sup>
          <m:e>
            <m:r>
              <m:rPr/>
              <w:rPr>
                <w:rFonts w:ascii="Cambria Math" w:hAnsi="Cambria Math" w:eastAsia="Cambria Math" w:cs="Arial"/>
                <w:lang w:val="sv-SE" w:eastAsia="zh-CN"/>
              </w:rPr>
              <m:t>Min</m:t>
            </m:r>
            <m:r>
              <m:rPr>
                <m:sty m:val="p"/>
              </m:rPr>
              <w:rPr>
                <w:rFonts w:ascii="Cambria Math" w:hAnsi="Cambria Math" w:eastAsia="Cambria Math" w:cs="Arial"/>
                <w:lang w:eastAsia="zh-CN"/>
              </w:rPr>
              <m:t xml:space="preserve">(5000, </m:t>
            </m:r>
            <m:sSub>
              <m:sSubPr>
                <m:ctrlPr>
                  <w:rPr>
                    <w:rFonts w:ascii="Cambria Math" w:hAnsi="Cambria Math" w:eastAsia="Cambria Math" w:cs="Arial"/>
                    <w:lang w:val="sv-SE" w:eastAsia="en-GB"/>
                  </w:rPr>
                </m:ctrlPr>
              </m:sSubPr>
              <m:e>
                <m:r>
                  <m:rPr/>
                  <w:rPr>
                    <w:rFonts w:ascii="Cambria Math" w:hAnsi="Cambria Math" w:eastAsia="Cambria Math" w:cs="Arial"/>
                    <w:lang w:val="sv-SE" w:eastAsia="zh-CN"/>
                  </w:rPr>
                  <m:t>T</m:t>
                </m:r>
                <m:ctrlPr>
                  <w:rPr>
                    <w:rFonts w:ascii="Cambria Math" w:hAnsi="Cambria Math" w:eastAsia="Cambria Math" w:cs="Arial"/>
                    <w:lang w:val="sv-SE" w:eastAsia="en-GB"/>
                  </w:rPr>
                </m:ctrlPr>
              </m:e>
              <m:sub>
                <m:r>
                  <m:rPr/>
                  <w:rPr>
                    <w:rFonts w:ascii="Cambria Math" w:hAnsi="Cambria Math" w:eastAsia="Cambria Math" w:cs="Arial"/>
                    <w:lang w:val="sv-SE" w:eastAsia="zh-CN"/>
                  </w:rPr>
                  <m:t>a</m:t>
                </m:r>
                <m:r>
                  <m:rPr>
                    <m:sty m:val="p"/>
                  </m:rPr>
                  <w:rPr>
                    <w:rFonts w:ascii="Cambria Math" w:hAnsi="Cambria Math" w:eastAsia="Cambria Math" w:cs="Arial"/>
                    <w:lang w:eastAsia="zh-CN"/>
                  </w:rPr>
                  <m:t>,</m:t>
                </m:r>
                <m:r>
                  <m:rPr/>
                  <w:rPr>
                    <w:rFonts w:ascii="Cambria Math" w:hAnsi="Cambria Math" w:eastAsia="Cambria Math" w:cs="Arial"/>
                    <w:lang w:val="sv-SE" w:eastAsia="zh-CN"/>
                  </w:rPr>
                  <m:t>i</m:t>
                </m:r>
                <m:ctrlPr>
                  <w:rPr>
                    <w:rFonts w:ascii="Cambria Math" w:hAnsi="Cambria Math" w:eastAsia="Cambria Math" w:cs="Arial"/>
                    <w:lang w:val="sv-SE" w:eastAsia="en-GB"/>
                  </w:rPr>
                </m:ctrlPr>
              </m:sub>
            </m:sSub>
            <m:r>
              <m:rPr>
                <m:sty m:val="p"/>
              </m:rPr>
              <w:rPr>
                <w:rFonts w:ascii="Cambria Math" w:hAnsi="Cambria Math" w:eastAsia="Cambria Math" w:cs="Arial"/>
                <w:lang w:eastAsia="zh-CN"/>
              </w:rPr>
              <m:t>)</m:t>
            </m:r>
            <m:ctrlPr>
              <w:rPr>
                <w:rFonts w:ascii="Cambria Math" w:hAnsi="Cambria Math" w:eastAsia="Cambria Math" w:cs="Arial"/>
                <w:lang w:val="sv-SE" w:eastAsia="en-GB"/>
              </w:rPr>
            </m:ctrlPr>
          </m:e>
        </m:nary>
      </m:oMath>
      <w:r>
        <w:rPr>
          <w:rFonts w:ascii="Arial" w:hAnsi="Arial" w:cs="Arial"/>
          <w:lang w:eastAsia="zh-CN"/>
        </w:rPr>
        <w:t xml:space="preserve"> ms</w:t>
      </w:r>
    </w:p>
    <w:p>
      <w:pPr>
        <w:numPr>
          <w:ilvl w:val="1"/>
          <w:numId w:val="24"/>
        </w:numPr>
        <w:spacing w:line="240" w:lineRule="auto"/>
        <w:textAlignment w:val="baseline"/>
        <w:rPr>
          <w:rFonts w:ascii="Arial" w:hAnsi="Arial" w:cs="Arial"/>
          <w:lang w:eastAsia="zh-CN"/>
        </w:rPr>
      </w:pPr>
      <m:oMath>
        <m:sSub>
          <m:sSubPr>
            <m:ctrlPr>
              <w:rPr>
                <w:rFonts w:ascii="Cambria Math" w:hAnsi="Cambria Math" w:cs="Arial"/>
                <w:iCs/>
                <w:lang w:val="sv-SE" w:eastAsia="en-GB"/>
              </w:rPr>
            </m:ctrlPr>
          </m:sSubPr>
          <m:e>
            <m:r>
              <m:rPr>
                <m:sty m:val="p"/>
              </m:rPr>
              <w:rPr>
                <w:rFonts w:ascii="Cambria Math" w:hAnsi="Cambria Math" w:cs="Arial"/>
                <w:lang w:eastAsia="zh-CN"/>
              </w:rPr>
              <m:t>T</m:t>
            </m:r>
            <m:ctrlPr>
              <w:rPr>
                <w:rFonts w:ascii="Cambria Math" w:hAnsi="Cambria Math" w:cs="Arial"/>
                <w:iCs/>
                <w:lang w:val="sv-SE" w:eastAsia="en-GB"/>
              </w:rPr>
            </m:ctrlPr>
          </m:e>
          <m:sub>
            <m:r>
              <m:rPr>
                <m:sty m:val="p"/>
              </m:rPr>
              <w:rPr>
                <w:rFonts w:ascii="Cambria Math" w:hAnsi="Cambria Math" w:cs="Arial"/>
                <w:lang w:eastAsia="zh-CN"/>
              </w:rPr>
              <m:t>measure_inter_NB1−NC</m:t>
            </m:r>
            <m:ctrlPr>
              <w:rPr>
                <w:rFonts w:ascii="Cambria Math" w:hAnsi="Cambria Math" w:cs="Arial"/>
                <w:iCs/>
                <w:lang w:val="sv-SE" w:eastAsia="en-GB"/>
              </w:rPr>
            </m:ctrlPr>
          </m:sub>
        </m:sSub>
        <m:r>
          <m:rPr>
            <m:sty m:val="p"/>
          </m:rPr>
          <w:rPr>
            <w:rFonts w:ascii="Cambria Math" w:hAnsi="Cambria Math" w:eastAsia="Cambria Math" w:cs="Arial"/>
            <w:lang w:eastAsia="zh-CN"/>
          </w:rPr>
          <m:t>=</m:t>
        </m:r>
        <m:nary>
          <m:naryPr>
            <m:chr m:val="∑"/>
            <m:limLoc m:val="undOvr"/>
            <m:ctrlPr>
              <w:rPr>
                <w:rFonts w:ascii="Cambria Math" w:hAnsi="Cambria Math" w:eastAsia="Cambria Math" w:cs="Arial"/>
                <w:lang w:val="sv-SE" w:eastAsia="en-GB"/>
              </w:rPr>
            </m:ctrlPr>
          </m:naryPr>
          <m:sub>
            <m:r>
              <m:rPr/>
              <w:rPr>
                <w:rFonts w:ascii="Cambria Math" w:hAnsi="Cambria Math" w:eastAsia="Cambria Math" w:cs="Arial"/>
                <w:lang w:val="sv-SE" w:eastAsia="zh-CN"/>
              </w:rPr>
              <m:t>i</m:t>
            </m:r>
            <m:ctrlPr>
              <w:rPr>
                <w:rFonts w:ascii="Cambria Math" w:hAnsi="Cambria Math" w:eastAsia="Cambria Math" w:cs="Arial"/>
                <w:lang w:val="sv-SE" w:eastAsia="en-GB"/>
              </w:rPr>
            </m:ctrlPr>
          </m:sub>
          <m:sup>
            <m:r>
              <m:rPr/>
              <w:rPr>
                <w:rFonts w:ascii="Cambria Math" w:hAnsi="Cambria Math" w:eastAsia="Cambria Math" w:cs="Arial"/>
                <w:lang w:val="sv-SE" w:eastAsia="zh-CN"/>
              </w:rPr>
              <m:t>M</m:t>
            </m:r>
            <m:r>
              <m:rPr/>
              <w:rPr>
                <w:rFonts w:ascii="Cambria Math" w:hAnsi="Cambria Math" w:eastAsia="Cambria Math" w:cs="Arial"/>
                <w:lang w:val="en-US" w:eastAsia="zh-CN"/>
              </w:rPr>
              <m:t>∗</m:t>
            </m:r>
            <m:r>
              <m:rPr>
                <m:sty m:val="p"/>
              </m:rPr>
              <w:rPr>
                <w:rFonts w:ascii="Cambria Math" w:hAnsi="Cambria Math" w:cs="Arial"/>
                <w:lang w:eastAsia="zh-CN"/>
              </w:rPr>
              <m:t>K_satellite</m:t>
            </m:r>
            <m:ctrlPr>
              <w:rPr>
                <w:rFonts w:ascii="Cambria Math" w:hAnsi="Cambria Math" w:eastAsia="Cambria Math" w:cs="Arial"/>
                <w:lang w:val="sv-SE" w:eastAsia="en-GB"/>
              </w:rPr>
            </m:ctrlPr>
          </m:sup>
          <m:e>
            <m:r>
              <m:rPr/>
              <w:rPr>
                <w:rFonts w:ascii="Cambria Math" w:hAnsi="Cambria Math" w:eastAsia="Cambria Math" w:cs="Arial"/>
                <w:lang w:val="sv-SE" w:eastAsia="zh-CN"/>
              </w:rPr>
              <m:t>Min</m:t>
            </m:r>
            <m:r>
              <m:rPr>
                <m:sty m:val="p"/>
              </m:rPr>
              <w:rPr>
                <w:rFonts w:ascii="Cambria Math" w:hAnsi="Cambria Math" w:eastAsia="Cambria Math" w:cs="Arial"/>
                <w:lang w:eastAsia="zh-CN"/>
              </w:rPr>
              <m:t xml:space="preserve">(5000, </m:t>
            </m:r>
            <m:sSub>
              <m:sSubPr>
                <m:ctrlPr>
                  <w:rPr>
                    <w:rFonts w:ascii="Cambria Math" w:hAnsi="Cambria Math" w:eastAsia="Cambria Math" w:cs="Arial"/>
                    <w:lang w:val="sv-SE" w:eastAsia="en-GB"/>
                  </w:rPr>
                </m:ctrlPr>
              </m:sSubPr>
              <m:e>
                <m:r>
                  <m:rPr/>
                  <w:rPr>
                    <w:rFonts w:ascii="Cambria Math" w:hAnsi="Cambria Math" w:eastAsia="Cambria Math" w:cs="Arial"/>
                    <w:lang w:val="sv-SE" w:eastAsia="zh-CN"/>
                  </w:rPr>
                  <m:t>T</m:t>
                </m:r>
                <m:ctrlPr>
                  <w:rPr>
                    <w:rFonts w:ascii="Cambria Math" w:hAnsi="Cambria Math" w:eastAsia="Cambria Math" w:cs="Arial"/>
                    <w:lang w:val="sv-SE" w:eastAsia="en-GB"/>
                  </w:rPr>
                </m:ctrlPr>
              </m:e>
              <m:sub>
                <m:r>
                  <m:rPr/>
                  <w:rPr>
                    <w:rFonts w:ascii="Cambria Math" w:hAnsi="Cambria Math" w:eastAsia="Cambria Math" w:cs="Arial"/>
                    <w:lang w:val="sv-SE" w:eastAsia="zh-CN"/>
                  </w:rPr>
                  <m:t>b</m:t>
                </m:r>
                <m:r>
                  <m:rPr>
                    <m:sty m:val="p"/>
                  </m:rPr>
                  <w:rPr>
                    <w:rFonts w:ascii="Cambria Math" w:hAnsi="Cambria Math" w:eastAsia="Cambria Math" w:cs="Arial"/>
                    <w:lang w:eastAsia="zh-CN"/>
                  </w:rPr>
                  <m:t>,</m:t>
                </m:r>
                <m:r>
                  <m:rPr/>
                  <w:rPr>
                    <w:rFonts w:ascii="Cambria Math" w:hAnsi="Cambria Math" w:eastAsia="Cambria Math" w:cs="Arial"/>
                    <w:lang w:val="sv-SE" w:eastAsia="zh-CN"/>
                  </w:rPr>
                  <m:t>i</m:t>
                </m:r>
                <m:ctrlPr>
                  <w:rPr>
                    <w:rFonts w:ascii="Cambria Math" w:hAnsi="Cambria Math" w:eastAsia="Cambria Math" w:cs="Arial"/>
                    <w:lang w:val="sv-SE" w:eastAsia="en-GB"/>
                  </w:rPr>
                </m:ctrlPr>
              </m:sub>
            </m:sSub>
            <m:r>
              <m:rPr>
                <m:sty m:val="p"/>
              </m:rPr>
              <w:rPr>
                <w:rFonts w:ascii="Cambria Math" w:hAnsi="Cambria Math" w:eastAsia="Cambria Math" w:cs="Arial"/>
                <w:lang w:eastAsia="zh-CN"/>
              </w:rPr>
              <m:t>)</m:t>
            </m:r>
            <m:ctrlPr>
              <w:rPr>
                <w:rFonts w:ascii="Cambria Math" w:hAnsi="Cambria Math" w:eastAsia="Cambria Math" w:cs="Arial"/>
                <w:lang w:val="sv-SE" w:eastAsia="en-GB"/>
              </w:rPr>
            </m:ctrlPr>
          </m:e>
        </m:nary>
      </m:oMath>
      <w:r>
        <w:rPr>
          <w:rFonts w:ascii="Arial" w:hAnsi="Arial" w:cs="Arial"/>
          <w:lang w:eastAsia="zh-CN"/>
        </w:rPr>
        <w:t xml:space="preserve"> ms</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3-2-1: Time-based triggering Neighbour cell measurements in connected mode for NB-IoT - requirement</w:t>
      </w:r>
    </w:p>
    <w:p>
      <w:pPr>
        <w:spacing w:line="240" w:lineRule="auto"/>
        <w:textAlignment w:val="baseline"/>
        <w:rPr>
          <w:rFonts w:ascii="Arial" w:hAnsi="Arial" w:eastAsia="等线" w:cs="Arial"/>
          <w:iCs/>
          <w:sz w:val="21"/>
          <w:szCs w:val="21"/>
          <w:lang w:eastAsia="zh-CN"/>
        </w:rPr>
      </w:pPr>
      <w:r>
        <w:rPr>
          <w:rFonts w:ascii="Arial" w:hAnsi="Arial" w:eastAsia="等线" w:cs="Arial"/>
          <w:iCs/>
          <w:sz w:val="21"/>
          <w:szCs w:val="21"/>
          <w:lang w:eastAsia="zh-CN"/>
        </w:rPr>
        <w:t>Agreement:</w:t>
      </w:r>
    </w:p>
    <w:p>
      <w:pPr>
        <w:numPr>
          <w:ilvl w:val="0"/>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For NB-IoT, time-based (t-Service) measurement initiation requirements apply to earth fixed cell.</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RAN4 understand that the exact time for UE to start the measurement is up to UE implementation according to RAN2.</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FFS whether to capture the exact time for UE to start the measurement in RAN4 requirements.</w:t>
      </w:r>
    </w:p>
    <w:p>
      <w:pPr>
        <w:numPr>
          <w:ilvl w:val="0"/>
          <w:numId w:val="25"/>
        </w:numPr>
        <w:spacing w:line="240" w:lineRule="auto"/>
        <w:textAlignment w:val="baseline"/>
        <w:rPr>
          <w:rFonts w:ascii="Arial" w:hAnsi="Arial" w:eastAsia="PMingLiU" w:cs="Arial"/>
          <w:iCs/>
          <w:sz w:val="21"/>
          <w:szCs w:val="21"/>
          <w:lang w:val="en-US"/>
        </w:rPr>
      </w:pPr>
      <w:r>
        <w:rPr>
          <w:rFonts w:ascii="Arial" w:hAnsi="Arial" w:eastAsia="等线" w:cs="Arial"/>
          <w:iCs/>
          <w:sz w:val="21"/>
          <w:szCs w:val="21"/>
          <w:lang w:val="en-US" w:eastAsia="zh-CN"/>
        </w:rPr>
        <w:t xml:space="preserve">For </w:t>
      </w:r>
      <w:r>
        <w:rPr>
          <w:rFonts w:ascii="Arial" w:hAnsi="Arial" w:eastAsia="PMingLiU" w:cs="Arial"/>
          <w:iCs/>
          <w:sz w:val="21"/>
          <w:szCs w:val="21"/>
          <w:lang w:val="en-US"/>
        </w:rPr>
        <w:t xml:space="preserve">earth moving cell, UE shall </w:t>
      </w:r>
      <w:r>
        <w:rPr>
          <w:rFonts w:ascii="Arial" w:hAnsi="Arial" w:eastAsia="等线" w:cs="Arial"/>
          <w:iCs/>
          <w:sz w:val="21"/>
          <w:szCs w:val="21"/>
          <w:lang w:val="en-US" w:eastAsia="zh-CN"/>
        </w:rPr>
        <w:t xml:space="preserve">initiate </w:t>
      </w:r>
      <w:r>
        <w:rPr>
          <w:rFonts w:ascii="Arial" w:hAnsi="Arial" w:eastAsia="PMingLiU" w:cs="Arial"/>
          <w:iCs/>
          <w:sz w:val="21"/>
          <w:szCs w:val="21"/>
          <w:lang w:val="en-US"/>
        </w:rPr>
        <w:t>the measurement before losing its coverage and this needs to reflected in RAN4 requirements.</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RAN4 understand that the exact time for UE to start the measurement is up to UE implementation according to RAN2.</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FFS whether to capture the exact time for UE to start the measurement in RAN4 requirements.</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 xml:space="preserve">Issue 3-3-1: Time-based triggering Neighbour cell measurements in connected mode for eMTC – applicability </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For eMTC, time-based (t-Service) measurement initiation requirements apply to earth fixed cell.</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RAN4 understand that the exact time for UE to start the measurement is up to UE implementation according to RAN2.</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FFS whether to capture the exact time for UE to start the measurement in RAN4 requirements.</w:t>
      </w:r>
    </w:p>
    <w:p>
      <w:pPr>
        <w:numPr>
          <w:ilvl w:val="0"/>
          <w:numId w:val="25"/>
        </w:numPr>
        <w:spacing w:line="240" w:lineRule="auto"/>
        <w:textAlignment w:val="baseline"/>
        <w:rPr>
          <w:rFonts w:ascii="Arial" w:hAnsi="Arial" w:eastAsia="PMingLiU" w:cs="Arial"/>
          <w:iCs/>
          <w:sz w:val="21"/>
          <w:szCs w:val="21"/>
          <w:lang w:val="en-US"/>
        </w:rPr>
      </w:pPr>
      <w:r>
        <w:rPr>
          <w:rFonts w:ascii="Arial" w:hAnsi="Arial" w:eastAsia="等线" w:cs="Arial"/>
          <w:iCs/>
          <w:sz w:val="21"/>
          <w:szCs w:val="21"/>
          <w:lang w:val="en-US" w:eastAsia="zh-CN"/>
        </w:rPr>
        <w:t xml:space="preserve">For </w:t>
      </w:r>
      <w:r>
        <w:rPr>
          <w:rFonts w:ascii="Arial" w:hAnsi="Arial" w:eastAsia="PMingLiU" w:cs="Arial"/>
          <w:iCs/>
          <w:sz w:val="21"/>
          <w:szCs w:val="21"/>
          <w:lang w:val="en-US"/>
        </w:rPr>
        <w:t xml:space="preserve">earth moving cell, UE shall </w:t>
      </w:r>
      <w:r>
        <w:rPr>
          <w:rFonts w:ascii="Arial" w:hAnsi="Arial" w:eastAsia="等线" w:cs="Arial"/>
          <w:iCs/>
          <w:sz w:val="21"/>
          <w:szCs w:val="21"/>
          <w:lang w:val="en-US" w:eastAsia="zh-CN"/>
        </w:rPr>
        <w:t xml:space="preserve">initiate </w:t>
      </w:r>
      <w:r>
        <w:rPr>
          <w:rFonts w:ascii="Arial" w:hAnsi="Arial" w:eastAsia="PMingLiU" w:cs="Arial"/>
          <w:iCs/>
          <w:sz w:val="21"/>
          <w:szCs w:val="21"/>
          <w:lang w:val="en-US"/>
        </w:rPr>
        <w:t>the measurement before losing its coverage and this needs to reflected in RAN4 requirements.</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RAN4 understand that the exact time for UE to start the measurement is up to UE implementation according to RAN2.</w:t>
      </w:r>
    </w:p>
    <w:p>
      <w:pPr>
        <w:numPr>
          <w:ilvl w:val="1"/>
          <w:numId w:val="25"/>
        </w:numPr>
        <w:spacing w:line="240" w:lineRule="auto"/>
        <w:textAlignment w:val="baseline"/>
        <w:rPr>
          <w:rFonts w:ascii="Arial" w:hAnsi="Arial" w:eastAsia="PMingLiU" w:cs="Arial"/>
          <w:iCs/>
          <w:sz w:val="21"/>
          <w:szCs w:val="21"/>
          <w:lang w:val="en-US"/>
        </w:rPr>
      </w:pPr>
      <w:r>
        <w:rPr>
          <w:rFonts w:ascii="Arial" w:hAnsi="Arial" w:eastAsia="PMingLiU" w:cs="Arial"/>
          <w:iCs/>
          <w:sz w:val="21"/>
          <w:szCs w:val="21"/>
          <w:lang w:val="en-US"/>
        </w:rPr>
        <w:t>FFS whether to capture the exact time for UE to start the measurement in RAN4 requirements.</w:t>
      </w:r>
    </w:p>
    <w:p>
      <w:pPr>
        <w:numPr>
          <w:ilvl w:val="0"/>
          <w:numId w:val="25"/>
        </w:numPr>
        <w:spacing w:after="120" w:line="240" w:lineRule="auto"/>
        <w:textAlignment w:val="baseline"/>
        <w:rPr>
          <w:rFonts w:ascii="Arial" w:hAnsi="Arial" w:eastAsia="MS Mincho" w:cs="Arial"/>
          <w:szCs w:val="24"/>
          <w:lang w:val="en-US" w:eastAsia="zh-CN"/>
        </w:rPr>
      </w:pPr>
      <w:r>
        <w:rPr>
          <w:rFonts w:ascii="Arial" w:hAnsi="Arial" w:eastAsia="MS Mincho" w:cs="Arial"/>
          <w:szCs w:val="24"/>
          <w:lang w:val="en-US" w:eastAsia="zh-CN"/>
        </w:rPr>
        <w:t xml:space="preserve">Further discuss for time-based neighbor cell measurement, requirements apply for the eMTC UE provided the measurement gaps are configured. </w:t>
      </w:r>
    </w:p>
    <w:p>
      <w:pPr>
        <w:spacing w:after="120" w:line="240" w:lineRule="auto"/>
        <w:textAlignment w:val="baseline"/>
        <w:rPr>
          <w:rFonts w:ascii="Arial" w:hAnsi="Arial" w:eastAsia="宋体" w:cs="Arial"/>
          <w:szCs w:val="24"/>
          <w:lang w:val="en-US" w:eastAsia="zh-CN"/>
        </w:rPr>
      </w:pPr>
    </w:p>
    <w:p>
      <w:pPr>
        <w:tabs>
          <w:tab w:val="left" w:pos="567"/>
        </w:tabs>
        <w:snapToGrid w:val="0"/>
        <w:rPr>
          <w:rFonts w:ascii="Arial" w:hAnsi="Arial" w:cs="Arial"/>
          <w:bCs/>
        </w:rPr>
      </w:pPr>
      <w:r>
        <w:rPr>
          <w:rFonts w:ascii="Arial" w:hAnsi="Arial" w:cs="Arial"/>
          <w:bCs/>
        </w:rPr>
        <w:t>Issue 3-3-2: Time-based triggering Neighbour cell measurements in connected mode for eMTC – Trigger</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6"/>
        </w:numPr>
        <w:spacing w:after="120"/>
        <w:textAlignment w:val="baseline"/>
        <w:rPr>
          <w:rFonts w:ascii="Arial" w:hAnsi="Arial" w:eastAsia="MS Mincho" w:cs="Arial"/>
          <w:bCs/>
          <w:szCs w:val="24"/>
          <w:lang w:eastAsia="en-GB"/>
        </w:rPr>
      </w:pPr>
      <w:r>
        <w:rPr>
          <w:rFonts w:ascii="Arial" w:hAnsi="Arial" w:eastAsia="MS Mincho" w:cs="Arial"/>
          <w:bCs/>
          <w:szCs w:val="24"/>
          <w:lang w:eastAsia="en-GB"/>
        </w:rPr>
        <w:t>Trigger is defined as Max (</w:t>
      </w:r>
      <w:r>
        <w:rPr>
          <w:rFonts w:ascii="Arial" w:hAnsi="Arial" w:eastAsia="MS Mincho" w:cs="Arial"/>
          <w:bCs/>
          <w:lang w:eastAsia="en-US"/>
        </w:rPr>
        <w:t>T</w:t>
      </w:r>
      <w:r>
        <w:rPr>
          <w:rFonts w:ascii="Arial" w:hAnsi="Arial" w:eastAsia="MS Mincho" w:cs="Arial"/>
          <w:bCs/>
          <w:vertAlign w:val="subscript"/>
          <w:lang w:eastAsia="en-US"/>
        </w:rPr>
        <w:t>identify_intra_UE cat M1</w:t>
      </w:r>
      <w:r>
        <w:rPr>
          <w:rFonts w:ascii="Arial" w:hAnsi="Arial" w:eastAsia="MS Mincho" w:cs="Arial"/>
          <w:bCs/>
          <w:vertAlign w:val="subscript"/>
          <w:lang w:eastAsia="en-US"/>
        </w:rPr>
        <w:softHyphen/>
      </w:r>
      <w:r>
        <w:rPr>
          <w:rFonts w:ascii="Arial" w:hAnsi="Arial" w:eastAsia="MS Mincho" w:cs="Arial"/>
          <w:bCs/>
          <w:lang w:eastAsia="en-US"/>
        </w:rPr>
        <w:t>, T</w:t>
      </w:r>
      <w:r>
        <w:rPr>
          <w:rFonts w:ascii="Arial" w:hAnsi="Arial" w:eastAsia="MS Mincho" w:cs="Arial"/>
          <w:bCs/>
          <w:vertAlign w:val="subscript"/>
          <w:lang w:eastAsia="en-US"/>
        </w:rPr>
        <w:t>identify_inter_UE cat M1</w:t>
      </w:r>
      <w:r>
        <w:rPr>
          <w:rFonts w:ascii="Arial" w:hAnsi="Arial" w:eastAsia="MS Mincho" w:cs="Arial"/>
          <w:bCs/>
          <w:szCs w:val="24"/>
          <w:lang w:eastAsia="en-GB"/>
        </w:rPr>
        <w:t>)</w:t>
      </w:r>
    </w:p>
    <w:p>
      <w:pPr>
        <w:overflowPunct/>
        <w:autoSpaceDE/>
        <w:autoSpaceDN/>
        <w:adjustRightInd/>
        <w:spacing w:after="0" w:line="240" w:lineRule="auto"/>
        <w:rPr>
          <w:rFonts w:ascii="Arial" w:hAnsi="Arial" w:eastAsia="PMingLiU" w:cs="Arial"/>
          <w:iCs/>
        </w:rPr>
      </w:pPr>
    </w:p>
    <w:p>
      <w:pPr>
        <w:tabs>
          <w:tab w:val="left" w:pos="567"/>
        </w:tabs>
        <w:snapToGrid w:val="0"/>
        <w:rPr>
          <w:rFonts w:ascii="Arial" w:hAnsi="Arial" w:cs="Arial"/>
          <w:bCs/>
        </w:rPr>
      </w:pPr>
      <w:r>
        <w:rPr>
          <w:rFonts w:ascii="Arial" w:hAnsi="Arial" w:cs="Arial"/>
          <w:bCs/>
        </w:rPr>
        <w:t>Issue 3-4-2: Location-based triggering Neighbour cell measurements in connected mode – requirement</w:t>
      </w:r>
    </w:p>
    <w:p>
      <w:pPr>
        <w:overflowPunct/>
        <w:autoSpaceDE/>
        <w:autoSpaceDN/>
        <w:adjustRightInd/>
        <w:spacing w:after="0" w:line="240" w:lineRule="auto"/>
        <w:rPr>
          <w:rFonts w:ascii="Arial" w:hAnsi="Arial" w:eastAsia="PMingLiU" w:cs="Arial"/>
          <w:iCs/>
          <w:lang w:val="en-US"/>
        </w:rPr>
      </w:pPr>
      <w:r>
        <w:rPr>
          <w:rFonts w:ascii="Arial" w:hAnsi="Arial" w:eastAsia="PMingLiU" w:cs="Arial"/>
          <w:iCs/>
          <w:lang w:val="en-US"/>
        </w:rPr>
        <w:t xml:space="preserve">FFS: </w:t>
      </w:r>
    </w:p>
    <w:p>
      <w:pPr>
        <w:numPr>
          <w:ilvl w:val="0"/>
          <w:numId w:val="27"/>
        </w:numPr>
        <w:spacing w:after="0" w:line="240" w:lineRule="auto"/>
        <w:textAlignment w:val="baseline"/>
        <w:rPr>
          <w:rFonts w:ascii="Arial" w:hAnsi="Arial" w:eastAsia="PMingLiU" w:cs="Arial"/>
          <w:iCs/>
          <w:lang w:val="en-US"/>
        </w:rPr>
      </w:pPr>
      <w:r>
        <w:rPr>
          <w:rFonts w:ascii="Arial" w:hAnsi="Arial" w:eastAsia="PMingLiU" w:cs="Arial"/>
          <w:iCs/>
          <w:lang w:val="en-US"/>
        </w:rPr>
        <w:t xml:space="preserve">For CONNECTED mode location-based triggering of neighbour cell measurements for eMTC and NB-IoT, add the location-conditions </w:t>
      </w:r>
      <w:r>
        <w:rPr>
          <w:rFonts w:ascii="Arial" w:hAnsi="Arial" w:eastAsia="PMingLiU" w:cs="Arial"/>
          <w:iCs/>
          <w:strike/>
          <w:lang w:val="en-US"/>
        </w:rPr>
        <w:t>to the existing list of conditions</w:t>
      </w:r>
      <w:r>
        <w:rPr>
          <w:rFonts w:ascii="Arial" w:hAnsi="Arial" w:eastAsia="PMingLiU" w:cs="Arial"/>
          <w:iCs/>
          <w:lang w:val="en-US"/>
        </w:rPr>
        <w:t xml:space="preserve"> to trigger the neighbor cell measurements. But the delay requirements remain same</w:t>
      </w:r>
    </w:p>
    <w:p>
      <w:pPr>
        <w:numPr>
          <w:ilvl w:val="1"/>
          <w:numId w:val="27"/>
        </w:numPr>
        <w:spacing w:after="0" w:line="240" w:lineRule="auto"/>
        <w:textAlignment w:val="baseline"/>
        <w:rPr>
          <w:rFonts w:ascii="Arial" w:hAnsi="Arial" w:eastAsia="PMingLiU" w:cs="Arial"/>
          <w:iCs/>
          <w:lang w:val="en-US"/>
        </w:rPr>
      </w:pPr>
      <w:r>
        <w:rPr>
          <w:rFonts w:ascii="Arial" w:hAnsi="Arial" w:eastAsia="PMingLiU" w:cs="Arial"/>
          <w:iCs/>
          <w:lang w:val="en-US"/>
        </w:rPr>
        <w:t xml:space="preserve">Note: for eMTC, it needs to consider measurement gap. How to capture it should be discussed in the CR phase. </w:t>
      </w:r>
    </w:p>
    <w:p>
      <w:pPr>
        <w:overflowPunct/>
        <w:autoSpaceDE/>
        <w:autoSpaceDN/>
        <w:adjustRightInd/>
        <w:spacing w:after="0" w:line="240" w:lineRule="auto"/>
        <w:rPr>
          <w:rFonts w:ascii="Arial" w:hAnsi="Arial" w:eastAsia="PMingLiU" w:cs="Arial"/>
          <w:iCs/>
          <w:lang w:val="en-US"/>
        </w:rPr>
      </w:pP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7"/>
        </w:numPr>
        <w:spacing w:after="0" w:line="240" w:lineRule="auto"/>
        <w:textAlignment w:val="baseline"/>
        <w:rPr>
          <w:rFonts w:ascii="Arial" w:hAnsi="Arial" w:eastAsia="PMingLiU" w:cs="Arial"/>
          <w:iCs/>
          <w:lang w:val="en-US"/>
        </w:rPr>
      </w:pPr>
      <w:r>
        <w:rPr>
          <w:rFonts w:ascii="Arial" w:hAnsi="Arial" w:eastAsia="PMingLiU" w:cs="Arial"/>
          <w:iCs/>
          <w:lang w:val="en-US"/>
        </w:rPr>
        <w:t xml:space="preserve">For NB-IoT, CONNECTED mode, UE shall perform measurement when location condition is met. And the existing delay requirements apply. </w:t>
      </w:r>
    </w:p>
    <w:p>
      <w:pPr>
        <w:overflowPunct/>
        <w:autoSpaceDE/>
        <w:autoSpaceDN/>
        <w:adjustRightInd/>
        <w:spacing w:after="0" w:line="240" w:lineRule="auto"/>
        <w:rPr>
          <w:rFonts w:ascii="Arial" w:hAnsi="Arial" w:eastAsia="PMingLiU" w:cs="Arial"/>
          <w:iCs/>
          <w:lang w:val="en-US"/>
        </w:rPr>
      </w:pPr>
    </w:p>
    <w:p>
      <w:pPr>
        <w:overflowPunct/>
        <w:autoSpaceDE/>
        <w:autoSpaceDN/>
        <w:adjustRightInd/>
        <w:spacing w:after="0" w:line="240" w:lineRule="auto"/>
        <w:rPr>
          <w:rFonts w:ascii="Arial" w:hAnsi="Arial" w:eastAsia="PMingLiU" w:cs="Arial"/>
          <w:iCs/>
          <w:lang w:val="en-US"/>
        </w:rPr>
      </w:pPr>
      <w:r>
        <w:rPr>
          <w:rFonts w:ascii="Arial" w:hAnsi="Arial" w:eastAsia="PMingLiU" w:cs="Arial"/>
          <w:iCs/>
          <w:lang w:val="en-US"/>
        </w:rPr>
        <w:t xml:space="preserve">FFS eMTC, whether measurement gap should be provided. </w:t>
      </w:r>
    </w:p>
    <w:p>
      <w:pPr>
        <w:overflowPunct/>
        <w:autoSpaceDE/>
        <w:autoSpaceDN/>
        <w:adjustRightInd/>
        <w:spacing w:after="0" w:line="240" w:lineRule="auto"/>
        <w:rPr>
          <w:rFonts w:ascii="Arial" w:hAnsi="Arial" w:eastAsia="PMingLiU" w:cs="Arial"/>
          <w:iCs/>
          <w:lang w:val="en-US"/>
        </w:rPr>
      </w:pPr>
    </w:p>
    <w:p>
      <w:pPr>
        <w:overflowPunct/>
        <w:autoSpaceDE/>
        <w:autoSpaceDN/>
        <w:adjustRightInd/>
        <w:spacing w:after="0" w:line="240" w:lineRule="auto"/>
        <w:rPr>
          <w:rFonts w:ascii="Arial" w:hAnsi="Arial" w:eastAsia="PMingLiU" w:cs="Arial"/>
          <w:iCs/>
          <w:lang w:val="en-US"/>
        </w:rPr>
      </w:pPr>
    </w:p>
    <w:p>
      <w:pPr>
        <w:tabs>
          <w:tab w:val="left" w:pos="567"/>
        </w:tabs>
        <w:snapToGrid w:val="0"/>
        <w:rPr>
          <w:rFonts w:ascii="Arial" w:hAnsi="Arial" w:cs="Arial"/>
          <w:bCs/>
        </w:rPr>
      </w:pPr>
      <w:r>
        <w:rPr>
          <w:rFonts w:ascii="Arial" w:hAnsi="Arial" w:cs="Arial"/>
          <w:bCs/>
        </w:rPr>
        <w:t>Issue 3-5 (new): Time-based triggering Neighbour cell measurements in connected mode for eMTC – impact on measurement gap</w:t>
      </w:r>
    </w:p>
    <w:p>
      <w:pPr>
        <w:overflowPunct/>
        <w:autoSpaceDE/>
        <w:autoSpaceDN/>
        <w:adjustRightInd/>
        <w:spacing w:line="240" w:lineRule="auto"/>
        <w:rPr>
          <w:rFonts w:ascii="Arial" w:hAnsi="Arial" w:eastAsia="PMingLiU" w:cs="Arial"/>
          <w:bCs/>
          <w:iCs/>
          <w:szCs w:val="18"/>
          <w:lang w:val="en-US"/>
        </w:rPr>
      </w:pPr>
      <w:r>
        <w:rPr>
          <w:rFonts w:ascii="Arial" w:hAnsi="Arial" w:eastAsia="PMingLiU" w:cs="Arial"/>
          <w:bCs/>
          <w:iCs/>
          <w:szCs w:val="18"/>
          <w:lang w:val="en-US"/>
        </w:rPr>
        <w:t xml:space="preserve">Discuss until the next meeting: </w:t>
      </w:r>
    </w:p>
    <w:p>
      <w:pPr>
        <w:numPr>
          <w:ilvl w:val="0"/>
          <w:numId w:val="27"/>
        </w:numPr>
        <w:spacing w:line="240" w:lineRule="auto"/>
        <w:textAlignment w:val="baseline"/>
        <w:rPr>
          <w:rFonts w:ascii="Arial" w:hAnsi="Arial" w:eastAsia="Batang" w:cs="Arial"/>
          <w:i/>
          <w:iCs/>
          <w:lang w:eastAsia="ko-KR"/>
        </w:rPr>
      </w:pPr>
      <w:r>
        <w:rPr>
          <w:rFonts w:ascii="Arial" w:hAnsi="Arial" w:eastAsia="PMingLiU" w:cs="Arial"/>
          <w:bCs/>
          <w:iCs/>
          <w:szCs w:val="18"/>
          <w:lang w:val="en-US" w:eastAsia="en-US"/>
        </w:rPr>
        <w:t xml:space="preserve">If </w:t>
      </w:r>
      <w:r>
        <w:rPr>
          <w:rFonts w:ascii="Arial" w:hAnsi="Arial" w:eastAsia="PMingLiU" w:cs="Arial"/>
          <w:bCs/>
          <w:i/>
          <w:szCs w:val="18"/>
          <w:lang w:val="en-US" w:eastAsia="en-US"/>
        </w:rPr>
        <w:t>t-ServiceStartNeigh</w:t>
      </w:r>
      <w:r>
        <w:rPr>
          <w:rFonts w:ascii="Arial" w:hAnsi="Arial" w:eastAsia="PMingLiU" w:cs="Arial"/>
          <w:bCs/>
          <w:iCs/>
          <w:szCs w:val="18"/>
          <w:lang w:val="en-US" w:eastAsia="en-US"/>
        </w:rPr>
        <w:t xml:space="preserve"> is provided, measurement gap pattern(s) configured for neighbour cell measurements are suspended until time </w:t>
      </w:r>
      <w:r>
        <w:rPr>
          <w:rFonts w:ascii="Arial" w:hAnsi="Arial" w:eastAsia="PMingLiU" w:cs="Arial"/>
          <w:bCs/>
          <w:i/>
          <w:szCs w:val="18"/>
          <w:lang w:val="en-US" w:eastAsia="en-US"/>
        </w:rPr>
        <w:t>t-ServiceStartNeigh</w:t>
      </w:r>
      <w:r>
        <w:rPr>
          <w:rFonts w:ascii="Arial" w:hAnsi="Arial" w:eastAsia="PMingLiU" w:cs="Arial"/>
          <w:bCs/>
          <w:iCs/>
          <w:szCs w:val="18"/>
          <w:lang w:val="en-US" w:eastAsia="en-US"/>
        </w:rPr>
        <w:t>.</w:t>
      </w:r>
    </w:p>
    <w:p>
      <w:pPr>
        <w:overflowPunct/>
        <w:autoSpaceDE/>
        <w:autoSpaceDN/>
        <w:adjustRightInd/>
        <w:spacing w:after="0" w:line="240" w:lineRule="auto"/>
        <w:rPr>
          <w:rFonts w:ascii="Arial" w:hAnsi="Arial" w:eastAsia="PMingLiU" w:cs="Arial"/>
          <w:iCs/>
          <w:lang w:val="en-US"/>
        </w:rPr>
      </w:pPr>
    </w:p>
    <w:p>
      <w:pPr>
        <w:tabs>
          <w:tab w:val="left" w:pos="567"/>
        </w:tabs>
        <w:snapToGrid w:val="0"/>
        <w:rPr>
          <w:rFonts w:ascii="Arial" w:hAnsi="Arial" w:cs="Arial"/>
          <w:bCs/>
          <w:i/>
          <w:iCs/>
        </w:rPr>
      </w:pPr>
      <w:r>
        <w:rPr>
          <w:rFonts w:ascii="Arial" w:hAnsi="Arial" w:cs="Arial"/>
          <w:bCs/>
          <w:i/>
          <w:iCs/>
        </w:rPr>
        <w:t>Sub-Topic 4: eMTC, CHO</w:t>
      </w:r>
    </w:p>
    <w:p>
      <w:pPr>
        <w:tabs>
          <w:tab w:val="left" w:pos="567"/>
        </w:tabs>
        <w:snapToGrid w:val="0"/>
        <w:rPr>
          <w:rFonts w:ascii="Arial" w:hAnsi="Arial" w:cs="Arial"/>
          <w:bCs/>
        </w:rPr>
      </w:pPr>
      <w:r>
        <w:rPr>
          <w:rFonts w:ascii="Arial" w:hAnsi="Arial" w:cs="Arial"/>
          <w:bCs/>
        </w:rPr>
        <w:t>Issue 4: For eMTC, CHO requirements</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28"/>
        </w:numPr>
        <w:spacing w:after="0" w:line="240" w:lineRule="auto"/>
        <w:textAlignment w:val="baseline"/>
        <w:rPr>
          <w:rFonts w:ascii="Arial" w:hAnsi="Arial" w:eastAsia="等线" w:cs="Arial"/>
          <w:lang w:val="en-US" w:eastAsia="zh-CN"/>
        </w:rPr>
      </w:pPr>
      <w:r>
        <w:rPr>
          <w:rFonts w:ascii="Arial" w:hAnsi="Arial" w:eastAsia="PMingLiU" w:cs="Arial"/>
          <w:iCs/>
          <w:lang w:val="en-US"/>
        </w:rPr>
        <w:t xml:space="preserve">Introduce CHO requirements for NTN eMTC with time and location-based trigger conditions. </w:t>
      </w:r>
      <w:r>
        <w:rPr>
          <w:rFonts w:ascii="Arial" w:hAnsi="Arial" w:eastAsia="等线" w:cs="Arial"/>
          <w:lang w:val="en-US" w:eastAsia="zh-CN"/>
        </w:rPr>
        <w:t>D</w:t>
      </w:r>
      <w:r>
        <w:rPr>
          <w:rFonts w:ascii="Arial" w:hAnsi="Arial" w:eastAsia="等线" w:cs="Arial"/>
          <w:vertAlign w:val="subscript"/>
          <w:lang w:val="en-US" w:eastAsia="zh-CN"/>
        </w:rPr>
        <w:t>CHO</w:t>
      </w:r>
      <w:r>
        <w:rPr>
          <w:rFonts w:ascii="Arial" w:hAnsi="Arial" w:eastAsia="等线" w:cs="Arial"/>
          <w:lang w:val="en-US" w:eastAsia="zh-CN"/>
        </w:rPr>
        <w:t xml:space="preserve"> = T</w:t>
      </w:r>
      <w:r>
        <w:rPr>
          <w:rFonts w:ascii="Arial" w:hAnsi="Arial" w:eastAsia="等线" w:cs="Arial"/>
          <w:vertAlign w:val="subscript"/>
          <w:lang w:val="en-US" w:eastAsia="zh-CN"/>
        </w:rPr>
        <w:t>RRC</w:t>
      </w:r>
      <w:r>
        <w:rPr>
          <w:rFonts w:ascii="Arial" w:hAnsi="Arial" w:eastAsia="等线" w:cs="Arial"/>
          <w:lang w:val="en-US" w:eastAsia="zh-CN"/>
        </w:rPr>
        <w:t xml:space="preserve"> </w:t>
      </w:r>
      <w:r>
        <w:rPr>
          <w:rFonts w:ascii="Arial" w:hAnsi="Arial" w:eastAsia="MS Mincho" w:cs="Arial"/>
          <w:iCs/>
          <w:lang w:eastAsia="en-US"/>
        </w:rPr>
        <w:t xml:space="preserve">+ </w:t>
      </w:r>
      <w:r>
        <w:rPr>
          <w:rFonts w:ascii="Arial" w:hAnsi="Arial" w:eastAsia="MS Mincho" w:cs="Arial"/>
          <w:lang w:val="en-US" w:eastAsia="zh-CN"/>
        </w:rPr>
        <w:t>T</w:t>
      </w:r>
      <w:r>
        <w:rPr>
          <w:rFonts w:ascii="Arial" w:hAnsi="Arial" w:eastAsia="MS Mincho" w:cs="Arial"/>
          <w:vertAlign w:val="subscript"/>
          <w:lang w:val="en-US" w:eastAsia="zh-CN"/>
        </w:rPr>
        <w:t>measure</w:t>
      </w:r>
      <w:r>
        <w:rPr>
          <w:rFonts w:ascii="Arial" w:hAnsi="Arial" w:eastAsia="MS Mincho" w:cs="Arial"/>
          <w:lang w:val="en-US" w:eastAsia="zh-CN"/>
        </w:rPr>
        <w:t xml:space="preserve"> </w:t>
      </w:r>
      <w:r>
        <w:rPr>
          <w:rFonts w:ascii="Arial" w:hAnsi="Arial" w:eastAsia="等线" w:cs="Arial"/>
          <w:lang w:val="en-US" w:eastAsia="zh-CN"/>
        </w:rPr>
        <w:t>+ T</w:t>
      </w:r>
      <w:r>
        <w:rPr>
          <w:rFonts w:ascii="Arial" w:hAnsi="Arial" w:eastAsia="等线" w:cs="Arial"/>
          <w:vertAlign w:val="subscript"/>
          <w:lang w:val="en-US" w:eastAsia="zh-CN"/>
        </w:rPr>
        <w:t>Event_DU</w:t>
      </w:r>
      <w:r>
        <w:rPr>
          <w:rFonts w:ascii="Arial" w:hAnsi="Arial" w:eastAsia="等线" w:cs="Arial"/>
          <w:lang w:val="en-US" w:eastAsia="zh-CN"/>
        </w:rPr>
        <w:t xml:space="preserve"> +T</w:t>
      </w:r>
      <w:r>
        <w:rPr>
          <w:rFonts w:ascii="Arial" w:hAnsi="Arial" w:eastAsia="等线" w:cs="Arial"/>
          <w:vertAlign w:val="subscript"/>
          <w:lang w:val="en-US" w:eastAsia="zh-CN"/>
        </w:rPr>
        <w:t>interrupt</w:t>
      </w:r>
      <w:r>
        <w:rPr>
          <w:rFonts w:ascii="Arial" w:hAnsi="Arial" w:eastAsia="等线" w:cs="Arial"/>
          <w:lang w:val="en-US" w:eastAsia="zh-CN"/>
        </w:rPr>
        <w:t xml:space="preserve"> + T</w:t>
      </w:r>
      <w:r>
        <w:rPr>
          <w:rFonts w:ascii="Arial" w:hAnsi="Arial" w:eastAsia="等线" w:cs="Arial"/>
          <w:vertAlign w:val="subscript"/>
          <w:lang w:val="en-US" w:eastAsia="zh-CN"/>
        </w:rPr>
        <w:t>CHO_execution</w:t>
      </w:r>
    </w:p>
    <w:p>
      <w:pPr>
        <w:spacing w:after="0" w:line="240" w:lineRule="auto"/>
        <w:ind w:left="720"/>
        <w:textAlignment w:val="baseline"/>
        <w:rPr>
          <w:rFonts w:ascii="Arial" w:hAnsi="Arial" w:eastAsia="等线" w:cs="Arial"/>
          <w:lang w:val="en-US" w:eastAsia="zh-CN"/>
        </w:rPr>
      </w:pPr>
      <w:r>
        <w:rPr>
          <w:rFonts w:ascii="Arial" w:hAnsi="Arial" w:eastAsia="等线" w:cs="Arial"/>
          <w:lang w:val="en-US" w:eastAsia="zh-CN"/>
        </w:rPr>
        <w:t>Where:</w:t>
      </w:r>
    </w:p>
    <w:p>
      <w:pPr>
        <w:numPr>
          <w:ilvl w:val="1"/>
          <w:numId w:val="27"/>
        </w:numPr>
        <w:spacing w:line="240" w:lineRule="auto"/>
        <w:textAlignment w:val="baseline"/>
        <w:rPr>
          <w:rFonts w:ascii="Arial" w:hAnsi="Arial" w:cs="Arial"/>
          <w:lang w:eastAsia="en-US"/>
        </w:rPr>
      </w:pPr>
      <w:r>
        <w:rPr>
          <w:rFonts w:ascii="Arial" w:hAnsi="Arial" w:cs="Arial"/>
          <w:lang w:val="en-US" w:eastAsia="zh-CN"/>
        </w:rPr>
        <w:t>T</w:t>
      </w:r>
      <w:r>
        <w:rPr>
          <w:rFonts w:ascii="Arial" w:hAnsi="Arial" w:cs="Arial"/>
          <w:vertAlign w:val="subscript"/>
          <w:lang w:val="en-US" w:eastAsia="zh-CN"/>
        </w:rPr>
        <w:t>RRC</w:t>
      </w:r>
      <w:r>
        <w:rPr>
          <w:rFonts w:ascii="Arial" w:hAnsi="Arial" w:cs="Arial"/>
          <w:lang w:eastAsia="en-US"/>
        </w:rPr>
        <w:t xml:space="preserve"> is the RRC procedure delay</w:t>
      </w:r>
    </w:p>
    <w:p>
      <w:pPr>
        <w:numPr>
          <w:ilvl w:val="1"/>
          <w:numId w:val="27"/>
        </w:numPr>
        <w:spacing w:line="240" w:lineRule="auto"/>
        <w:textAlignment w:val="baseline"/>
        <w:rPr>
          <w:rFonts w:ascii="Arial" w:hAnsi="Arial" w:cs="Arial"/>
          <w:lang w:val="en-US" w:eastAsia="en-US"/>
        </w:rPr>
      </w:pPr>
      <w:r>
        <w:rPr>
          <w:rFonts w:ascii="Arial" w:hAnsi="Arial" w:cs="Arial"/>
          <w:lang w:eastAsia="en-US"/>
        </w:rPr>
        <w:t>T</w:t>
      </w:r>
      <w:r>
        <w:rPr>
          <w:rFonts w:ascii="Arial" w:hAnsi="Arial" w:cs="Arial"/>
          <w:vertAlign w:val="subscript"/>
          <w:lang w:eastAsia="en-US"/>
        </w:rPr>
        <w:t>Event_DU</w:t>
      </w:r>
      <w:r>
        <w:rPr>
          <w:rFonts w:ascii="Arial" w:hAnsi="Arial" w:cs="Arial"/>
          <w:lang w:eastAsia="en-US"/>
        </w:rPr>
        <w:t xml:space="preserve"> is the delay uncertainty which is the time from when the UE successfully decodes a conditional handover command until </w:t>
      </w:r>
      <w:r>
        <w:rPr>
          <w:rFonts w:ascii="Arial" w:hAnsi="Arial" w:eastAsia="MS Mincho" w:cs="Arial"/>
          <w:lang w:val="en-US" w:eastAsia="zh-CN"/>
        </w:rPr>
        <w:t>the time/location</w:t>
      </w:r>
      <w:r>
        <w:rPr>
          <w:rFonts w:ascii="Arial" w:hAnsi="Arial" w:cs="Arial"/>
          <w:lang w:eastAsia="en-US"/>
        </w:rPr>
        <w:t xml:space="preserve"> condition </w:t>
      </w:r>
      <w:r>
        <w:rPr>
          <w:rFonts w:ascii="Arial" w:hAnsi="Arial" w:eastAsia="MS Mincho" w:cs="Arial"/>
          <w:lang w:val="en-US" w:eastAsia="zh-CN"/>
        </w:rPr>
        <w:t>fulfilled</w:t>
      </w:r>
      <w:r>
        <w:rPr>
          <w:rFonts w:ascii="Arial" w:hAnsi="Arial" w:cs="Arial"/>
          <w:lang w:eastAsia="en-US"/>
        </w:rPr>
        <w:t xml:space="preserve">. </w:t>
      </w:r>
    </w:p>
    <w:p>
      <w:pPr>
        <w:numPr>
          <w:ilvl w:val="1"/>
          <w:numId w:val="27"/>
        </w:numPr>
        <w:spacing w:line="240" w:lineRule="auto"/>
        <w:textAlignment w:val="baseline"/>
        <w:rPr>
          <w:rFonts w:ascii="Arial" w:hAnsi="Arial" w:cs="Arial"/>
          <w:lang w:val="en-US" w:eastAsia="en-US"/>
        </w:rPr>
      </w:pPr>
      <w:r>
        <w:rPr>
          <w:rFonts w:ascii="Arial" w:hAnsi="Arial" w:eastAsia="MS Mincho" w:cs="Arial"/>
          <w:bCs/>
          <w:lang w:val="en-US" w:eastAsia="zh-CN"/>
        </w:rPr>
        <w:t>T</w:t>
      </w:r>
      <w:r>
        <w:rPr>
          <w:rFonts w:ascii="Arial" w:hAnsi="Arial" w:eastAsia="MS Mincho" w:cs="Arial"/>
          <w:bCs/>
          <w:vertAlign w:val="subscript"/>
          <w:lang w:val="en-US" w:eastAsia="zh-CN"/>
        </w:rPr>
        <w:t>measure</w:t>
      </w:r>
      <w:r>
        <w:rPr>
          <w:rFonts w:ascii="Arial" w:hAnsi="Arial" w:eastAsia="MS Mincho" w:cs="Arial"/>
          <w:lang w:eastAsia="en-US"/>
        </w:rPr>
        <w:t xml:space="preserve"> is the measurements time. </w:t>
      </w:r>
      <w:r>
        <w:rPr>
          <w:rFonts w:ascii="Arial" w:hAnsi="Arial" w:eastAsia="MS Mincho" w:cs="Arial"/>
          <w:bCs/>
          <w:lang w:val="en-US" w:eastAsia="zh-CN"/>
        </w:rPr>
        <w:t>T</w:t>
      </w:r>
      <w:r>
        <w:rPr>
          <w:rFonts w:ascii="Arial" w:hAnsi="Arial" w:eastAsia="MS Mincho" w:cs="Arial"/>
          <w:bCs/>
          <w:vertAlign w:val="subscript"/>
          <w:lang w:val="en-US" w:eastAsia="zh-CN"/>
        </w:rPr>
        <w:t>measure</w:t>
      </w:r>
      <w:r>
        <w:rPr>
          <w:rFonts w:ascii="Arial" w:hAnsi="Arial" w:eastAsia="MS Mincho" w:cs="Arial"/>
          <w:lang w:val="en-US" w:eastAsia="zh-CN"/>
        </w:rPr>
        <w:t xml:space="preserve">=0 if only </w:t>
      </w:r>
      <w:r>
        <w:rPr>
          <w:rFonts w:ascii="Arial" w:hAnsi="Arial" w:eastAsia="MS Mincho" w:cs="Arial"/>
          <w:i/>
          <w:iCs/>
          <w:lang w:eastAsia="en-US"/>
        </w:rPr>
        <w:t>condEventD1</w:t>
      </w:r>
      <w:r>
        <w:rPr>
          <w:rFonts w:ascii="Arial" w:hAnsi="Arial" w:eastAsia="MS Mincho" w:cs="Arial"/>
          <w:lang w:eastAsia="en-US"/>
        </w:rPr>
        <w:t xml:space="preserve"> or </w:t>
      </w:r>
      <w:r>
        <w:rPr>
          <w:rFonts w:ascii="Arial" w:hAnsi="Arial" w:eastAsia="MS Mincho" w:cs="Arial"/>
          <w:i/>
          <w:iCs/>
          <w:lang w:eastAsia="en-US"/>
        </w:rPr>
        <w:t xml:space="preserve">condEventT1 </w:t>
      </w:r>
      <w:r>
        <w:rPr>
          <w:rFonts w:ascii="Arial" w:hAnsi="Arial" w:eastAsia="MS Mincho" w:cs="Arial"/>
          <w:lang w:eastAsia="en-US"/>
        </w:rPr>
        <w:t>is configured.</w:t>
      </w:r>
    </w:p>
    <w:p>
      <w:pPr>
        <w:numPr>
          <w:ilvl w:val="1"/>
          <w:numId w:val="27"/>
        </w:numPr>
        <w:spacing w:line="240" w:lineRule="auto"/>
        <w:textAlignment w:val="baseline"/>
        <w:rPr>
          <w:rFonts w:ascii="Arial" w:hAnsi="Arial" w:cs="Arial"/>
          <w:lang w:eastAsia="en-US"/>
        </w:rPr>
      </w:pPr>
      <w:r>
        <w:rPr>
          <w:rFonts w:ascii="Arial" w:hAnsi="Arial" w:cs="Arial"/>
          <w:lang w:eastAsia="en-US"/>
        </w:rPr>
        <w:t>T</w:t>
      </w:r>
      <w:r>
        <w:rPr>
          <w:rFonts w:ascii="Arial" w:hAnsi="Arial" w:cs="Arial"/>
          <w:vertAlign w:val="subscript"/>
          <w:lang w:eastAsia="en-US"/>
        </w:rPr>
        <w:t>CHO_execution</w:t>
      </w:r>
      <w:r>
        <w:rPr>
          <w:rFonts w:ascii="Arial" w:hAnsi="Arial" w:cs="Arial"/>
          <w:lang w:eastAsia="en-US"/>
        </w:rPr>
        <w:t xml:space="preserve"> is the conditional execution preparation time</w:t>
      </w:r>
    </w:p>
    <w:p>
      <w:pPr>
        <w:numPr>
          <w:ilvl w:val="1"/>
          <w:numId w:val="27"/>
        </w:numPr>
        <w:spacing w:line="240" w:lineRule="auto"/>
        <w:textAlignment w:val="baseline"/>
        <w:rPr>
          <w:rFonts w:ascii="Arial" w:hAnsi="Arial" w:cs="Arial"/>
          <w:lang w:eastAsia="en-US"/>
        </w:rPr>
      </w:pPr>
      <w:r>
        <w:rPr>
          <w:rFonts w:ascii="Arial" w:hAnsi="Arial" w:cs="Arial"/>
          <w:lang w:eastAsia="zh-CN"/>
        </w:rPr>
        <w:t>T</w:t>
      </w:r>
      <w:r>
        <w:rPr>
          <w:rFonts w:ascii="Arial" w:hAnsi="Arial" w:cs="Arial"/>
          <w:vertAlign w:val="subscript"/>
          <w:lang w:eastAsia="zh-CN"/>
        </w:rPr>
        <w:t>interrupt</w:t>
      </w:r>
      <w:r>
        <w:rPr>
          <w:rFonts w:ascii="Arial" w:hAnsi="Arial" w:cs="Arial"/>
          <w:lang w:eastAsia="en-US"/>
        </w:rPr>
        <w:t xml:space="preserve"> is the interruption time.</w:t>
      </w:r>
    </w:p>
    <w:p>
      <w:pPr>
        <w:numPr>
          <w:ilvl w:val="1"/>
          <w:numId w:val="27"/>
        </w:numPr>
        <w:spacing w:line="240" w:lineRule="auto"/>
        <w:textAlignment w:val="baseline"/>
        <w:rPr>
          <w:rFonts w:ascii="Arial" w:hAnsi="Arial" w:cs="Arial"/>
          <w:lang w:eastAsia="zh-CN"/>
        </w:rPr>
      </w:pPr>
      <w:r>
        <w:rPr>
          <w:rFonts w:ascii="Arial" w:hAnsi="Arial" w:cs="Arial"/>
          <w:lang w:eastAsia="zh-CN"/>
        </w:rPr>
        <w:t>FFS Update Tinterrupt to include Tsearch, based on handover interruption requirement as in</w:t>
      </w:r>
    </w:p>
    <w:p>
      <w:pPr>
        <w:numPr>
          <w:ilvl w:val="2"/>
          <w:numId w:val="27"/>
        </w:numPr>
        <w:spacing w:line="240" w:lineRule="auto"/>
        <w:textAlignment w:val="baseline"/>
        <w:rPr>
          <w:rFonts w:ascii="Arial" w:hAnsi="Arial" w:cs="Arial"/>
          <w:lang w:eastAsia="zh-CN"/>
        </w:rPr>
      </w:pPr>
      <w:r>
        <w:rPr>
          <w:rFonts w:ascii="Arial" w:hAnsi="Arial" w:cs="Arial"/>
          <w:lang w:eastAsia="zh-CN"/>
        </w:rPr>
        <w:t>5.5A.2.1.2</w:t>
      </w:r>
      <w:r>
        <w:rPr>
          <w:rFonts w:ascii="Arial" w:hAnsi="Arial" w:cs="Arial"/>
          <w:lang w:eastAsia="zh-CN"/>
        </w:rPr>
        <w:tab/>
      </w:r>
      <w:r>
        <w:rPr>
          <w:rFonts w:ascii="Arial" w:hAnsi="Arial" w:cs="Arial"/>
          <w:lang w:eastAsia="zh-CN"/>
        </w:rPr>
        <w:t>Interruption time for CEMode A</w:t>
      </w:r>
    </w:p>
    <w:p>
      <w:pPr>
        <w:numPr>
          <w:ilvl w:val="2"/>
          <w:numId w:val="27"/>
        </w:numPr>
        <w:spacing w:line="240" w:lineRule="auto"/>
        <w:textAlignment w:val="baseline"/>
        <w:rPr>
          <w:rFonts w:ascii="Arial" w:hAnsi="Arial" w:cs="Arial"/>
          <w:lang w:eastAsia="zh-CN"/>
        </w:rPr>
      </w:pPr>
      <w:r>
        <w:rPr>
          <w:rFonts w:ascii="Arial" w:hAnsi="Arial" w:cs="Arial"/>
          <w:lang w:eastAsia="zh-CN"/>
        </w:rPr>
        <w:t>5.5A.3.1.2</w:t>
      </w:r>
      <w:r>
        <w:rPr>
          <w:rFonts w:ascii="Arial" w:hAnsi="Arial" w:cs="Arial"/>
          <w:lang w:eastAsia="zh-CN"/>
        </w:rPr>
        <w:tab/>
      </w:r>
      <w:r>
        <w:rPr>
          <w:rFonts w:ascii="Arial" w:hAnsi="Arial" w:cs="Arial"/>
          <w:lang w:eastAsia="zh-CN"/>
        </w:rPr>
        <w:t>Interruption time for CEMode A</w:t>
      </w:r>
    </w:p>
    <w:p>
      <w:pPr>
        <w:tabs>
          <w:tab w:val="left" w:pos="567"/>
        </w:tabs>
        <w:snapToGrid w:val="0"/>
        <w:rPr>
          <w:rFonts w:ascii="Arial" w:hAnsi="Arial" w:cs="Arial"/>
          <w:bCs/>
          <w:i/>
          <w:iCs/>
        </w:rPr>
      </w:pPr>
    </w:p>
    <w:p>
      <w:pPr>
        <w:tabs>
          <w:tab w:val="left" w:pos="567"/>
        </w:tabs>
        <w:snapToGrid w:val="0"/>
        <w:rPr>
          <w:rFonts w:ascii="Arial" w:hAnsi="Arial" w:cs="Arial"/>
          <w:bCs/>
          <w:i/>
          <w:iCs/>
        </w:rPr>
      </w:pPr>
      <w:r>
        <w:rPr>
          <w:rFonts w:ascii="Arial" w:hAnsi="Arial" w:cs="Arial"/>
          <w:bCs/>
          <w:i/>
          <w:iCs/>
        </w:rPr>
        <w:t xml:space="preserve">Sub-Topic 5: GNSS re-acquisition gap in connected mode  </w:t>
      </w:r>
    </w:p>
    <w:p>
      <w:pPr>
        <w:tabs>
          <w:tab w:val="left" w:pos="567"/>
        </w:tabs>
        <w:snapToGrid w:val="0"/>
        <w:rPr>
          <w:rFonts w:ascii="Arial" w:hAnsi="Arial" w:cs="Arial"/>
          <w:bCs/>
        </w:rPr>
      </w:pPr>
      <w:r>
        <w:rPr>
          <w:rFonts w:ascii="Arial" w:hAnsi="Arial" w:cs="Arial"/>
          <w:bCs/>
        </w:rPr>
        <w:t>Issue 5-1&amp;5-2: GNSS gap, spec impact</w:t>
      </w:r>
    </w:p>
    <w:p>
      <w:pPr>
        <w:overflowPunct/>
        <w:autoSpaceDE/>
        <w:autoSpaceDN/>
        <w:adjustRightInd/>
        <w:spacing w:after="120" w:line="240" w:lineRule="auto"/>
        <w:rPr>
          <w:rFonts w:ascii="Arial" w:hAnsi="Arial" w:eastAsia="MS Mincho" w:cs="Arial"/>
          <w:lang w:val="en-US" w:eastAsia="en-US"/>
        </w:rPr>
      </w:pPr>
      <w:r>
        <w:rPr>
          <w:rFonts w:ascii="Arial" w:hAnsi="Arial" w:eastAsia="MS Mincho" w:cs="Arial"/>
          <w:lang w:val="en-US" w:eastAsia="en-US"/>
        </w:rPr>
        <w:t>Discuss the following options until next meeting.</w:t>
      </w:r>
    </w:p>
    <w:p>
      <w:pPr>
        <w:numPr>
          <w:ilvl w:val="0"/>
          <w:numId w:val="29"/>
        </w:numPr>
        <w:spacing w:after="120" w:line="240" w:lineRule="auto"/>
        <w:textAlignment w:val="baseline"/>
        <w:rPr>
          <w:rFonts w:ascii="Arial" w:hAnsi="Arial" w:eastAsia="PMingLiU" w:cs="Arial"/>
          <w:lang w:val="en-US"/>
        </w:rPr>
      </w:pPr>
      <w:r>
        <w:rPr>
          <w:rFonts w:ascii="Arial" w:hAnsi="Arial" w:eastAsia="PMingLiU" w:cs="Arial"/>
          <w:lang w:val="en-US"/>
        </w:rPr>
        <w:t>Option 1:</w:t>
      </w:r>
      <w:r>
        <w:rPr>
          <w:rFonts w:ascii="Arial" w:hAnsi="Arial" w:eastAsia="MS Mincho" w:cs="Arial"/>
          <w:lang w:val="en-US" w:eastAsia="en-US"/>
        </w:rPr>
        <w:t xml:space="preserve"> add generic description that the measurement delay could be longer if GNSS fix happens during measurement period.</w:t>
      </w:r>
    </w:p>
    <w:p>
      <w:pPr>
        <w:numPr>
          <w:ilvl w:val="0"/>
          <w:numId w:val="29"/>
        </w:numPr>
        <w:spacing w:after="120" w:line="240" w:lineRule="auto"/>
        <w:textAlignment w:val="baseline"/>
        <w:rPr>
          <w:rFonts w:ascii="Arial" w:hAnsi="Arial" w:eastAsia="PMingLiU" w:cs="Arial"/>
          <w:lang w:val="en-US"/>
        </w:rPr>
      </w:pPr>
      <w:r>
        <w:rPr>
          <w:rFonts w:ascii="Arial" w:hAnsi="Arial" w:eastAsia="PMingLiU" w:cs="Arial"/>
          <w:lang w:val="en-US"/>
        </w:rPr>
        <w:t xml:space="preserve">Option 2: </w:t>
      </w:r>
      <w:r>
        <w:rPr>
          <w:rFonts w:ascii="Arial" w:hAnsi="Arial" w:eastAsia="PMingLiU" w:cs="Arial"/>
          <w:iCs/>
          <w:lang w:val="en-US"/>
        </w:rPr>
        <w:t xml:space="preserve">The measurement delay requirements are extended by the duration of the GNSS-MG. </w:t>
      </w:r>
    </w:p>
    <w:p>
      <w:pPr>
        <w:numPr>
          <w:ilvl w:val="1"/>
          <w:numId w:val="29"/>
        </w:numPr>
        <w:spacing w:after="120" w:line="240" w:lineRule="auto"/>
        <w:textAlignment w:val="baseline"/>
        <w:rPr>
          <w:rFonts w:ascii="Arial" w:hAnsi="Arial" w:eastAsia="PMingLiU" w:cs="Arial"/>
          <w:lang w:val="en-US"/>
        </w:rPr>
      </w:pPr>
      <w:r>
        <w:rPr>
          <w:rFonts w:ascii="Arial" w:hAnsi="Arial" w:eastAsia="PMingLiU" w:cs="Arial"/>
          <w:iCs/>
          <w:lang w:val="en-US"/>
        </w:rPr>
        <w:t>When the UE triggers an early termination of the GNSS-MG, the measurement delay requirements are extended by the duration of the early-terminated GNSS-MG.</w:t>
      </w:r>
    </w:p>
    <w:p>
      <w:pPr>
        <w:numPr>
          <w:ilvl w:val="0"/>
          <w:numId w:val="29"/>
        </w:numPr>
        <w:spacing w:after="120" w:line="240" w:lineRule="auto"/>
        <w:textAlignment w:val="baseline"/>
        <w:rPr>
          <w:rFonts w:ascii="Arial" w:hAnsi="Arial" w:eastAsia="PMingLiU" w:cs="Arial"/>
          <w:lang w:val="en-US"/>
        </w:rPr>
      </w:pPr>
      <w:r>
        <w:rPr>
          <w:rFonts w:ascii="Arial" w:hAnsi="Arial" w:eastAsia="PMingLiU" w:cs="Arial"/>
          <w:lang w:val="en-US"/>
        </w:rPr>
        <w:t xml:space="preserve">Option 3: </w:t>
      </w:r>
      <w:r>
        <w:rPr>
          <w:rFonts w:ascii="Arial" w:hAnsi="Arial" w:eastAsia="PMingLiU" w:cs="Arial"/>
          <w:iCs/>
          <w:lang w:val="en-US"/>
        </w:rPr>
        <w:t>The measurement delay requirements are suspended until the termination of the GNSS-MG.</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5-3: GNSS gap for eMTC, overlapping between MG and GNSS gap</w:t>
      </w:r>
    </w:p>
    <w:p>
      <w:pPr>
        <w:spacing w:after="0" w:line="240" w:lineRule="auto"/>
        <w:textAlignment w:val="baseline"/>
        <w:rPr>
          <w:rFonts w:ascii="Arial" w:hAnsi="Arial" w:eastAsia="宋体" w:cs="Arial"/>
          <w:sz w:val="21"/>
          <w:szCs w:val="21"/>
          <w:lang w:eastAsia="zh-CN"/>
        </w:rPr>
      </w:pPr>
      <w:r>
        <w:rPr>
          <w:rFonts w:ascii="Arial" w:hAnsi="Arial" w:eastAsia="宋体" w:cs="Arial"/>
          <w:sz w:val="21"/>
          <w:szCs w:val="21"/>
          <w:lang w:eastAsia="zh-CN"/>
        </w:rPr>
        <w:t xml:space="preserve">Agreement: </w:t>
      </w:r>
    </w:p>
    <w:p>
      <w:pPr>
        <w:numPr>
          <w:ilvl w:val="0"/>
          <w:numId w:val="30"/>
        </w:numPr>
        <w:spacing w:after="120" w:line="240" w:lineRule="auto"/>
        <w:textAlignment w:val="baseline"/>
        <w:rPr>
          <w:rFonts w:ascii="Arial" w:hAnsi="Arial" w:eastAsia="PMingLiU" w:cs="Arial"/>
          <w:lang w:val="en-US"/>
        </w:rPr>
      </w:pPr>
      <w:r>
        <w:rPr>
          <w:rFonts w:ascii="Arial" w:hAnsi="Arial" w:eastAsia="PMingLiU" w:cs="Arial"/>
          <w:bCs/>
          <w:iCs/>
          <w:szCs w:val="18"/>
          <w:lang w:val="en-US" w:eastAsia="en-US"/>
        </w:rPr>
        <w:t>If gaps configured for reacquiring GNSS and gaps configured for mobility measurements at least partially overlaps in time with other, then UE shall suspend the gaps configured for mobility measurements and instead prioritize the use of GNSS gaps</w:t>
      </w:r>
    </w:p>
    <w:p>
      <w:pPr>
        <w:numPr>
          <w:ilvl w:val="1"/>
          <w:numId w:val="30"/>
        </w:numPr>
        <w:spacing w:after="0" w:line="240" w:lineRule="auto"/>
        <w:textAlignment w:val="baseline"/>
        <w:rPr>
          <w:rFonts w:ascii="Arial" w:hAnsi="Arial" w:eastAsia="PMingLiU" w:cs="Arial"/>
          <w:iCs/>
        </w:rPr>
      </w:pPr>
      <w:r>
        <w:rPr>
          <w:rFonts w:ascii="Arial" w:hAnsi="Arial" w:eastAsia="PMingLiU" w:cs="Arial"/>
          <w:bCs/>
          <w:iCs/>
          <w:szCs w:val="18"/>
          <w:lang w:val="en-US" w:eastAsia="en-US"/>
        </w:rPr>
        <w:t xml:space="preserve">Note: it </w:t>
      </w:r>
      <w:r>
        <w:rPr>
          <w:rFonts w:ascii="Arial" w:hAnsi="Arial" w:eastAsia="PMingLiU" w:cs="Arial"/>
          <w:bCs/>
          <w:iCs/>
          <w:szCs w:val="18"/>
          <w:lang w:val="en-US"/>
        </w:rPr>
        <w:t xml:space="preserve">considers as </w:t>
      </w:r>
      <w:r>
        <w:rPr>
          <w:rFonts w:ascii="Arial" w:hAnsi="Arial" w:eastAsia="PMingLiU" w:cs="Arial"/>
          <w:bCs/>
          <w:iCs/>
          <w:szCs w:val="18"/>
          <w:lang w:val="en-US" w:eastAsia="en-US"/>
        </w:rPr>
        <w:t xml:space="preserve">no overlapping between GNSS-MG and gaps configured for mobility measurements after the UE has performed early termination of GNSS-MG. </w:t>
      </w:r>
    </w:p>
    <w:p>
      <w:pPr>
        <w:overflowPunct/>
        <w:autoSpaceDE/>
        <w:autoSpaceDN/>
        <w:adjustRightInd/>
        <w:spacing w:after="0" w:line="240" w:lineRule="auto"/>
        <w:rPr>
          <w:rFonts w:ascii="Arial" w:hAnsi="Arial" w:eastAsia="PMingLiU" w:cs="Arial"/>
          <w:iCs/>
          <w:lang w:val="en-US"/>
        </w:rPr>
      </w:pPr>
    </w:p>
    <w:p>
      <w:pPr>
        <w:tabs>
          <w:tab w:val="left" w:pos="567"/>
        </w:tabs>
        <w:snapToGrid w:val="0"/>
        <w:rPr>
          <w:rFonts w:ascii="Arial" w:hAnsi="Arial" w:cs="Arial"/>
          <w:bCs/>
          <w:i/>
          <w:iCs/>
        </w:rPr>
      </w:pPr>
      <w:r>
        <w:rPr>
          <w:rFonts w:ascii="Arial" w:hAnsi="Arial" w:cs="Arial"/>
          <w:bCs/>
          <w:i/>
          <w:iCs/>
        </w:rPr>
        <w:t xml:space="preserve">Sub-Topic 6: CR split </w:t>
      </w:r>
    </w:p>
    <w:tbl>
      <w:tblPr>
        <w:tblStyle w:val="51"/>
        <w:tblW w:w="0" w:type="auto"/>
        <w:tblCaption w:val=""/>
        <w:tblDescription w:val=""/>
        <w:tblInd w:w="0" w:type="dxa"/>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Layout w:type="autofit"/>
        <w:tblCellMar>
          <w:top w:w="0" w:type="dxa"/>
          <w:left w:w="0" w:type="dxa"/>
          <w:bottom w:w="0" w:type="dxa"/>
          <w:right w:w="0" w:type="dxa"/>
        </w:tblCellMar>
      </w:tblPr>
      <w:tblGrid>
        <w:gridCol w:w="973"/>
        <w:gridCol w:w="4670"/>
        <w:gridCol w:w="1065"/>
        <w:gridCol w:w="1028"/>
      </w:tblGrid>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jc w:val="center"/>
              <w:rPr>
                <w:rFonts w:ascii="Arial" w:hAnsi="Arial" w:cs="Arial"/>
                <w:sz w:val="18"/>
                <w:szCs w:val="18"/>
                <w:lang w:val="sv-SE" w:eastAsia="zh-CN"/>
              </w:rPr>
            </w:pPr>
            <w:r>
              <w:rPr>
                <w:rFonts w:ascii="Arial" w:hAnsi="Arial" w:cs="Arial"/>
                <w:b/>
                <w:bCs/>
                <w:sz w:val="18"/>
                <w:szCs w:val="18"/>
                <w:lang w:val="sv-SE" w:eastAsia="zh-CN"/>
              </w:rPr>
              <w:t>UE Cat</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jc w:val="center"/>
              <w:rPr>
                <w:rFonts w:ascii="Arial" w:hAnsi="Arial" w:cs="Arial"/>
                <w:sz w:val="18"/>
                <w:szCs w:val="18"/>
                <w:lang w:val="sv-SE" w:eastAsia="zh-CN"/>
              </w:rPr>
            </w:pPr>
            <w:r>
              <w:rPr>
                <w:rFonts w:ascii="Arial" w:hAnsi="Arial" w:cs="Arial"/>
                <w:b/>
                <w:bCs/>
                <w:sz w:val="18"/>
                <w:szCs w:val="18"/>
                <w:lang w:val="sv-SE" w:eastAsia="zh-CN"/>
              </w:rPr>
              <w:t>Requirement</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jc w:val="center"/>
              <w:rPr>
                <w:rFonts w:ascii="Arial" w:hAnsi="Arial" w:cs="Arial"/>
                <w:b/>
                <w:bCs/>
                <w:sz w:val="18"/>
                <w:szCs w:val="18"/>
                <w:lang w:val="sv-SE" w:eastAsia="zh-CN"/>
              </w:rPr>
            </w:pPr>
            <w:r>
              <w:rPr>
                <w:rFonts w:ascii="Arial" w:hAnsi="Arial" w:eastAsia="宋体" w:cs="Arial"/>
                <w:b/>
                <w:bCs/>
                <w:lang w:val="sv-SE" w:eastAsia="en-US"/>
              </w:rPr>
              <w:t>Clause in TS36.133</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jc w:val="center"/>
              <w:rPr>
                <w:rFonts w:ascii="Arial" w:hAnsi="Arial" w:cs="Arial"/>
                <w:sz w:val="18"/>
                <w:szCs w:val="18"/>
                <w:lang w:val="sv-SE" w:eastAsia="zh-CN"/>
              </w:rPr>
            </w:pPr>
            <w:r>
              <w:rPr>
                <w:rFonts w:ascii="Arial" w:hAnsi="Arial" w:cs="Arial"/>
                <w:b/>
                <w:bCs/>
                <w:sz w:val="18"/>
                <w:szCs w:val="18"/>
                <w:lang w:val="sv-SE" w:eastAsia="zh-CN"/>
              </w:rPr>
              <w:t>Volunteer</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NB-IoT</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IDLE mode measurements</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sz w:val="18"/>
                <w:szCs w:val="18"/>
                <w:lang w:val="sv-SE" w:eastAsia="zh-CN"/>
              </w:rPr>
            </w:pPr>
            <w:r>
              <w:rPr>
                <w:rFonts w:ascii="Arial" w:hAnsi="Arial" w:eastAsia="宋体" w:cs="Arial"/>
                <w:lang w:val="sv-SE" w:eastAsia="en-US"/>
              </w:rPr>
              <w:t>4.6A</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MTK</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after="0" w:line="240" w:lineRule="auto"/>
              <w:rPr>
                <w:rFonts w:ascii="Arial" w:hAnsi="Arial" w:cs="Arial"/>
                <w:sz w:val="24"/>
                <w:szCs w:val="24"/>
                <w:lang w:val="en-US"/>
              </w:rPr>
            </w:pPr>
            <w:r>
              <w:rPr>
                <w:rFonts w:ascii="Arial" w:hAnsi="Arial" w:cs="Arial"/>
                <w:sz w:val="24"/>
                <w:szCs w:val="24"/>
                <w:lang w:val="en-US"/>
              </w:rPr>
              <w:t> </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 xml:space="preserve">CONNECTED mode measurement on neighbour cells </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color w:val="4472C4"/>
                <w:sz w:val="18"/>
                <w:szCs w:val="18"/>
                <w:lang w:val="sv-SE" w:eastAsia="zh-CN"/>
              </w:rPr>
            </w:pPr>
            <w:r>
              <w:rPr>
                <w:rFonts w:ascii="Arial" w:hAnsi="Arial" w:eastAsia="宋体" w:cs="Arial"/>
                <w:lang w:val="sv-SE" w:eastAsia="en-US"/>
              </w:rPr>
              <w:t>(New) 8.14A.X1</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Nokia</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after="0" w:line="240" w:lineRule="auto"/>
              <w:rPr>
                <w:rFonts w:ascii="Arial" w:hAnsi="Arial" w:cs="Arial"/>
                <w:sz w:val="24"/>
                <w:szCs w:val="24"/>
                <w:lang w:val="en-US"/>
              </w:rPr>
            </w:pPr>
            <w:r>
              <w:rPr>
                <w:rFonts w:ascii="Arial" w:hAnsi="Arial" w:cs="Arial"/>
                <w:sz w:val="24"/>
                <w:szCs w:val="24"/>
                <w:lang w:val="en-US"/>
              </w:rPr>
              <w:t> </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GNSS re-acqusition impact related, e.g. RLM, ...</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color w:val="1F497D"/>
                <w:sz w:val="18"/>
                <w:szCs w:val="18"/>
                <w:lang w:val="sv-SE" w:eastAsia="zh-CN"/>
              </w:rPr>
            </w:pPr>
            <w:r>
              <w:rPr>
                <w:rFonts w:ascii="Arial" w:hAnsi="Arial" w:eastAsia="宋体" w:cs="Arial"/>
                <w:lang w:eastAsia="en-US"/>
              </w:rPr>
              <w:t>…</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Huawei</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Cat M1</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IDLE mode measurements</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color w:val="1F497D"/>
                <w:sz w:val="18"/>
                <w:szCs w:val="18"/>
                <w:lang w:val="sv-SE" w:eastAsia="zh-CN"/>
              </w:rPr>
            </w:pPr>
            <w:r>
              <w:rPr>
                <w:rFonts w:ascii="Arial" w:hAnsi="Arial" w:eastAsia="宋体" w:cs="Arial"/>
                <w:lang w:eastAsia="en-US"/>
              </w:rPr>
              <w:t>4.7A</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Huawei</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after="0" w:line="240" w:lineRule="auto"/>
              <w:rPr>
                <w:rFonts w:ascii="Arial" w:hAnsi="Arial" w:cs="Arial"/>
                <w:sz w:val="24"/>
                <w:szCs w:val="24"/>
                <w:lang w:val="en-US"/>
              </w:rPr>
            </w:pPr>
            <w:r>
              <w:rPr>
                <w:rFonts w:ascii="Arial" w:hAnsi="Arial" w:cs="Arial"/>
                <w:sz w:val="24"/>
                <w:szCs w:val="24"/>
                <w:lang w:val="en-US"/>
              </w:rPr>
              <w:t> </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CONNECTED mode measurement on neighbour cells</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color w:val="4472C4"/>
                <w:sz w:val="18"/>
                <w:szCs w:val="18"/>
                <w:lang w:val="sv-SE" w:eastAsia="zh-CN"/>
              </w:rPr>
            </w:pPr>
            <w:r>
              <w:rPr>
                <w:rFonts w:ascii="Arial" w:hAnsi="Arial" w:eastAsia="宋体" w:cs="Arial"/>
                <w:lang w:eastAsia="en-US"/>
              </w:rPr>
              <w:t>8.13A</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Nokia</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rPr>
          <w:trHeight w:val="979" w:hRule="atLeast"/>
        </w:trPr>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after="0" w:line="240" w:lineRule="auto"/>
              <w:rPr>
                <w:rFonts w:ascii="Arial" w:hAnsi="Arial" w:cs="Arial"/>
                <w:sz w:val="24"/>
                <w:szCs w:val="24"/>
                <w:lang w:val="en-US"/>
              </w:rPr>
            </w:pPr>
            <w:r>
              <w:rPr>
                <w:rFonts w:ascii="Arial" w:hAnsi="Arial" w:cs="Arial"/>
                <w:sz w:val="24"/>
                <w:szCs w:val="24"/>
                <w:lang w:val="en-US"/>
              </w:rPr>
              <w:t> </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 xml:space="preserve">conditional HO for Cat-M1 </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eastAsia="Arial Unicode MS" w:cs="Arial"/>
                <w:lang w:eastAsia="en-US"/>
              </w:rPr>
            </w:pPr>
            <w:r>
              <w:rPr>
                <w:rFonts w:ascii="Arial" w:hAnsi="Arial" w:eastAsia="Arial Unicode MS" w:cs="Arial"/>
                <w:lang w:eastAsia="en-US"/>
              </w:rPr>
              <w:t>5.5A.2.3/4 (CEModeA)</w:t>
            </w:r>
          </w:p>
          <w:p>
            <w:pPr>
              <w:overflowPunct/>
              <w:autoSpaceDE/>
              <w:autoSpaceDN/>
              <w:adjustRightInd/>
              <w:spacing w:line="240" w:lineRule="auto"/>
              <w:rPr>
                <w:rFonts w:ascii="Arial" w:hAnsi="Arial" w:cs="Arial"/>
                <w:sz w:val="18"/>
                <w:szCs w:val="18"/>
                <w:lang w:val="sv-SE" w:eastAsia="zh-CN"/>
              </w:rPr>
            </w:pPr>
            <w:r>
              <w:rPr>
                <w:rFonts w:ascii="Arial" w:hAnsi="Arial" w:eastAsia="宋体" w:cs="Arial"/>
                <w:lang w:eastAsia="en-US"/>
              </w:rPr>
              <w:t>5.5A.3.3/4 (CEModeB)</w:t>
            </w:r>
          </w:p>
        </w:tc>
        <w:tc>
          <w:tcPr>
            <w:tcW w:w="1028" w:type="dxa"/>
            <w:tcBorders>
              <w:top w:val="single" w:color="A3A3A3" w:sz="8" w:space="0"/>
              <w:left w:val="single" w:color="A3A3A3" w:sz="8" w:space="0"/>
              <w:bottom w:val="single" w:color="A3A3A3" w:sz="8" w:space="0"/>
              <w:right w:val="single" w:color="A3A3A3" w:sz="8" w:space="0"/>
            </w:tcBorders>
            <w:shd w:val="clear" w:color="auto" w:fill="FFFFFF"/>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CMCC</w:t>
            </w:r>
          </w:p>
        </w:tc>
      </w:tr>
      <w:tr>
        <w:tblPrEx>
          <w:tblBorders>
            <w:top w:val="single" w:color="A3A3A3" w:sz="8" w:space="0"/>
            <w:left w:val="single" w:color="A3A3A3" w:sz="8" w:space="0"/>
            <w:bottom w:val="single" w:color="A3A3A3" w:sz="8" w:space="0"/>
            <w:right w:val="single" w:color="A3A3A3" w:sz="8" w:space="0"/>
            <w:insideH w:val="none" w:color="auto" w:sz="0" w:space="0"/>
            <w:insideV w:val="none" w:color="auto" w:sz="0" w:space="0"/>
          </w:tblBorders>
          <w:tblCellMar>
            <w:top w:w="0" w:type="dxa"/>
            <w:left w:w="0" w:type="dxa"/>
            <w:bottom w:w="0" w:type="dxa"/>
            <w:right w:w="0" w:type="dxa"/>
          </w:tblCellMar>
        </w:tblPrEx>
        <w:tc>
          <w:tcPr>
            <w:tcW w:w="973"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after="0" w:line="240" w:lineRule="auto"/>
              <w:rPr>
                <w:rFonts w:ascii="Arial" w:hAnsi="Arial" w:cs="Arial"/>
                <w:sz w:val="18"/>
                <w:szCs w:val="18"/>
                <w:lang w:val="sv-SE" w:eastAsia="zh-CN"/>
              </w:rPr>
            </w:pPr>
            <w:r>
              <w:rPr>
                <w:rFonts w:ascii="Arial" w:hAnsi="Arial" w:cs="Arial"/>
                <w:sz w:val="18"/>
                <w:szCs w:val="18"/>
                <w:lang w:val="sv-SE" w:eastAsia="zh-CN"/>
              </w:rPr>
              <w:t> </w:t>
            </w:r>
          </w:p>
        </w:tc>
        <w:tc>
          <w:tcPr>
            <w:tcW w:w="4670"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GNSS re-acqusition impact related, e.g. RLM, ...</w:t>
            </w:r>
          </w:p>
        </w:tc>
        <w:tc>
          <w:tcPr>
            <w:tcW w:w="1065" w:type="dxa"/>
            <w:tcBorders>
              <w:top w:val="single" w:color="A3A3A3" w:sz="8" w:space="0"/>
              <w:left w:val="single" w:color="A3A3A3" w:sz="8" w:space="0"/>
              <w:bottom w:val="single" w:color="A3A3A3" w:sz="8" w:space="0"/>
              <w:right w:val="single" w:color="A3A3A3" w:sz="8" w:space="0"/>
            </w:tcBorders>
          </w:tcPr>
          <w:p>
            <w:pPr>
              <w:overflowPunct/>
              <w:autoSpaceDE/>
              <w:autoSpaceDN/>
              <w:adjustRightInd/>
              <w:spacing w:line="240" w:lineRule="auto"/>
              <w:rPr>
                <w:rFonts w:ascii="Arial" w:hAnsi="Arial" w:cs="Arial"/>
                <w:color w:val="4472C4"/>
                <w:sz w:val="18"/>
                <w:szCs w:val="18"/>
                <w:lang w:val="sv-SE" w:eastAsia="zh-CN"/>
              </w:rPr>
            </w:pPr>
            <w:r>
              <w:rPr>
                <w:rFonts w:ascii="Arial" w:hAnsi="Arial" w:cs="Arial"/>
                <w:color w:val="4472C4"/>
                <w:sz w:val="18"/>
                <w:szCs w:val="18"/>
                <w:lang w:val="sv-SE" w:eastAsia="zh-CN"/>
              </w:rPr>
              <w:t>...</w:t>
            </w:r>
          </w:p>
        </w:tc>
        <w:tc>
          <w:tcPr>
            <w:tcW w:w="1028"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pPr>
              <w:overflowPunct/>
              <w:autoSpaceDE/>
              <w:autoSpaceDN/>
              <w:adjustRightInd/>
              <w:spacing w:line="240" w:lineRule="auto"/>
              <w:rPr>
                <w:rFonts w:ascii="Arial" w:hAnsi="Arial" w:cs="Arial"/>
                <w:sz w:val="18"/>
                <w:szCs w:val="18"/>
                <w:lang w:val="sv-SE" w:eastAsia="zh-CN"/>
              </w:rPr>
            </w:pPr>
            <w:r>
              <w:rPr>
                <w:rFonts w:ascii="Arial" w:hAnsi="Arial" w:cs="Arial"/>
                <w:sz w:val="18"/>
                <w:szCs w:val="18"/>
                <w:lang w:val="sv-SE" w:eastAsia="zh-CN"/>
              </w:rPr>
              <w:t>Ericsson</w:t>
            </w:r>
          </w:p>
        </w:tc>
      </w:tr>
    </w:tbl>
    <w:p>
      <w:pPr>
        <w:rPr>
          <w:rFonts w:ascii="Arial" w:hAnsi="Arial" w:cs="Arial"/>
          <w:b/>
          <w:highlight w:val="lightGray"/>
          <w:lang w:eastAsia="en-US"/>
        </w:rPr>
      </w:pPr>
    </w:p>
    <w:p>
      <w:pPr>
        <w:rPr>
          <w:rFonts w:ascii="Arial" w:hAnsi="Arial" w:cs="Arial"/>
          <w:b/>
          <w:highlight w:val="lightGray"/>
          <w:lang w:eastAsia="en-US"/>
        </w:rPr>
      </w:pPr>
    </w:p>
    <w:p>
      <w:pPr>
        <w:outlineLvl w:val="5"/>
        <w:rPr>
          <w:rFonts w:ascii="Arial" w:hAnsi="Arial" w:cs="Arial"/>
          <w:b/>
          <w:lang w:eastAsia="en-US"/>
        </w:rPr>
      </w:pPr>
      <w:r>
        <w:rPr>
          <w:rFonts w:ascii="Arial" w:hAnsi="Arial" w:cs="Arial"/>
          <w:b/>
          <w:lang w:eastAsia="en-US"/>
        </w:rPr>
        <w:t>RAN4#109, November 13th – November 17th, 2023, Chicago, USA</w:t>
      </w:r>
    </w:p>
    <w:p>
      <w:pPr>
        <w:pStyle w:val="9"/>
        <w:rPr>
          <w:rFonts w:cs="Arial"/>
          <w:u w:val="single"/>
          <w:lang w:eastAsia="en-US"/>
        </w:rPr>
      </w:pPr>
      <w:r>
        <w:rPr>
          <w:rFonts w:cs="Arial"/>
          <w:u w:val="single"/>
          <w:lang w:eastAsia="en-US"/>
        </w:rPr>
        <w:t>Core Part - RRM</w:t>
      </w:r>
    </w:p>
    <w:p>
      <w:pPr>
        <w:tabs>
          <w:tab w:val="left" w:pos="567"/>
        </w:tabs>
        <w:snapToGrid w:val="0"/>
        <w:rPr>
          <w:rFonts w:ascii="Arial" w:hAnsi="Arial" w:cs="Arial"/>
          <w:bCs/>
          <w:i/>
          <w:iCs/>
        </w:rPr>
      </w:pPr>
      <w:r>
        <w:rPr>
          <w:rFonts w:ascii="Arial" w:hAnsi="Arial" w:cs="Arial"/>
          <w:bCs/>
          <w:i/>
          <w:iCs/>
        </w:rPr>
        <w:t xml:space="preserve">Sub-Topic 1-1: IDLE mode measurements  </w:t>
      </w:r>
    </w:p>
    <w:p>
      <w:pPr>
        <w:tabs>
          <w:tab w:val="left" w:pos="567"/>
        </w:tabs>
        <w:snapToGrid w:val="0"/>
        <w:rPr>
          <w:rFonts w:ascii="Arial" w:hAnsi="Arial" w:cs="Arial"/>
          <w:bCs/>
        </w:rPr>
      </w:pPr>
      <w:r>
        <w:rPr>
          <w:rFonts w:ascii="Arial" w:hAnsi="Arial" w:cs="Arial"/>
          <w:bCs/>
        </w:rPr>
        <w:t>Issue 1-1-1: Skipping serving cell measurement before t-service</w:t>
      </w:r>
    </w:p>
    <w:p>
      <w:pPr>
        <w:pStyle w:val="132"/>
        <w:numPr>
          <w:ilvl w:val="0"/>
          <w:numId w:val="31"/>
        </w:numPr>
        <w:tabs>
          <w:tab w:val="left" w:pos="567"/>
        </w:tabs>
        <w:snapToGrid w:val="0"/>
        <w:ind w:leftChars="0"/>
        <w:rPr>
          <w:rFonts w:ascii="Arial" w:hAnsi="Arial" w:cs="Arial"/>
          <w:bCs/>
          <w:sz w:val="20"/>
          <w:szCs w:val="20"/>
        </w:rPr>
      </w:pPr>
      <w:r>
        <w:rPr>
          <w:rFonts w:ascii="Arial" w:hAnsi="Arial" w:cs="Arial"/>
          <w:bCs/>
          <w:sz w:val="20"/>
          <w:szCs w:val="20"/>
        </w:rPr>
        <w:t>No agreement</w:t>
      </w: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 xml:space="preserve">Sub-Topic 1-2: CONN mode neighbour cell measurements  </w:t>
      </w:r>
    </w:p>
    <w:p>
      <w:pPr>
        <w:tabs>
          <w:tab w:val="left" w:pos="567"/>
        </w:tabs>
        <w:snapToGrid w:val="0"/>
        <w:rPr>
          <w:rFonts w:ascii="Arial" w:hAnsi="Arial" w:cs="Arial"/>
          <w:bCs/>
        </w:rPr>
      </w:pPr>
      <w:r>
        <w:rPr>
          <w:rFonts w:ascii="Arial" w:hAnsi="Arial" w:cs="Arial"/>
          <w:bCs/>
        </w:rPr>
        <w:t>Issue 1-2-1: For NB-IoT NGSO, intra-frequency inter-satellite neighbour cell measurement</w:t>
      </w:r>
    </w:p>
    <w:p>
      <w:pPr>
        <w:tabs>
          <w:tab w:val="left" w:pos="567"/>
        </w:tabs>
        <w:snapToGrid w:val="0"/>
        <w:rPr>
          <w:rFonts w:ascii="Arial" w:hAnsi="Arial" w:cs="Arial"/>
          <w:bCs/>
        </w:rPr>
      </w:pPr>
      <w:r>
        <w:rPr>
          <w:rFonts w:ascii="Arial" w:hAnsi="Arial" w:cs="Arial"/>
          <w:bCs/>
        </w:rPr>
        <w:t xml:space="preserve">Agreement: </w:t>
      </w:r>
    </w:p>
    <w:p>
      <w:pPr>
        <w:pStyle w:val="132"/>
        <w:numPr>
          <w:ilvl w:val="0"/>
          <w:numId w:val="32"/>
        </w:numPr>
        <w:tabs>
          <w:tab w:val="left" w:pos="567"/>
        </w:tabs>
        <w:snapToGrid w:val="0"/>
        <w:ind w:leftChars="0"/>
        <w:rPr>
          <w:rFonts w:ascii="Arial" w:hAnsi="Arial" w:cs="Arial"/>
          <w:bCs/>
          <w:sz w:val="20"/>
          <w:szCs w:val="20"/>
        </w:rPr>
      </w:pPr>
      <w:r>
        <w:rPr>
          <w:rFonts w:ascii="Arial" w:hAnsi="Arial" w:cs="Arial"/>
          <w:bCs/>
          <w:sz w:val="20"/>
          <w:szCs w:val="20"/>
        </w:rPr>
        <w:t>Define requirements for NGSO intra-frequency inter-satellite neighbour cell measurement as “inter-frequency” case</w:t>
      </w:r>
    </w:p>
    <w:p>
      <w:pPr>
        <w:pStyle w:val="132"/>
        <w:numPr>
          <w:ilvl w:val="0"/>
          <w:numId w:val="33"/>
        </w:numPr>
        <w:tabs>
          <w:tab w:val="left" w:pos="567"/>
        </w:tabs>
        <w:snapToGrid w:val="0"/>
        <w:ind w:leftChars="0"/>
        <w:rPr>
          <w:rFonts w:ascii="Arial" w:hAnsi="Arial" w:cs="Arial"/>
          <w:bCs/>
          <w:sz w:val="20"/>
          <w:szCs w:val="20"/>
        </w:rPr>
      </w:pPr>
      <w:r>
        <w:rPr>
          <w:rFonts w:ascii="Arial" w:hAnsi="Arial" w:cs="Arial"/>
          <w:bCs/>
          <w:sz w:val="20"/>
          <w:szCs w:val="20"/>
        </w:rPr>
        <w:t>Add condition that requirements apply provided that cell is available as indicated by t-ServiceStartNeigh if indicated.</w:t>
      </w:r>
    </w:p>
    <w:p>
      <w:pPr>
        <w:pStyle w:val="132"/>
        <w:tabs>
          <w:tab w:val="left" w:pos="567"/>
        </w:tabs>
        <w:snapToGrid w:val="0"/>
        <w:ind w:left="720" w:leftChars="0"/>
        <w:rPr>
          <w:rFonts w:ascii="Arial" w:hAnsi="Arial" w:cs="Arial"/>
          <w:bCs/>
          <w:sz w:val="20"/>
          <w:szCs w:val="20"/>
        </w:rPr>
      </w:pPr>
    </w:p>
    <w:p>
      <w:pPr>
        <w:tabs>
          <w:tab w:val="left" w:pos="567"/>
        </w:tabs>
        <w:snapToGrid w:val="0"/>
        <w:rPr>
          <w:rFonts w:ascii="Arial" w:hAnsi="Arial" w:cs="Arial"/>
          <w:bCs/>
        </w:rPr>
      </w:pPr>
      <w:r>
        <w:rPr>
          <w:rFonts w:ascii="Arial" w:hAnsi="Arial" w:cs="Arial"/>
          <w:bCs/>
        </w:rPr>
        <w:t xml:space="preserve">Issue 1-2-2: For NB/eMTC, time-based triggering, the exact time for UE to start the measurement </w:t>
      </w:r>
    </w:p>
    <w:p>
      <w:pPr>
        <w:pStyle w:val="132"/>
        <w:numPr>
          <w:ilvl w:val="0"/>
          <w:numId w:val="34"/>
        </w:numPr>
        <w:tabs>
          <w:tab w:val="left" w:pos="567"/>
        </w:tabs>
        <w:snapToGrid w:val="0"/>
        <w:ind w:leftChars="0"/>
        <w:rPr>
          <w:rFonts w:ascii="Arial" w:hAnsi="Arial" w:cs="Arial"/>
          <w:bCs/>
          <w:sz w:val="20"/>
          <w:szCs w:val="20"/>
        </w:rPr>
      </w:pPr>
      <w:r>
        <w:rPr>
          <w:rFonts w:ascii="Arial" w:hAnsi="Arial" w:cs="Arial"/>
          <w:bCs/>
          <w:sz w:val="20"/>
          <w:szCs w:val="20"/>
        </w:rPr>
        <w:t>no consensus to capture the exact time for UE to start measurement in RAN4 spec</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 xml:space="preserve">Issue 1-2-3: For eMTC, time-based triggering and MG perspectives </w:t>
      </w:r>
    </w:p>
    <w:p>
      <w:pPr>
        <w:tabs>
          <w:tab w:val="left" w:pos="567"/>
        </w:tabs>
        <w:snapToGrid w:val="0"/>
        <w:rPr>
          <w:rFonts w:ascii="Arial" w:hAnsi="Arial" w:cs="Arial"/>
          <w:bCs/>
        </w:rPr>
      </w:pPr>
      <w:r>
        <w:rPr>
          <w:rFonts w:ascii="Arial" w:hAnsi="Arial" w:cs="Arial"/>
          <w:bCs/>
        </w:rPr>
        <w:t xml:space="preserve">Agreement: </w:t>
      </w:r>
    </w:p>
    <w:p>
      <w:pPr>
        <w:pStyle w:val="132"/>
        <w:numPr>
          <w:ilvl w:val="0"/>
          <w:numId w:val="35"/>
        </w:numPr>
        <w:tabs>
          <w:tab w:val="left" w:pos="567"/>
        </w:tabs>
        <w:snapToGrid w:val="0"/>
        <w:ind w:leftChars="0"/>
        <w:rPr>
          <w:rFonts w:ascii="Arial" w:hAnsi="Arial" w:cs="Arial"/>
          <w:bCs/>
          <w:sz w:val="20"/>
          <w:szCs w:val="20"/>
        </w:rPr>
      </w:pPr>
      <w:r>
        <w:rPr>
          <w:rFonts w:ascii="Arial" w:hAnsi="Arial" w:cs="Arial"/>
          <w:bCs/>
          <w:sz w:val="20"/>
          <w:szCs w:val="20"/>
        </w:rPr>
        <w:t>For eMTC neighbour cell measurement, MG shall be configured as legacy TN case.</w:t>
      </w:r>
    </w:p>
    <w:p>
      <w:pPr>
        <w:pStyle w:val="132"/>
        <w:numPr>
          <w:ilvl w:val="0"/>
          <w:numId w:val="35"/>
        </w:numPr>
        <w:tabs>
          <w:tab w:val="left" w:pos="567"/>
        </w:tabs>
        <w:snapToGrid w:val="0"/>
        <w:ind w:leftChars="0"/>
        <w:rPr>
          <w:rFonts w:ascii="Arial" w:hAnsi="Arial" w:cs="Arial"/>
          <w:bCs/>
        </w:rPr>
      </w:pPr>
      <w:r>
        <w:rPr>
          <w:rFonts w:ascii="Arial" w:hAnsi="Arial" w:cs="Arial"/>
          <w:bCs/>
        </w:rPr>
        <w:t xml:space="preserve">RAN4 agree that the MG is suspended till the time t-serviceStartNeigh </w:t>
      </w:r>
    </w:p>
    <w:p>
      <w:pPr>
        <w:pStyle w:val="132"/>
        <w:numPr>
          <w:ilvl w:val="0"/>
          <w:numId w:val="36"/>
        </w:numPr>
        <w:tabs>
          <w:tab w:val="left" w:pos="567"/>
        </w:tabs>
        <w:snapToGrid w:val="0"/>
        <w:ind w:leftChars="0"/>
        <w:rPr>
          <w:rFonts w:ascii="Arial" w:hAnsi="Arial" w:cs="Arial"/>
          <w:bCs/>
          <w:sz w:val="20"/>
          <w:szCs w:val="20"/>
        </w:rPr>
      </w:pPr>
      <w:r>
        <w:rPr>
          <w:rFonts w:ascii="Arial" w:hAnsi="Arial" w:cs="Arial"/>
          <w:bCs/>
          <w:sz w:val="20"/>
          <w:szCs w:val="20"/>
        </w:rPr>
        <w:t>Detailed wording to be updated in CR</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1-2-4: For eMTC, location-based triggering and MG perspectives</w:t>
      </w:r>
    </w:p>
    <w:p>
      <w:pPr>
        <w:pStyle w:val="132"/>
        <w:numPr>
          <w:ilvl w:val="0"/>
          <w:numId w:val="37"/>
        </w:numPr>
        <w:tabs>
          <w:tab w:val="left" w:pos="567"/>
        </w:tabs>
        <w:snapToGrid w:val="0"/>
        <w:ind w:leftChars="0"/>
        <w:rPr>
          <w:rFonts w:ascii="Arial" w:hAnsi="Arial" w:cs="Arial"/>
          <w:bCs/>
          <w:sz w:val="20"/>
          <w:szCs w:val="20"/>
        </w:rPr>
      </w:pPr>
      <w:r>
        <w:rPr>
          <w:rFonts w:ascii="Arial" w:hAnsi="Arial" w:cs="Arial"/>
          <w:bCs/>
          <w:sz w:val="20"/>
          <w:szCs w:val="20"/>
        </w:rPr>
        <w:t>no consensus to introduce new conditions on when the neighbour cell measurements can be performed without gaps.</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1-2-5: For eMTC, suspend MG upon t-ServiceStarNeigh</w:t>
      </w:r>
    </w:p>
    <w:p>
      <w:pPr>
        <w:pStyle w:val="132"/>
        <w:numPr>
          <w:ilvl w:val="0"/>
          <w:numId w:val="38"/>
        </w:numPr>
        <w:tabs>
          <w:tab w:val="left" w:pos="567"/>
        </w:tabs>
        <w:snapToGrid w:val="0"/>
        <w:ind w:leftChars="0"/>
        <w:rPr>
          <w:rFonts w:ascii="Arial" w:hAnsi="Arial" w:cs="Arial"/>
          <w:bCs/>
          <w:sz w:val="20"/>
          <w:szCs w:val="20"/>
        </w:rPr>
      </w:pPr>
      <w:r>
        <w:rPr>
          <w:rFonts w:ascii="Arial" w:hAnsi="Arial" w:cs="Arial"/>
          <w:bCs/>
          <w:sz w:val="20"/>
          <w:szCs w:val="20"/>
        </w:rPr>
        <w:t>To resolve in CR</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1-2-6: For NB/eMTC NGSO, Ksatellite in Re-establishment delay requirement</w:t>
      </w:r>
    </w:p>
    <w:p>
      <w:pPr>
        <w:pStyle w:val="132"/>
        <w:numPr>
          <w:ilvl w:val="0"/>
          <w:numId w:val="39"/>
        </w:numPr>
        <w:tabs>
          <w:tab w:val="left" w:pos="567"/>
        </w:tabs>
        <w:snapToGrid w:val="0"/>
        <w:ind w:leftChars="0"/>
        <w:rPr>
          <w:rFonts w:ascii="Arial" w:hAnsi="Arial" w:cs="Arial"/>
          <w:bCs/>
          <w:sz w:val="20"/>
          <w:szCs w:val="20"/>
        </w:rPr>
      </w:pPr>
      <w:r>
        <w:rPr>
          <w:rFonts w:ascii="Arial" w:hAnsi="Arial" w:cs="Arial"/>
          <w:bCs/>
          <w:sz w:val="20"/>
          <w:szCs w:val="20"/>
        </w:rPr>
        <w:t>no consensus to revise Ksatellite in Re-establishment delay requirement</w:t>
      </w: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Sub-Topic 1-3: eMTC, CHO</w:t>
      </w:r>
    </w:p>
    <w:p>
      <w:pPr>
        <w:tabs>
          <w:tab w:val="left" w:pos="567"/>
        </w:tabs>
        <w:snapToGrid w:val="0"/>
        <w:rPr>
          <w:rFonts w:ascii="Arial" w:hAnsi="Arial" w:cs="Arial"/>
          <w:bCs/>
        </w:rPr>
      </w:pPr>
      <w:r>
        <w:rPr>
          <w:rFonts w:ascii="Arial" w:hAnsi="Arial" w:cs="Arial"/>
          <w:bCs/>
        </w:rPr>
        <w:t>Issue 1-3-1: For eMTC, CHO requirements</w:t>
      </w:r>
    </w:p>
    <w:p>
      <w:pPr>
        <w:tabs>
          <w:tab w:val="left" w:pos="567"/>
        </w:tabs>
        <w:snapToGrid w:val="0"/>
        <w:rPr>
          <w:rFonts w:ascii="Arial" w:hAnsi="Arial" w:cs="Arial"/>
          <w:bCs/>
        </w:rPr>
      </w:pPr>
      <w:r>
        <w:rPr>
          <w:rFonts w:ascii="Arial" w:hAnsi="Arial" w:cs="Arial"/>
          <w:bCs/>
        </w:rPr>
        <w:t>Agreement:</w:t>
      </w:r>
    </w:p>
    <w:p>
      <w:pPr>
        <w:pStyle w:val="132"/>
        <w:numPr>
          <w:ilvl w:val="0"/>
          <w:numId w:val="39"/>
        </w:numPr>
        <w:tabs>
          <w:tab w:val="left" w:pos="567"/>
        </w:tabs>
        <w:snapToGrid w:val="0"/>
        <w:ind w:leftChars="0"/>
        <w:rPr>
          <w:rFonts w:ascii="Arial" w:hAnsi="Arial" w:cs="Arial"/>
          <w:bCs/>
          <w:sz w:val="20"/>
          <w:szCs w:val="20"/>
        </w:rPr>
      </w:pPr>
      <w:r>
        <w:rPr>
          <w:rFonts w:ascii="Arial" w:hAnsi="Arial" w:cs="Arial"/>
          <w:bCs/>
          <w:sz w:val="20"/>
          <w:szCs w:val="20"/>
        </w:rPr>
        <w:t>Update Tinterrupt to include Tsearch, based on handover interruption requirement with KSAT =1, and Nfreq=1</w:t>
      </w: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 xml:space="preserve">Sub-Topic 1-4: GNSS re-acquisition gap in connected mode  </w:t>
      </w:r>
    </w:p>
    <w:p>
      <w:pPr>
        <w:tabs>
          <w:tab w:val="left" w:pos="567"/>
        </w:tabs>
        <w:snapToGrid w:val="0"/>
        <w:rPr>
          <w:rFonts w:ascii="Arial" w:hAnsi="Arial" w:cs="Arial"/>
          <w:bCs/>
        </w:rPr>
      </w:pPr>
      <w:r>
        <w:rPr>
          <w:rFonts w:ascii="Arial" w:hAnsi="Arial" w:cs="Arial"/>
          <w:bCs/>
        </w:rPr>
        <w:t>Issue 1-4-1: GNSS-MG spec impact</w:t>
      </w:r>
    </w:p>
    <w:p>
      <w:pPr>
        <w:tabs>
          <w:tab w:val="left" w:pos="567"/>
        </w:tabs>
        <w:snapToGrid w:val="0"/>
        <w:rPr>
          <w:rFonts w:ascii="Arial" w:hAnsi="Arial" w:cs="Arial"/>
          <w:bCs/>
        </w:rPr>
      </w:pPr>
      <w:r>
        <w:rPr>
          <w:rFonts w:ascii="Arial" w:hAnsi="Arial" w:cs="Arial"/>
          <w:bCs/>
        </w:rPr>
        <w:t>Agreement:</w:t>
      </w:r>
    </w:p>
    <w:p>
      <w:pPr>
        <w:pStyle w:val="132"/>
        <w:numPr>
          <w:ilvl w:val="0"/>
          <w:numId w:val="40"/>
        </w:numPr>
        <w:tabs>
          <w:tab w:val="left" w:pos="567"/>
        </w:tabs>
        <w:snapToGrid w:val="0"/>
        <w:ind w:leftChars="0"/>
        <w:rPr>
          <w:rFonts w:ascii="Arial" w:hAnsi="Arial" w:cs="Arial"/>
          <w:bCs/>
          <w:sz w:val="20"/>
          <w:szCs w:val="20"/>
        </w:rPr>
      </w:pPr>
      <w:r>
        <w:rPr>
          <w:rFonts w:ascii="Arial" w:hAnsi="Arial" w:cs="Arial"/>
          <w:bCs/>
          <w:sz w:val="20"/>
          <w:szCs w:val="20"/>
        </w:rPr>
        <w:t xml:space="preserve">Add generic description that the measurements are suspended when UE is performing GNSS measurement during GNSS measurement gap. Wording to be discussed directly in the CR. </w:t>
      </w:r>
    </w:p>
    <w:p>
      <w:pPr>
        <w:pStyle w:val="132"/>
        <w:numPr>
          <w:ilvl w:val="0"/>
          <w:numId w:val="41"/>
        </w:numPr>
        <w:tabs>
          <w:tab w:val="left" w:pos="567"/>
        </w:tabs>
        <w:snapToGrid w:val="0"/>
        <w:ind w:leftChars="0"/>
        <w:rPr>
          <w:rFonts w:ascii="Arial" w:hAnsi="Arial" w:cs="Arial"/>
          <w:bCs/>
          <w:sz w:val="20"/>
          <w:szCs w:val="20"/>
        </w:rPr>
      </w:pPr>
      <w:r>
        <w:rPr>
          <w:rFonts w:ascii="Arial" w:hAnsi="Arial" w:cs="Arial"/>
          <w:bCs/>
          <w:sz w:val="20"/>
          <w:szCs w:val="20"/>
        </w:rPr>
        <w:t>For NB-IoT, UE shall restart the cell measurement when the interval between two samples are larger than 5000 ms.</w:t>
      </w:r>
    </w:p>
    <w:p>
      <w:pPr>
        <w:pStyle w:val="132"/>
        <w:numPr>
          <w:ilvl w:val="0"/>
          <w:numId w:val="42"/>
        </w:numPr>
        <w:tabs>
          <w:tab w:val="left" w:pos="567"/>
        </w:tabs>
        <w:snapToGrid w:val="0"/>
        <w:ind w:leftChars="0"/>
        <w:rPr>
          <w:rFonts w:ascii="Arial" w:hAnsi="Arial" w:cs="Arial"/>
          <w:bCs/>
          <w:sz w:val="20"/>
          <w:szCs w:val="20"/>
        </w:rPr>
      </w:pPr>
      <w:r>
        <w:rPr>
          <w:rFonts w:ascii="Arial" w:hAnsi="Arial" w:cs="Arial"/>
          <w:bCs/>
          <w:sz w:val="20"/>
          <w:szCs w:val="20"/>
        </w:rPr>
        <w:t xml:space="preserve">For eMTC, the modification for the case that GNSS-MG is larger than the eDRX cycle can be further study in the maintenance phase. </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1-4-2: For eMTC, GNSS-MG overlapping with MG</w:t>
      </w:r>
    </w:p>
    <w:p>
      <w:pPr>
        <w:tabs>
          <w:tab w:val="left" w:pos="567"/>
        </w:tabs>
        <w:snapToGrid w:val="0"/>
        <w:rPr>
          <w:rFonts w:ascii="Arial" w:hAnsi="Arial" w:cs="Arial"/>
          <w:bCs/>
        </w:rPr>
      </w:pPr>
      <w:r>
        <w:rPr>
          <w:rFonts w:ascii="Arial" w:hAnsi="Arial" w:cs="Arial"/>
          <w:bCs/>
        </w:rPr>
        <w:t>Agreement:</w:t>
      </w:r>
    </w:p>
    <w:p>
      <w:pPr>
        <w:pStyle w:val="132"/>
        <w:numPr>
          <w:ilvl w:val="0"/>
          <w:numId w:val="43"/>
        </w:numPr>
        <w:tabs>
          <w:tab w:val="left" w:pos="567"/>
        </w:tabs>
        <w:snapToGrid w:val="0"/>
        <w:ind w:leftChars="0"/>
        <w:rPr>
          <w:rFonts w:ascii="Arial" w:hAnsi="Arial" w:cs="Arial"/>
          <w:bCs/>
          <w:sz w:val="20"/>
          <w:szCs w:val="20"/>
        </w:rPr>
      </w:pPr>
      <w:r>
        <w:rPr>
          <w:rFonts w:ascii="Arial" w:hAnsi="Arial" w:cs="Arial"/>
          <w:bCs/>
          <w:sz w:val="20"/>
          <w:szCs w:val="20"/>
        </w:rPr>
        <w:t>When GNSS gap overlaps with MG, MG applies if GNSS-MG is terminated earlier than MG and after RA procedure.</w:t>
      </w: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1-4-3: RRC re-establishment when carrierFreqList  is provided</w:t>
      </w:r>
    </w:p>
    <w:p>
      <w:pPr>
        <w:pStyle w:val="132"/>
        <w:numPr>
          <w:ilvl w:val="0"/>
          <w:numId w:val="44"/>
        </w:numPr>
        <w:tabs>
          <w:tab w:val="left" w:pos="567"/>
        </w:tabs>
        <w:snapToGrid w:val="0"/>
        <w:ind w:leftChars="0"/>
        <w:rPr>
          <w:rFonts w:ascii="Arial" w:hAnsi="Arial" w:cs="Arial"/>
          <w:bCs/>
          <w:sz w:val="20"/>
          <w:szCs w:val="20"/>
        </w:rPr>
      </w:pPr>
      <w:r>
        <w:rPr>
          <w:rFonts w:ascii="Arial" w:hAnsi="Arial" w:cs="Arial"/>
          <w:bCs/>
          <w:sz w:val="20"/>
          <w:szCs w:val="20"/>
        </w:rPr>
        <w:t>FFS: If the carrierFreqList in SIB32 indicates that current and target cells belong to the same carrier, then Ksatellite,I can be set to 1. Otherwise, Ksatellite,I shall correspond to the number of NGSO satellites the UE shall monitor.</w:t>
      </w:r>
    </w:p>
    <w:p>
      <w:pPr>
        <w:tabs>
          <w:tab w:val="left" w:pos="567"/>
        </w:tabs>
        <w:snapToGrid w:val="0"/>
        <w:rPr>
          <w:rFonts w:ascii="Arial" w:hAnsi="Arial" w:cs="Arial"/>
          <w:bCs/>
        </w:rPr>
      </w:pPr>
    </w:p>
    <w:p>
      <w:pPr>
        <w:tabs>
          <w:tab w:val="left" w:pos="567"/>
        </w:tabs>
        <w:snapToGrid w:val="0"/>
        <w:rPr>
          <w:rFonts w:ascii="Arial" w:hAnsi="Arial" w:cs="Arial"/>
          <w:bCs/>
          <w:i/>
          <w:iCs/>
        </w:rPr>
      </w:pPr>
      <w:r>
        <w:rPr>
          <w:rFonts w:ascii="Arial" w:hAnsi="Arial" w:cs="Arial"/>
          <w:bCs/>
          <w:i/>
          <w:iCs/>
        </w:rPr>
        <w:t xml:space="preserve">Sub-Topic 1-5: Others </w:t>
      </w:r>
    </w:p>
    <w:p>
      <w:pPr>
        <w:tabs>
          <w:tab w:val="left" w:pos="567"/>
        </w:tabs>
        <w:snapToGrid w:val="0"/>
        <w:spacing w:line="240" w:lineRule="auto"/>
        <w:rPr>
          <w:rFonts w:ascii="Arial" w:hAnsi="Arial" w:cs="Arial"/>
          <w:bCs/>
        </w:rPr>
      </w:pPr>
      <w:r>
        <w:rPr>
          <w:rFonts w:ascii="Arial" w:hAnsi="Arial" w:cs="Arial"/>
          <w:bCs/>
        </w:rPr>
        <w:t>Issue 1-5-1: Requirement terminologies</w:t>
      </w:r>
    </w:p>
    <w:p>
      <w:pPr>
        <w:pStyle w:val="132"/>
        <w:numPr>
          <w:ilvl w:val="0"/>
          <w:numId w:val="45"/>
        </w:numPr>
        <w:tabs>
          <w:tab w:val="left" w:pos="567"/>
        </w:tabs>
        <w:snapToGrid w:val="0"/>
        <w:spacing w:line="240" w:lineRule="auto"/>
        <w:ind w:leftChars="0"/>
        <w:rPr>
          <w:rFonts w:ascii="Arial" w:hAnsi="Arial" w:cs="Arial"/>
          <w:bCs/>
          <w:sz w:val="20"/>
          <w:szCs w:val="20"/>
        </w:rPr>
      </w:pPr>
      <w:r>
        <w:rPr>
          <w:rFonts w:ascii="Arial" w:hAnsi="Arial" w:cs="Arial"/>
          <w:bCs/>
          <w:sz w:val="20"/>
          <w:szCs w:val="20"/>
        </w:rPr>
        <w:t>To resolve in CR</w:t>
      </w:r>
    </w:p>
    <w:p>
      <w:pPr>
        <w:pStyle w:val="132"/>
        <w:tabs>
          <w:tab w:val="left" w:pos="567"/>
        </w:tabs>
        <w:snapToGrid w:val="0"/>
        <w:spacing w:line="240" w:lineRule="auto"/>
        <w:ind w:left="720" w:leftChars="0"/>
        <w:rPr>
          <w:rFonts w:ascii="Arial" w:hAnsi="Arial" w:cs="Arial"/>
          <w:bCs/>
          <w:sz w:val="20"/>
          <w:szCs w:val="20"/>
        </w:rPr>
      </w:pPr>
    </w:p>
    <w:p>
      <w:pPr>
        <w:tabs>
          <w:tab w:val="left" w:pos="567"/>
        </w:tabs>
        <w:snapToGrid w:val="0"/>
        <w:spacing w:line="240" w:lineRule="auto"/>
        <w:rPr>
          <w:rFonts w:ascii="Arial" w:hAnsi="Arial" w:cs="Arial"/>
          <w:bCs/>
        </w:rPr>
      </w:pPr>
      <w:r>
        <w:rPr>
          <w:rFonts w:ascii="Arial" w:hAnsi="Arial" w:cs="Arial"/>
          <w:bCs/>
        </w:rPr>
        <w:t>Issue 1-5-2: Location-based triggering cell measurements – margin for distanceThresh</w:t>
      </w:r>
    </w:p>
    <w:p>
      <w:pPr>
        <w:pStyle w:val="132"/>
        <w:numPr>
          <w:ilvl w:val="0"/>
          <w:numId w:val="46"/>
        </w:numPr>
        <w:tabs>
          <w:tab w:val="left" w:pos="567"/>
        </w:tabs>
        <w:snapToGrid w:val="0"/>
        <w:spacing w:line="240" w:lineRule="auto"/>
        <w:ind w:leftChars="0"/>
        <w:rPr>
          <w:rFonts w:ascii="Arial" w:hAnsi="Arial" w:cs="Arial"/>
          <w:bCs/>
          <w:sz w:val="20"/>
          <w:szCs w:val="20"/>
        </w:rPr>
      </w:pPr>
      <w:r>
        <w:rPr>
          <w:rFonts w:ascii="Arial" w:hAnsi="Arial" w:cs="Arial"/>
          <w:bCs/>
          <w:sz w:val="20"/>
          <w:szCs w:val="20"/>
        </w:rPr>
        <w:t xml:space="preserve">Postpone the margin discussion in performance part. </w:t>
      </w:r>
    </w:p>
    <w:p>
      <w:pPr>
        <w:pStyle w:val="132"/>
        <w:tabs>
          <w:tab w:val="left" w:pos="567"/>
        </w:tabs>
        <w:snapToGrid w:val="0"/>
        <w:spacing w:line="240" w:lineRule="auto"/>
        <w:ind w:left="720" w:leftChars="0"/>
        <w:rPr>
          <w:rFonts w:ascii="Arial" w:hAnsi="Arial" w:cs="Arial"/>
          <w:bCs/>
          <w:sz w:val="20"/>
          <w:szCs w:val="20"/>
        </w:rPr>
      </w:pPr>
    </w:p>
    <w:p>
      <w:pPr>
        <w:tabs>
          <w:tab w:val="left" w:pos="567"/>
        </w:tabs>
        <w:snapToGrid w:val="0"/>
        <w:spacing w:line="240" w:lineRule="auto"/>
        <w:rPr>
          <w:rFonts w:ascii="Arial" w:hAnsi="Arial" w:cs="Arial"/>
          <w:bCs/>
        </w:rPr>
      </w:pPr>
      <w:r>
        <w:rPr>
          <w:rFonts w:ascii="Arial" w:hAnsi="Arial" w:cs="Arial"/>
          <w:bCs/>
        </w:rPr>
        <w:t>Issue 1-5-3: Clarification on more than two NGSO satellites on a frequency layer</w:t>
      </w:r>
    </w:p>
    <w:p>
      <w:pPr>
        <w:pStyle w:val="132"/>
        <w:numPr>
          <w:ilvl w:val="0"/>
          <w:numId w:val="47"/>
        </w:numPr>
        <w:tabs>
          <w:tab w:val="left" w:pos="567"/>
        </w:tabs>
        <w:snapToGrid w:val="0"/>
        <w:spacing w:line="240" w:lineRule="auto"/>
        <w:ind w:leftChars="0"/>
        <w:rPr>
          <w:rFonts w:ascii="Arial" w:hAnsi="Arial" w:cs="Arial"/>
          <w:bCs/>
          <w:sz w:val="20"/>
          <w:szCs w:val="20"/>
        </w:rPr>
      </w:pPr>
      <w:r>
        <w:rPr>
          <w:rFonts w:ascii="Arial" w:hAnsi="Arial" w:cs="Arial"/>
          <w:bCs/>
          <w:sz w:val="20"/>
          <w:szCs w:val="20"/>
        </w:rPr>
        <w:t>No agreement</w:t>
      </w:r>
    </w:p>
    <w:p>
      <w:pPr>
        <w:rPr>
          <w:rFonts w:ascii="Arial" w:hAnsi="Arial" w:cs="Arial"/>
          <w:b/>
          <w:highlight w:val="lightGray"/>
          <w:lang w:eastAsia="en-US"/>
        </w:rPr>
      </w:pPr>
    </w:p>
    <w:p>
      <w:pPr>
        <w:pStyle w:val="9"/>
        <w:rPr>
          <w:rFonts w:cs="Arial"/>
          <w:u w:val="single"/>
          <w:lang w:eastAsia="en-US"/>
        </w:rPr>
      </w:pPr>
      <w:r>
        <w:rPr>
          <w:rFonts w:cs="Arial"/>
          <w:u w:val="single"/>
          <w:lang w:eastAsia="en-US"/>
        </w:rPr>
        <w:t>Performance part - RRM</w:t>
      </w:r>
    </w:p>
    <w:p>
      <w:pPr>
        <w:tabs>
          <w:tab w:val="left" w:pos="567"/>
        </w:tabs>
        <w:snapToGrid w:val="0"/>
        <w:rPr>
          <w:rFonts w:ascii="Arial" w:hAnsi="Arial" w:cs="Arial"/>
          <w:bCs/>
        </w:rPr>
      </w:pPr>
      <w:r>
        <w:rPr>
          <w:rFonts w:ascii="Arial" w:hAnsi="Arial" w:cs="Arial"/>
          <w:bCs/>
        </w:rPr>
        <w:t>Issue 2-2-1: For NB/eMTC, test cases suspended due to lack of neighbour cell assistant information</w:t>
      </w:r>
    </w:p>
    <w:p>
      <w:pPr>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FFS</w:t>
      </w:r>
    </w:p>
    <w:p>
      <w:pPr>
        <w:numPr>
          <w:ilvl w:val="0"/>
          <w:numId w:val="48"/>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Define test cases which are suspended due to lack of neighbour cell assistant information.</w:t>
      </w:r>
    </w:p>
    <w:p>
      <w:pPr>
        <w:numPr>
          <w:ilvl w:val="1"/>
          <w:numId w:val="48"/>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Introduce inter-frequency test cases</w:t>
      </w:r>
    </w:p>
    <w:p>
      <w:pPr>
        <w:numPr>
          <w:ilvl w:val="1"/>
          <w:numId w:val="48"/>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Introduce NGSO configuration for the existing intra-frequency test cases</w:t>
      </w:r>
    </w:p>
    <w:p>
      <w:pPr>
        <w:overflowPunct/>
        <w:autoSpaceDE/>
        <w:autoSpaceDN/>
        <w:adjustRightInd/>
        <w:spacing w:after="0" w:line="240" w:lineRule="auto"/>
        <w:rPr>
          <w:rFonts w:ascii="Arial" w:hAnsi="Arial" w:eastAsia="PMingLiU" w:cs="Arial"/>
          <w:iCs/>
        </w:rPr>
      </w:pPr>
    </w:p>
    <w:p>
      <w:pPr>
        <w:tabs>
          <w:tab w:val="left" w:pos="567"/>
        </w:tabs>
        <w:snapToGrid w:val="0"/>
        <w:rPr>
          <w:rFonts w:ascii="Arial" w:hAnsi="Arial" w:cs="Arial"/>
          <w:bCs/>
        </w:rPr>
      </w:pPr>
      <w:r>
        <w:rPr>
          <w:rFonts w:ascii="Arial" w:hAnsi="Arial" w:cs="Arial"/>
          <w:bCs/>
        </w:rPr>
        <w:t>Issue 2-2-2: For NB-IoT, neighbour cell measurement in CONNNECTED mode</w:t>
      </w:r>
    </w:p>
    <w:p>
      <w:pPr>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FFS</w:t>
      </w:r>
    </w:p>
    <w:p>
      <w:pPr>
        <w:numPr>
          <w:ilvl w:val="0"/>
          <w:numId w:val="20"/>
        </w:numPr>
        <w:overflowPunct/>
        <w:autoSpaceDE/>
        <w:autoSpaceDN/>
        <w:adjustRightInd/>
        <w:spacing w:after="0" w:line="240" w:lineRule="auto"/>
        <w:jc w:val="both"/>
        <w:rPr>
          <w:rFonts w:ascii="Arial" w:hAnsi="Arial" w:eastAsia="PMingLiU" w:cs="Arial"/>
          <w:bCs/>
          <w:iCs/>
          <w:lang w:val="en-US" w:eastAsia="en-US"/>
        </w:rPr>
      </w:pPr>
      <w:r>
        <w:rPr>
          <w:rFonts w:ascii="Arial" w:hAnsi="Arial" w:eastAsia="MS Mincho" w:cs="Arial"/>
          <w:bCs/>
          <w:lang w:eastAsia="en-US"/>
        </w:rPr>
        <w:t xml:space="preserve">For NB-IoT, introduce test cases for neighbour cell measurement in CONNNECTED mode. </w:t>
      </w:r>
    </w:p>
    <w:p>
      <w:pPr>
        <w:overflowPunct/>
        <w:autoSpaceDE/>
        <w:autoSpaceDN/>
        <w:adjustRightInd/>
        <w:spacing w:after="0" w:line="240" w:lineRule="auto"/>
        <w:rPr>
          <w:rFonts w:ascii="Arial" w:hAnsi="Arial" w:eastAsia="PMingLiU" w:cs="Arial"/>
          <w:bCs/>
          <w:iCs/>
          <w:lang w:val="en-US" w:eastAsia="en-US"/>
        </w:rPr>
      </w:pP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2-2-3: For NB/eMTC, test cases for time/location based triggering of cell reselection in IDLE mode</w:t>
      </w:r>
    </w:p>
    <w:p>
      <w:pPr>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FFS</w:t>
      </w:r>
    </w:p>
    <w:p>
      <w:pPr>
        <w:numPr>
          <w:ilvl w:val="0"/>
          <w:numId w:val="49"/>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RAN4 to define test cases for time/location based triggering of cell reselection in IDLE mode based on the following table:</w:t>
      </w:r>
    </w:p>
    <w:p>
      <w:pPr>
        <w:overflowPunct/>
        <w:autoSpaceDE/>
        <w:autoSpaceDN/>
        <w:adjustRightInd/>
        <w:spacing w:after="0" w:line="240" w:lineRule="auto"/>
        <w:rPr>
          <w:rFonts w:ascii="Arial" w:hAnsi="Arial" w:eastAsia="PMingLiU" w:cs="Arial"/>
          <w:iCs/>
          <w:lang w:val="en-US"/>
        </w:rPr>
      </w:pPr>
    </w:p>
    <w:tbl>
      <w:tblPr>
        <w:tblStyle w:val="174"/>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5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 xml:space="preserve">Requirements </w:t>
            </w:r>
          </w:p>
        </w:tc>
        <w:tc>
          <w:tcPr>
            <w:tcW w:w="110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NB/eMTC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b/>
                <w:lang w:eastAsia="zh-CN"/>
              </w:rPr>
            </w:pPr>
            <w:r>
              <w:rPr>
                <w:rFonts w:ascii="Arial" w:hAnsi="Arial" w:eastAsia="MS Mincho" w:cs="Arial"/>
                <w:lang w:eastAsia="zh-CN"/>
              </w:rPr>
              <w:t>IDLE: Time-based measurement triggering</w:t>
            </w:r>
          </w:p>
        </w:tc>
        <w:tc>
          <w:tcPr>
            <w:tcW w:w="1105" w:type="dxa"/>
          </w:tcPr>
          <w:p>
            <w:pPr>
              <w:spacing w:line="240" w:lineRule="auto"/>
              <w:jc w:val="both"/>
              <w:textAlignment w:val="baseline"/>
              <w:rPr>
                <w:rFonts w:ascii="Arial" w:hAnsi="Arial" w:eastAsia="MS Mincho" w:cs="Arial"/>
                <w:b/>
                <w:lang w:eastAsia="zh-CN"/>
              </w:rPr>
            </w:pPr>
            <w:r>
              <w:rPr>
                <w:rFonts w:ascii="Arial" w:hAnsi="Arial" w:eastAsia="MS Mincho" w:cs="Arial"/>
                <w:lang w:eastAsia="zh-CN"/>
              </w:rPr>
              <w:t>NB/eMTC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b/>
                <w:lang w:eastAsia="zh-CN"/>
              </w:rPr>
            </w:pPr>
            <w:r>
              <w:rPr>
                <w:rFonts w:ascii="Arial" w:hAnsi="Arial" w:eastAsia="MS Mincho" w:cs="Arial"/>
                <w:lang w:eastAsia="zh-CN"/>
              </w:rPr>
              <w:t>IDLE: Location-based measurement triggering</w:t>
            </w:r>
          </w:p>
        </w:tc>
        <w:tc>
          <w:tcPr>
            <w:tcW w:w="1105" w:type="dxa"/>
          </w:tcPr>
          <w:p>
            <w:pPr>
              <w:spacing w:line="240" w:lineRule="auto"/>
              <w:jc w:val="both"/>
              <w:textAlignment w:val="baseline"/>
              <w:rPr>
                <w:rFonts w:ascii="Arial" w:hAnsi="Arial" w:eastAsia="MS Mincho" w:cs="Arial"/>
                <w:b/>
                <w:lang w:eastAsia="zh-CN"/>
              </w:rPr>
            </w:pPr>
            <w:r>
              <w:rPr>
                <w:rFonts w:ascii="Arial" w:hAnsi="Arial" w:eastAsia="MS Mincho" w:cs="Arial"/>
                <w:lang w:eastAsia="zh-CN"/>
              </w:rPr>
              <w:t>NB/eMTC</w:t>
            </w:r>
          </w:p>
        </w:tc>
      </w:tr>
    </w:tbl>
    <w:p>
      <w:pPr>
        <w:numPr>
          <w:ilvl w:val="0"/>
          <w:numId w:val="49"/>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RAN4 to further discuss whether and how to reduce the number of test cases</w:t>
      </w:r>
    </w:p>
    <w:p>
      <w:pPr>
        <w:overflowPunct/>
        <w:autoSpaceDE/>
        <w:autoSpaceDN/>
        <w:adjustRightInd/>
        <w:spacing w:after="0" w:line="240" w:lineRule="auto"/>
        <w:rPr>
          <w:rFonts w:ascii="Arial" w:hAnsi="Arial" w:eastAsia="PMingLiU" w:cs="Arial"/>
          <w:iCs/>
          <w:lang w:val="en-US"/>
        </w:rPr>
      </w:pPr>
    </w:p>
    <w:p>
      <w:pPr>
        <w:tabs>
          <w:tab w:val="left" w:pos="567"/>
        </w:tabs>
        <w:snapToGrid w:val="0"/>
        <w:rPr>
          <w:rFonts w:ascii="Arial" w:hAnsi="Arial" w:cs="Arial"/>
          <w:bCs/>
        </w:rPr>
      </w:pPr>
    </w:p>
    <w:p>
      <w:pPr>
        <w:tabs>
          <w:tab w:val="left" w:pos="567"/>
        </w:tabs>
        <w:snapToGrid w:val="0"/>
        <w:rPr>
          <w:rFonts w:ascii="Arial" w:hAnsi="Arial" w:cs="Arial"/>
          <w:bCs/>
        </w:rPr>
      </w:pPr>
      <w:r>
        <w:rPr>
          <w:rFonts w:ascii="Arial" w:hAnsi="Arial" w:cs="Arial"/>
          <w:bCs/>
        </w:rPr>
        <w:t>Issue 2-2-4: For NB/eMTC, test cases for time/location based triggering of neighbour cell measurements in CONNECTED mode</w:t>
      </w:r>
    </w:p>
    <w:p>
      <w:pPr>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 xml:space="preserve">FFS RAN4 to discuss feasibility of defining tests for time- and location based triggering of neighbour cell measurements. </w:t>
      </w:r>
    </w:p>
    <w:p>
      <w:pPr>
        <w:numPr>
          <w:ilvl w:val="0"/>
          <w:numId w:val="50"/>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 xml:space="preserve">Option 1: not to define the corresponding test cases. </w:t>
      </w:r>
    </w:p>
    <w:p>
      <w:pPr>
        <w:numPr>
          <w:ilvl w:val="0"/>
          <w:numId w:val="50"/>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Option 2: RAN4 to define test cases for</w:t>
      </w:r>
      <w:r>
        <w:rPr>
          <w:rFonts w:ascii="Arial" w:hAnsi="Arial" w:eastAsia="MS Mincho" w:cs="Arial"/>
          <w:lang w:eastAsia="en-US"/>
        </w:rPr>
        <w:t xml:space="preserve"> </w:t>
      </w:r>
      <w:r>
        <w:rPr>
          <w:rFonts w:ascii="Arial" w:hAnsi="Arial" w:eastAsia="PMingLiU" w:cs="Arial"/>
          <w:bCs/>
          <w:iCs/>
          <w:lang w:val="en-US" w:eastAsia="en-US"/>
        </w:rPr>
        <w:t>time- and location based triggering of neighbour cell measurements, based on the following table:</w:t>
      </w:r>
    </w:p>
    <w:p>
      <w:pPr>
        <w:overflowPunct/>
        <w:autoSpaceDE/>
        <w:autoSpaceDN/>
        <w:adjustRightInd/>
        <w:spacing w:after="0" w:line="240" w:lineRule="auto"/>
        <w:rPr>
          <w:rFonts w:ascii="Arial" w:hAnsi="Arial" w:eastAsia="PMingLiU" w:cs="Arial"/>
          <w:iCs/>
          <w:lang w:val="en-US"/>
        </w:rPr>
      </w:pPr>
    </w:p>
    <w:tbl>
      <w:tblPr>
        <w:tblStyle w:val="174"/>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 xml:space="preserve">Requirements </w:t>
            </w:r>
          </w:p>
        </w:tc>
        <w:tc>
          <w:tcPr>
            <w:tcW w:w="110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NB/eMTC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CONN: Location-based measurement triggering [NB/eMTC]</w:t>
            </w:r>
          </w:p>
        </w:tc>
        <w:tc>
          <w:tcPr>
            <w:tcW w:w="110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NB/eMTC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CONN: Time-based measurement triggering</w:t>
            </w:r>
          </w:p>
        </w:tc>
        <w:tc>
          <w:tcPr>
            <w:tcW w:w="110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eMTC</w:t>
            </w:r>
          </w:p>
        </w:tc>
      </w:tr>
    </w:tbl>
    <w:p>
      <w:pPr>
        <w:overflowPunct/>
        <w:autoSpaceDE/>
        <w:autoSpaceDN/>
        <w:adjustRightInd/>
        <w:spacing w:after="0" w:line="240" w:lineRule="auto"/>
        <w:rPr>
          <w:rFonts w:ascii="Arial" w:hAnsi="Arial" w:eastAsia="PMingLiU" w:cs="Arial"/>
          <w:iCs/>
          <w:lang w:val="en-US"/>
        </w:rPr>
      </w:pPr>
    </w:p>
    <w:p>
      <w:pPr>
        <w:overflowPunct/>
        <w:autoSpaceDE/>
        <w:autoSpaceDN/>
        <w:adjustRightInd/>
        <w:spacing w:after="0" w:line="240" w:lineRule="auto"/>
        <w:rPr>
          <w:rFonts w:ascii="Arial" w:hAnsi="Arial" w:eastAsia="PMingLiU" w:cs="Arial"/>
          <w:iCs/>
          <w:lang w:val="en-US"/>
        </w:rPr>
      </w:pPr>
    </w:p>
    <w:p>
      <w:pPr>
        <w:tabs>
          <w:tab w:val="left" w:pos="567"/>
        </w:tabs>
        <w:snapToGrid w:val="0"/>
        <w:rPr>
          <w:rFonts w:ascii="Arial" w:hAnsi="Arial" w:cs="Arial"/>
          <w:bCs/>
        </w:rPr>
      </w:pPr>
      <w:r>
        <w:rPr>
          <w:rFonts w:ascii="Arial" w:hAnsi="Arial" w:cs="Arial"/>
          <w:bCs/>
        </w:rPr>
        <w:t>Issue 2-2-5: For eMTC, test cases for CHO</w:t>
      </w:r>
    </w:p>
    <w:p>
      <w:pPr>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FFS</w:t>
      </w:r>
    </w:p>
    <w:p>
      <w:pPr>
        <w:numPr>
          <w:ilvl w:val="0"/>
          <w:numId w:val="51"/>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RAN4 to define test cases for eMTC CHO based on the following table:</w:t>
      </w:r>
    </w:p>
    <w:p>
      <w:pPr>
        <w:overflowPunct/>
        <w:autoSpaceDE/>
        <w:autoSpaceDN/>
        <w:adjustRightInd/>
        <w:spacing w:after="0" w:line="240" w:lineRule="auto"/>
        <w:rPr>
          <w:rFonts w:ascii="Arial" w:hAnsi="Arial" w:eastAsia="PMingLiU" w:cs="Arial"/>
          <w:bCs/>
          <w:iCs/>
          <w:lang w:val="en-US" w:eastAsia="en-US"/>
        </w:rPr>
      </w:pPr>
    </w:p>
    <w:tbl>
      <w:tblPr>
        <w:tblStyle w:val="174"/>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5"/>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 xml:space="preserve">Requirements </w:t>
            </w:r>
          </w:p>
        </w:tc>
        <w:tc>
          <w:tcPr>
            <w:tcW w:w="1105" w:type="dxa"/>
          </w:tcPr>
          <w:p>
            <w:pPr>
              <w:spacing w:line="240" w:lineRule="auto"/>
              <w:jc w:val="both"/>
              <w:textAlignment w:val="baseline"/>
              <w:rPr>
                <w:rFonts w:ascii="Arial" w:hAnsi="Arial" w:eastAsia="MS Mincho" w:cs="Arial"/>
                <w:b/>
                <w:lang w:eastAsia="zh-CN"/>
              </w:rPr>
            </w:pPr>
            <w:r>
              <w:rPr>
                <w:rFonts w:ascii="Arial" w:hAnsi="Arial" w:eastAsia="MS Mincho" w:cs="Arial"/>
                <w:b/>
                <w:lang w:eastAsia="zh-CN"/>
              </w:rPr>
              <w:t>NB/eMTC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CHO configured with condEventD1</w:t>
            </w:r>
          </w:p>
        </w:tc>
        <w:tc>
          <w:tcPr>
            <w:tcW w:w="110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eMTC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CHO configured with condEventT1</w:t>
            </w:r>
          </w:p>
        </w:tc>
        <w:tc>
          <w:tcPr>
            <w:tcW w:w="1105" w:type="dxa"/>
          </w:tcPr>
          <w:p>
            <w:pPr>
              <w:spacing w:line="240" w:lineRule="auto"/>
              <w:jc w:val="both"/>
              <w:textAlignment w:val="baseline"/>
              <w:rPr>
                <w:rFonts w:ascii="Arial" w:hAnsi="Arial" w:eastAsia="MS Mincho" w:cs="Arial"/>
                <w:lang w:eastAsia="zh-CN"/>
              </w:rPr>
            </w:pPr>
            <w:r>
              <w:rPr>
                <w:rFonts w:ascii="Arial" w:hAnsi="Arial" w:eastAsia="MS Mincho" w:cs="Arial"/>
                <w:lang w:eastAsia="zh-CN"/>
              </w:rPr>
              <w:t>eMTC</w:t>
            </w:r>
          </w:p>
        </w:tc>
      </w:tr>
    </w:tbl>
    <w:p>
      <w:pPr>
        <w:overflowPunct/>
        <w:autoSpaceDE/>
        <w:autoSpaceDN/>
        <w:adjustRightInd/>
        <w:spacing w:after="0" w:line="240" w:lineRule="auto"/>
        <w:rPr>
          <w:rFonts w:ascii="Arial" w:hAnsi="Arial" w:eastAsia="PMingLiU" w:cs="Arial"/>
          <w:iCs/>
          <w:lang w:val="en-US"/>
        </w:rPr>
      </w:pPr>
    </w:p>
    <w:p>
      <w:pPr>
        <w:numPr>
          <w:ilvl w:val="0"/>
          <w:numId w:val="49"/>
        </w:numPr>
        <w:overflowPunct/>
        <w:autoSpaceDE/>
        <w:autoSpaceDN/>
        <w:adjustRightInd/>
        <w:spacing w:after="0" w:line="240" w:lineRule="auto"/>
        <w:textAlignment w:val="baseline"/>
        <w:rPr>
          <w:rFonts w:ascii="Arial" w:hAnsi="Arial" w:eastAsia="PMingLiU" w:cs="Arial"/>
          <w:bCs/>
          <w:iCs/>
          <w:lang w:val="en-US" w:eastAsia="en-US"/>
        </w:rPr>
      </w:pPr>
      <w:r>
        <w:rPr>
          <w:rFonts w:ascii="Arial" w:hAnsi="Arial" w:eastAsia="PMingLiU" w:cs="Arial"/>
          <w:bCs/>
          <w:iCs/>
          <w:lang w:val="en-US" w:eastAsia="en-US"/>
        </w:rPr>
        <w:t>RAN4 to further discuss whether and how to reduce the number of test cases</w:t>
      </w:r>
    </w:p>
    <w:p>
      <w:pPr>
        <w:rPr>
          <w:rFonts w:ascii="Arial" w:hAnsi="Arial" w:cs="Arial"/>
          <w:b/>
          <w:highlight w:val="lightGray"/>
          <w:lang w:eastAsia="en-US"/>
        </w:rPr>
      </w:pPr>
    </w:p>
    <w:p>
      <w:pPr>
        <w:pStyle w:val="9"/>
        <w:rPr>
          <w:rFonts w:cs="Arial"/>
          <w:u w:val="single"/>
          <w:lang w:eastAsia="en-US"/>
        </w:rPr>
      </w:pPr>
      <w:r>
        <w:rPr>
          <w:rFonts w:cs="Arial"/>
          <w:u w:val="single"/>
          <w:lang w:eastAsia="en-US"/>
        </w:rPr>
        <w:t>Performance part - Demod</w:t>
      </w:r>
    </w:p>
    <w:p>
      <w:pPr>
        <w:overflowPunct/>
        <w:autoSpaceDE/>
        <w:autoSpaceDN/>
        <w:adjustRightInd/>
        <w:spacing w:line="240" w:lineRule="auto"/>
        <w:rPr>
          <w:rFonts w:ascii="Arial" w:hAnsi="Arial" w:eastAsia="宋体" w:cs="Arial"/>
          <w:b/>
          <w:color w:val="000000"/>
          <w:u w:val="single"/>
          <w:lang w:eastAsia="ko-KR"/>
        </w:rPr>
      </w:pPr>
      <w:r>
        <w:rPr>
          <w:rFonts w:ascii="Arial" w:hAnsi="Arial" w:eastAsia="宋体" w:cs="Arial"/>
          <w:b/>
          <w:color w:val="000000"/>
          <w:u w:val="single"/>
          <w:lang w:eastAsia="ko-KR"/>
        </w:rPr>
        <w:t>Issue 1: Work plan</w:t>
      </w:r>
    </w:p>
    <w:p>
      <w:pPr>
        <w:numPr>
          <w:ilvl w:val="0"/>
          <w:numId w:val="52"/>
        </w:numPr>
        <w:overflowPunct/>
        <w:autoSpaceDE/>
        <w:autoSpaceDN/>
        <w:adjustRightInd/>
        <w:spacing w:after="120" w:line="240" w:lineRule="auto"/>
        <w:ind w:left="720"/>
        <w:rPr>
          <w:rFonts w:ascii="Arial" w:hAnsi="Arial" w:eastAsia="宋体" w:cs="Arial"/>
          <w:color w:val="000000"/>
          <w:szCs w:val="24"/>
          <w:lang w:eastAsia="zh-CN"/>
        </w:rPr>
      </w:pPr>
      <w:r>
        <w:rPr>
          <w:rFonts w:ascii="Arial" w:hAnsi="Arial" w:eastAsia="宋体" w:cs="Arial"/>
          <w:color w:val="000000"/>
          <w:szCs w:val="24"/>
          <w:lang w:eastAsia="zh-CN"/>
        </w:rPr>
        <w:t xml:space="preserve">Agreement: </w:t>
      </w:r>
    </w:p>
    <w:tbl>
      <w:tblPr>
        <w:tblStyle w:val="173"/>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7" w:type="dxa"/>
          </w:tcPr>
          <w:p>
            <w:pPr>
              <w:overflowPunct/>
              <w:autoSpaceDE/>
              <w:autoSpaceDN/>
              <w:adjustRightInd/>
              <w:spacing w:after="120" w:line="240" w:lineRule="auto"/>
              <w:rPr>
                <w:rFonts w:ascii="Arial" w:hAnsi="Arial" w:eastAsia="宋体" w:cs="Arial"/>
                <w:b/>
                <w:bCs/>
                <w:szCs w:val="24"/>
                <w:lang w:eastAsia="zh-CN"/>
              </w:rPr>
            </w:pPr>
            <w:r>
              <w:rPr>
                <w:rFonts w:ascii="Arial" w:hAnsi="Arial" w:eastAsia="宋体" w:cs="Arial"/>
                <w:b/>
                <w:bCs/>
                <w:szCs w:val="24"/>
                <w:lang w:eastAsia="zh-CN"/>
              </w:rPr>
              <w:t>UE Demodulation performance part (36.102)</w:t>
            </w:r>
          </w:p>
          <w:p>
            <w:pPr>
              <w:numPr>
                <w:ilvl w:val="0"/>
                <w:numId w:val="53"/>
              </w:numPr>
              <w:overflowPunct/>
              <w:autoSpaceDE/>
              <w:autoSpaceDN/>
              <w:adjustRightInd/>
              <w:snapToGrid w:val="0"/>
              <w:spacing w:before="120" w:beforeLines="50" w:after="120" w:afterLines="50" w:line="240" w:lineRule="auto"/>
              <w:ind w:left="620"/>
              <w:textAlignment w:val="baseline"/>
              <w:rPr>
                <w:rFonts w:ascii="Arial" w:hAnsi="Arial" w:eastAsia="宋体" w:cs="Arial"/>
                <w:b/>
                <w:szCs w:val="24"/>
                <w:u w:val="single"/>
                <w:lang w:eastAsia="zh-CN"/>
              </w:rPr>
            </w:pPr>
            <w:r>
              <w:rPr>
                <w:rFonts w:ascii="Arial" w:hAnsi="Arial" w:eastAsia="宋体" w:cs="Arial"/>
                <w:b/>
                <w:szCs w:val="24"/>
                <w:u w:val="single"/>
                <w:lang w:eastAsia="zh-CN"/>
              </w:rPr>
              <w:t>November, 2023 (RAN4#109)</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Approve the work plan.</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Discuss UE demodulation requirements for IoT-NTN enhancement.</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Discuss simulation assumptions.</w:t>
            </w:r>
          </w:p>
          <w:p>
            <w:pPr>
              <w:numPr>
                <w:ilvl w:val="0"/>
                <w:numId w:val="53"/>
              </w:numPr>
              <w:overflowPunct/>
              <w:autoSpaceDE/>
              <w:autoSpaceDN/>
              <w:adjustRightInd/>
              <w:snapToGrid w:val="0"/>
              <w:spacing w:before="120" w:beforeLines="50" w:after="120" w:afterLines="50" w:line="259" w:lineRule="auto"/>
              <w:ind w:left="620"/>
              <w:textAlignment w:val="baseline"/>
              <w:rPr>
                <w:rFonts w:ascii="Arial" w:hAnsi="Arial" w:eastAsia="宋体" w:cs="Arial"/>
                <w:b/>
                <w:szCs w:val="24"/>
                <w:u w:val="single"/>
                <w:lang w:eastAsia="zh-CN"/>
              </w:rPr>
            </w:pPr>
            <w:r>
              <w:rPr>
                <w:rFonts w:ascii="Arial" w:hAnsi="Arial" w:eastAsia="宋体" w:cs="Arial"/>
                <w:b/>
                <w:szCs w:val="24"/>
                <w:u w:val="single"/>
                <w:lang w:eastAsia="zh-CN"/>
              </w:rPr>
              <w:t>February 2024 (RAN4#110)</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Continue discussion on UE demodulation requirements for IoT-NTN enhancement.</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Agree on simulation assumptions.</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Discuss possible work split for the CR work, if needed.</w:t>
            </w:r>
          </w:p>
          <w:p>
            <w:pPr>
              <w:numPr>
                <w:ilvl w:val="0"/>
                <w:numId w:val="53"/>
              </w:numPr>
              <w:overflowPunct/>
              <w:autoSpaceDE/>
              <w:autoSpaceDN/>
              <w:adjustRightInd/>
              <w:snapToGrid w:val="0"/>
              <w:spacing w:before="120" w:beforeLines="50" w:after="120" w:afterLines="50" w:line="259" w:lineRule="auto"/>
              <w:ind w:left="620"/>
              <w:textAlignment w:val="baseline"/>
              <w:rPr>
                <w:rFonts w:ascii="Arial" w:hAnsi="Arial" w:eastAsia="宋体" w:cs="Arial"/>
                <w:b/>
                <w:szCs w:val="24"/>
                <w:u w:val="single"/>
                <w:lang w:eastAsia="zh-CN"/>
              </w:rPr>
            </w:pPr>
            <w:r>
              <w:rPr>
                <w:rFonts w:ascii="Arial" w:hAnsi="Arial" w:eastAsia="宋体" w:cs="Arial"/>
                <w:b/>
                <w:szCs w:val="24"/>
                <w:u w:val="single"/>
                <w:lang w:eastAsia="zh-CN"/>
              </w:rPr>
              <w:t>April 2024 (RAN4#110bis)</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Collect the simulation results.</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Provide CR/Draft CR based on work split and discuss CRs/Draft CRs.</w:t>
            </w:r>
          </w:p>
          <w:p>
            <w:pPr>
              <w:numPr>
                <w:ilvl w:val="0"/>
                <w:numId w:val="53"/>
              </w:numPr>
              <w:overflowPunct/>
              <w:autoSpaceDE/>
              <w:autoSpaceDN/>
              <w:adjustRightInd/>
              <w:snapToGrid w:val="0"/>
              <w:spacing w:before="120" w:beforeLines="50" w:after="120" w:afterLines="50" w:line="259" w:lineRule="auto"/>
              <w:ind w:left="620"/>
              <w:textAlignment w:val="baseline"/>
              <w:rPr>
                <w:rFonts w:ascii="Arial" w:hAnsi="Arial" w:eastAsia="宋体" w:cs="Arial"/>
                <w:b/>
                <w:szCs w:val="24"/>
                <w:u w:val="single"/>
                <w:lang w:eastAsia="zh-CN"/>
              </w:rPr>
            </w:pPr>
            <w:r>
              <w:rPr>
                <w:rFonts w:ascii="Arial" w:hAnsi="Arial" w:eastAsia="宋体" w:cs="Arial"/>
                <w:b/>
                <w:szCs w:val="24"/>
                <w:u w:val="single"/>
                <w:lang w:eastAsia="zh-CN"/>
              </w:rPr>
              <w:t>May 2024 (RAN4#111)</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Update simulation assumptions if necessary.</w:t>
            </w:r>
          </w:p>
          <w:p>
            <w:pPr>
              <w:numPr>
                <w:ilvl w:val="1"/>
                <w:numId w:val="54"/>
              </w:numPr>
              <w:overflowPunct/>
              <w:autoSpaceDE/>
              <w:autoSpaceDN/>
              <w:adjustRightInd/>
              <w:spacing w:line="259" w:lineRule="auto"/>
              <w:ind w:left="980"/>
              <w:contextualSpacing/>
              <w:rPr>
                <w:rFonts w:ascii="Arial" w:hAnsi="Arial" w:eastAsia="宋体" w:cs="Arial"/>
                <w:lang w:eastAsia="zh-CN"/>
              </w:rPr>
            </w:pPr>
            <w:r>
              <w:rPr>
                <w:rFonts w:ascii="Arial" w:hAnsi="Arial" w:eastAsia="宋体" w:cs="Arial"/>
                <w:lang w:eastAsia="zh-CN"/>
              </w:rPr>
              <w:t>Finalize CRs and close the performance part.</w:t>
            </w:r>
          </w:p>
        </w:tc>
      </w:tr>
    </w:tbl>
    <w:p>
      <w:pPr>
        <w:overflowPunct/>
        <w:autoSpaceDE/>
        <w:autoSpaceDN/>
        <w:adjustRightInd/>
        <w:spacing w:line="240" w:lineRule="auto"/>
        <w:rPr>
          <w:rFonts w:ascii="Arial" w:hAnsi="Arial" w:eastAsia="宋体" w:cs="Arial"/>
          <w:b/>
          <w:u w:val="single"/>
          <w:lang w:eastAsia="ko-KR"/>
        </w:rPr>
      </w:pPr>
    </w:p>
    <w:p>
      <w:pPr>
        <w:overflowPunct/>
        <w:autoSpaceDE/>
        <w:autoSpaceDN/>
        <w:adjustRightInd/>
        <w:spacing w:line="240" w:lineRule="auto"/>
        <w:rPr>
          <w:rFonts w:ascii="Arial" w:hAnsi="Arial" w:eastAsia="PMingLiU" w:cs="Arial"/>
          <w:b/>
          <w:u w:val="single"/>
        </w:rPr>
      </w:pPr>
      <w:r>
        <w:rPr>
          <w:rFonts w:ascii="Arial" w:hAnsi="Arial" w:eastAsia="宋体" w:cs="Arial"/>
          <w:b/>
          <w:u w:val="single"/>
          <w:lang w:eastAsia="ko-KR"/>
        </w:rPr>
        <w:t>Issu</w:t>
      </w:r>
      <w:r>
        <w:rPr>
          <w:rFonts w:ascii="Arial" w:hAnsi="Arial" w:eastAsia="PMingLiU" w:cs="Arial"/>
          <w:b/>
          <w:u w:val="single"/>
        </w:rPr>
        <w:t>e 2-1: Whether to define PDSCH requirements with HARQ disabled?</w:t>
      </w:r>
    </w:p>
    <w:p>
      <w:pPr>
        <w:numPr>
          <w:ilvl w:val="0"/>
          <w:numId w:val="52"/>
        </w:numPr>
        <w:overflowPunct/>
        <w:autoSpaceDE/>
        <w:autoSpaceDN/>
        <w:adjustRightInd/>
        <w:spacing w:after="120" w:line="240" w:lineRule="auto"/>
        <w:ind w:left="720"/>
        <w:rPr>
          <w:rFonts w:ascii="Arial" w:hAnsi="Arial" w:eastAsia="宋体" w:cs="Arial"/>
          <w:color w:val="000000"/>
          <w:szCs w:val="24"/>
          <w:lang w:eastAsia="zh-CN"/>
        </w:rPr>
      </w:pPr>
      <w:r>
        <w:rPr>
          <w:rFonts w:ascii="Arial" w:hAnsi="Arial" w:eastAsia="宋体" w:cs="Arial"/>
          <w:color w:val="000000"/>
          <w:szCs w:val="24"/>
          <w:lang w:eastAsia="zh-CN"/>
        </w:rPr>
        <w:t>Agreement:</w:t>
      </w:r>
    </w:p>
    <w:p>
      <w:pPr>
        <w:numPr>
          <w:ilvl w:val="1"/>
          <w:numId w:val="52"/>
        </w:numPr>
        <w:overflowPunct/>
        <w:autoSpaceDE/>
        <w:autoSpaceDN/>
        <w:adjustRightInd/>
        <w:spacing w:after="120" w:line="240" w:lineRule="auto"/>
        <w:rPr>
          <w:rFonts w:ascii="Arial" w:hAnsi="Arial" w:eastAsia="宋体" w:cs="Arial"/>
          <w:color w:val="000000"/>
          <w:szCs w:val="24"/>
          <w:lang w:eastAsia="zh-CN"/>
        </w:rPr>
      </w:pPr>
      <w:r>
        <w:rPr>
          <w:rFonts w:ascii="Arial" w:hAnsi="Arial" w:eastAsia="PMingLiU" w:cs="Arial"/>
          <w:color w:val="000000"/>
          <w:szCs w:val="24"/>
        </w:rPr>
        <w:t>Continue the discussion in the next meeting.</w:t>
      </w:r>
    </w:p>
    <w:p>
      <w:pPr>
        <w:rPr>
          <w:rFonts w:ascii="Arial" w:hAnsi="Arial" w:cs="Arial"/>
          <w:highlight w:val="lightGray"/>
          <w:shd w:val="pct10" w:color="auto" w:fill="FFFFFF"/>
        </w:rPr>
      </w:pPr>
    </w:p>
    <w:p>
      <w:pPr>
        <w:overflowPunct/>
        <w:autoSpaceDE/>
        <w:autoSpaceDN/>
        <w:adjustRightInd/>
        <w:spacing w:line="240" w:lineRule="auto"/>
        <w:rPr>
          <w:rFonts w:ascii="Arial" w:hAnsi="Arial" w:eastAsia="PMingLiU" w:cs="Arial"/>
          <w:b/>
          <w:u w:val="single"/>
        </w:rPr>
      </w:pPr>
      <w:r>
        <w:rPr>
          <w:rFonts w:ascii="Arial" w:hAnsi="Arial" w:eastAsia="宋体" w:cs="Arial"/>
          <w:b/>
          <w:u w:val="single"/>
          <w:lang w:eastAsia="ko-KR"/>
        </w:rPr>
        <w:t>Issu</w:t>
      </w:r>
      <w:r>
        <w:rPr>
          <w:rFonts w:ascii="Arial" w:hAnsi="Arial" w:eastAsia="PMingLiU" w:cs="Arial"/>
          <w:b/>
          <w:u w:val="single"/>
        </w:rPr>
        <w:t>e 3-1: Whether to define PUSCH requirements with HARQ disabled</w:t>
      </w:r>
    </w:p>
    <w:p>
      <w:pPr>
        <w:numPr>
          <w:ilvl w:val="0"/>
          <w:numId w:val="52"/>
        </w:numPr>
        <w:overflowPunct/>
        <w:autoSpaceDE/>
        <w:autoSpaceDN/>
        <w:adjustRightInd/>
        <w:spacing w:after="120" w:line="240" w:lineRule="auto"/>
        <w:ind w:left="720"/>
        <w:rPr>
          <w:rFonts w:ascii="Arial" w:hAnsi="Arial" w:eastAsia="宋体" w:cs="Arial"/>
          <w:color w:val="000000"/>
          <w:szCs w:val="24"/>
          <w:lang w:eastAsia="zh-CN"/>
        </w:rPr>
      </w:pPr>
      <w:r>
        <w:rPr>
          <w:rFonts w:ascii="Arial" w:hAnsi="Arial" w:eastAsia="宋体" w:cs="Arial"/>
          <w:color w:val="000000"/>
          <w:szCs w:val="24"/>
          <w:lang w:eastAsia="zh-CN"/>
        </w:rPr>
        <w:t xml:space="preserve">Agreement: </w:t>
      </w:r>
    </w:p>
    <w:p>
      <w:pPr>
        <w:numPr>
          <w:ilvl w:val="1"/>
          <w:numId w:val="52"/>
        </w:numPr>
        <w:overflowPunct/>
        <w:autoSpaceDE/>
        <w:autoSpaceDN/>
        <w:adjustRightInd/>
        <w:spacing w:after="120" w:line="240" w:lineRule="auto"/>
        <w:rPr>
          <w:rFonts w:ascii="Arial" w:hAnsi="Arial" w:eastAsia="宋体" w:cs="Arial"/>
          <w:color w:val="000000"/>
          <w:szCs w:val="24"/>
          <w:lang w:eastAsia="zh-CN"/>
        </w:rPr>
      </w:pPr>
      <w:r>
        <w:rPr>
          <w:rFonts w:ascii="Arial" w:hAnsi="Arial" w:eastAsia="宋体" w:cs="Arial"/>
          <w:color w:val="000000"/>
          <w:szCs w:val="24"/>
          <w:lang w:eastAsia="zh-CN"/>
        </w:rPr>
        <w:t>Do not define PUSCH requirements with HARQ disabled.</w:t>
      </w:r>
    </w:p>
    <w:p>
      <w:pPr>
        <w:rPr>
          <w:rFonts w:ascii="Arial" w:hAnsi="Arial" w:cs="Arial"/>
          <w:highlight w:val="lightGray"/>
          <w:shd w:val="pct10" w:color="auto" w:fill="FFFFFF"/>
        </w:rPr>
      </w:pPr>
    </w:p>
    <w:p>
      <w:pPr>
        <w:rPr>
          <w:rFonts w:ascii="Arial" w:hAnsi="Arial" w:cs="Arial"/>
          <w:shd w:val="pct10" w:color="auto" w:fill="FFFFFF"/>
        </w:rPr>
      </w:pPr>
    </w:p>
    <w:p>
      <w:pPr>
        <w:pStyle w:val="5"/>
        <w:keepNext w:val="0"/>
        <w:rPr>
          <w:lang w:eastAsia="ja-JP"/>
        </w:rPr>
      </w:pPr>
      <w:r>
        <w:rPr>
          <w:lang w:eastAsia="ja-JP"/>
        </w:rPr>
        <w:t>2.4.2</w:t>
      </w:r>
      <w:r>
        <w:rPr>
          <w:lang w:eastAsia="ja-JP"/>
        </w:rPr>
        <w:tab/>
      </w:r>
      <w:r>
        <w:rPr>
          <w:lang w:eastAsia="ja-JP"/>
        </w:rPr>
        <w:t xml:space="preserve">Remaining Open issues: </w:t>
      </w:r>
    </w:p>
    <w:p>
      <w:pPr>
        <w:rPr>
          <w:rFonts w:ascii="Arial" w:hAnsi="Arial" w:cs="Arial"/>
          <w:u w:val="single"/>
          <w:lang w:val="en-US" w:eastAsia="en-US"/>
        </w:rPr>
      </w:pPr>
      <w:r>
        <w:rPr>
          <w:rFonts w:ascii="Arial" w:hAnsi="Arial" w:cs="Arial"/>
          <w:u w:val="single"/>
          <w:lang w:val="en-US" w:eastAsia="en-US"/>
        </w:rPr>
        <w:t>Core Part</w:t>
      </w:r>
    </w:p>
    <w:p>
      <w:pPr>
        <w:widowControl w:val="0"/>
        <w:overflowPunct/>
        <w:autoSpaceDE/>
        <w:autoSpaceDN/>
        <w:adjustRightInd/>
        <w:spacing w:after="0" w:line="259" w:lineRule="auto"/>
        <w:jc w:val="both"/>
        <w:rPr>
          <w:rFonts w:ascii="Arial" w:hAnsi="Arial" w:cs="Arial"/>
          <w:lang w:eastAsia="ja-JP"/>
        </w:rPr>
      </w:pPr>
      <w:r>
        <w:rPr>
          <w:rFonts w:ascii="Arial" w:hAnsi="Arial" w:eastAsia="Yu Mincho" w:cs="Arial"/>
          <w:szCs w:val="21"/>
        </w:rPr>
        <w:t>All WI RAN4 objectives are completed, no critical outstanding issues. Any further proposed clarifications will be discussed as part of maintenance activity.</w:t>
      </w:r>
    </w:p>
    <w:p>
      <w:pPr>
        <w:rPr>
          <w:rFonts w:ascii="Arial" w:hAnsi="Arial" w:cs="Arial"/>
          <w:iCs/>
          <w:color w:val="FF0000"/>
          <w:lang w:val="en-US"/>
        </w:rPr>
      </w:pPr>
    </w:p>
    <w:p>
      <w:pPr>
        <w:rPr>
          <w:rFonts w:ascii="Arial" w:hAnsi="Arial" w:cs="Arial"/>
          <w:u w:val="single"/>
          <w:lang w:val="en-US" w:eastAsia="en-US"/>
        </w:rPr>
      </w:pPr>
      <w:r>
        <w:rPr>
          <w:rFonts w:ascii="Arial" w:hAnsi="Arial" w:cs="Arial"/>
          <w:u w:val="single"/>
          <w:lang w:val="en-US" w:eastAsia="en-US"/>
        </w:rPr>
        <w:t>Performance Part</w:t>
      </w:r>
    </w:p>
    <w:p>
      <w:pPr>
        <w:rPr>
          <w:rFonts w:ascii="Arial" w:hAnsi="Arial" w:cs="Arial"/>
          <w:lang w:eastAsia="ja-JP"/>
        </w:rPr>
      </w:pPr>
      <w:r>
        <w:rPr>
          <w:rFonts w:ascii="Arial" w:hAnsi="Arial" w:cs="Arial"/>
          <w:lang w:eastAsia="ja-JP"/>
        </w:rPr>
        <w:t xml:space="preserve">Work on Performance requirements for RRM and Demod if agreed. </w:t>
      </w:r>
    </w:p>
    <w:p>
      <w:pPr>
        <w:rPr>
          <w:rFonts w:ascii="Arial" w:hAnsi="Arial" w:cs="Arial"/>
          <w:iCs/>
          <w:color w:val="FF0000"/>
        </w:rPr>
      </w:pPr>
    </w:p>
    <w:p>
      <w:pPr>
        <w:pStyle w:val="3"/>
      </w:pPr>
      <w:r>
        <w:t>4.</w:t>
      </w:r>
      <w:r>
        <w:tab/>
      </w:r>
      <w:r>
        <w:t>References</w:t>
      </w:r>
    </w:p>
    <w:p>
      <w:pPr>
        <w:pStyle w:val="70"/>
        <w:rPr>
          <w:rFonts w:ascii="Arial" w:hAnsi="Arial" w:cs="Arial"/>
          <w:iCs/>
          <w:color w:val="FF0000"/>
        </w:rPr>
      </w:pPr>
      <w:r>
        <w:rPr>
          <w:rFonts w:ascii="Arial" w:hAnsi="Arial" w:cs="Arial"/>
          <w:iCs/>
          <w:color w:val="FF0000"/>
        </w:rPr>
        <w:t>NOTE:</w:t>
      </w:r>
      <w:r>
        <w:rPr>
          <w:rFonts w:ascii="Arial" w:hAnsi="Arial" w:cs="Arial"/>
          <w:iCs/>
          <w:color w:val="FF0000"/>
        </w:rPr>
        <w:tab/>
      </w:r>
      <w:r>
        <w:rPr>
          <w:rFonts w:ascii="Arial" w:hAnsi="Arial" w:cs="Arial"/>
          <w:iCs/>
          <w:color w:val="FF0000"/>
        </w:rPr>
        <w:t>This can be e.g. a list of all related Tdocs in the affected WGs since last TSG, references to LSs, produced TRs/TSs, the work/study item description or status reports of previous TSGs.</w:t>
      </w:r>
    </w:p>
    <w:p>
      <w:pPr>
        <w:pStyle w:val="3"/>
        <w:rPr>
          <w:lang w:eastAsia="ja-JP"/>
        </w:rPr>
      </w:pPr>
      <w:r>
        <w:rPr>
          <w:lang w:eastAsia="ja-JP"/>
        </w:rPr>
        <w:t>4.1</w:t>
      </w:r>
      <w:r>
        <w:rPr>
          <w:lang w:eastAsia="ja-JP"/>
        </w:rPr>
        <w:tab/>
      </w:r>
      <w:r>
        <w:rPr>
          <w:lang w:eastAsia="ja-JP"/>
        </w:rPr>
        <w:t>RAN1</w:t>
      </w:r>
    </w:p>
    <w:p>
      <w:pPr>
        <w:rPr>
          <w:rFonts w:ascii="Arial" w:hAnsi="Arial" w:cs="Arial"/>
          <w:b/>
          <w:lang w:eastAsia="en-US"/>
        </w:rPr>
      </w:pPr>
      <w:r>
        <w:rPr>
          <w:rFonts w:ascii="Arial" w:hAnsi="Arial" w:cs="Arial"/>
          <w:b/>
          <w:lang w:eastAsia="en-US"/>
        </w:rPr>
        <w:t>RAN1#114-bis,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pPr>
        <w:tabs>
          <w:tab w:val="left" w:pos="567"/>
        </w:tabs>
        <w:snapToGrid w:val="0"/>
        <w:rPr>
          <w:rFonts w:ascii="Arial" w:hAnsi="Arial" w:cs="Arial"/>
          <w:bCs/>
          <w:u w:val="single"/>
        </w:rPr>
      </w:pPr>
      <w:r>
        <w:rPr>
          <w:rFonts w:ascii="Arial" w:hAnsi="Arial" w:cs="Arial"/>
          <w:bCs/>
          <w:u w:val="single"/>
        </w:rPr>
        <w:t xml:space="preserve">Submitted TDocs to AI </w:t>
      </w:r>
      <w:r>
        <w:rPr>
          <w:rFonts w:hint="eastAsia" w:ascii="Arial" w:hAnsi="Arial" w:cs="Arial"/>
          <w:bCs/>
          <w:u w:val="single"/>
        </w:rPr>
        <w:t>8</w:t>
      </w:r>
      <w:r>
        <w:rPr>
          <w:rFonts w:ascii="Arial" w:hAnsi="Arial" w:cs="Arial"/>
          <w:bCs/>
          <w:u w:val="single"/>
        </w:rPr>
        <w:t>.</w:t>
      </w:r>
      <w:r>
        <w:rPr>
          <w:rFonts w:hint="eastAsia" w:ascii="Arial" w:hAnsi="Arial" w:cs="Arial"/>
          <w:bCs/>
          <w:u w:val="single"/>
        </w:rPr>
        <w:t>13</w:t>
      </w:r>
      <w:r>
        <w:rPr>
          <w:rFonts w:ascii="Arial" w:hAnsi="Arial" w:cs="Arial"/>
          <w:bCs/>
          <w:u w:val="single"/>
        </w:rPr>
        <w:t>.3</w:t>
      </w:r>
    </w:p>
    <w:p>
      <w:pPr>
        <w:pStyle w:val="128"/>
        <w:numPr>
          <w:ilvl w:val="0"/>
          <w:numId w:val="55"/>
        </w:numPr>
      </w:pPr>
      <w:r>
        <w:t>R1-230</w:t>
      </w:r>
      <w:r>
        <w:rPr>
          <w:rFonts w:hint="eastAsia"/>
        </w:rPr>
        <w:t>8911</w:t>
      </w:r>
      <w:r>
        <w:tab/>
      </w:r>
      <w:r>
        <w:t>Maintenance of disabling of HARQ feedback for IoT NTN</w:t>
      </w:r>
      <w:r>
        <w:tab/>
      </w:r>
      <w:r>
        <w:t>Huawei, HiSilicon</w:t>
      </w:r>
    </w:p>
    <w:p>
      <w:pPr>
        <w:pStyle w:val="128"/>
        <w:numPr>
          <w:ilvl w:val="0"/>
          <w:numId w:val="55"/>
        </w:numPr>
        <w:rPr>
          <w:lang w:eastAsia="zh-CN"/>
        </w:rPr>
      </w:pPr>
      <w:r>
        <w:t>R1-</w:t>
      </w:r>
      <w:r>
        <w:rPr>
          <w:lang w:eastAsia="zh-CN"/>
        </w:rPr>
        <w:t>230</w:t>
      </w:r>
      <w:r>
        <w:rPr>
          <w:rFonts w:hint="eastAsia"/>
          <w:lang w:eastAsia="zh-CN"/>
        </w:rPr>
        <w:t>9000</w:t>
      </w:r>
      <w:r>
        <w:rPr>
          <w:lang w:eastAsia="zh-CN"/>
        </w:rPr>
        <w:tab/>
      </w:r>
      <w:r>
        <w:rPr>
          <w:lang w:eastAsia="zh-CN"/>
        </w:rPr>
        <w:t>Remaining issues on disabling of HARQ feedback for IoT NTN</w:t>
      </w:r>
      <w:r>
        <w:rPr>
          <w:lang w:eastAsia="zh-CN"/>
        </w:rPr>
        <w:tab/>
      </w:r>
      <w:r>
        <w:rPr>
          <w:lang w:eastAsia="zh-CN"/>
        </w:rPr>
        <w:t>Spreadtrum Communications</w:t>
      </w:r>
    </w:p>
    <w:p>
      <w:pPr>
        <w:pStyle w:val="128"/>
        <w:numPr>
          <w:ilvl w:val="0"/>
          <w:numId w:val="55"/>
        </w:numPr>
        <w:rPr>
          <w:lang w:eastAsia="zh-CN"/>
        </w:rPr>
      </w:pPr>
      <w:r>
        <w:rPr>
          <w:lang w:eastAsia="zh-CN"/>
        </w:rPr>
        <w:t>R1-230</w:t>
      </w:r>
      <w:r>
        <w:rPr>
          <w:rFonts w:hint="eastAsia"/>
          <w:lang w:eastAsia="zh-CN"/>
        </w:rPr>
        <w:t>9172</w:t>
      </w:r>
      <w:r>
        <w:rPr>
          <w:lang w:eastAsia="zh-CN"/>
        </w:rPr>
        <w:tab/>
      </w:r>
      <w:r>
        <w:rPr>
          <w:lang w:eastAsia="zh-CN"/>
        </w:rPr>
        <w:t>Remaining issue on disabling of HARQ feedback</w:t>
      </w:r>
      <w:r>
        <w:rPr>
          <w:lang w:eastAsia="zh-CN"/>
        </w:rPr>
        <w:tab/>
      </w:r>
      <w:r>
        <w:rPr>
          <w:lang w:eastAsia="zh-CN"/>
        </w:rPr>
        <w:t>ZTE</w:t>
      </w:r>
    </w:p>
    <w:p>
      <w:pPr>
        <w:pStyle w:val="128"/>
        <w:numPr>
          <w:ilvl w:val="0"/>
          <w:numId w:val="55"/>
        </w:numPr>
      </w:pPr>
      <w:r>
        <w:rPr>
          <w:lang w:eastAsia="zh-CN"/>
        </w:rPr>
        <w:t>R1-230</w:t>
      </w:r>
      <w:r>
        <w:rPr>
          <w:rFonts w:hint="eastAsia"/>
          <w:lang w:eastAsia="zh-CN"/>
        </w:rPr>
        <w:t>9280</w:t>
      </w:r>
      <w:r>
        <w:rPr>
          <w:lang w:eastAsia="zh-CN"/>
        </w:rPr>
        <w:tab/>
      </w:r>
      <w:r>
        <w:rPr>
          <w:lang w:eastAsia="zh-CN"/>
        </w:rPr>
        <w:t>Disabling of H</w:t>
      </w:r>
      <w:r>
        <w:t>ARQ feedback for IoT NTN</w:t>
      </w:r>
      <w:r>
        <w:tab/>
      </w:r>
      <w:r>
        <w:t>NEC</w:t>
      </w:r>
    </w:p>
    <w:p>
      <w:pPr>
        <w:pStyle w:val="128"/>
        <w:numPr>
          <w:ilvl w:val="0"/>
          <w:numId w:val="55"/>
        </w:numPr>
      </w:pPr>
      <w:r>
        <w:t>R1-2309600</w:t>
      </w:r>
      <w:r>
        <w:tab/>
      </w:r>
      <w:r>
        <w:t>Discussion on remaining issue on disabling of HARQ feedback for IoT NTN</w:t>
      </w:r>
      <w:r>
        <w:tab/>
      </w:r>
      <w:r>
        <w:t>OPPO</w:t>
      </w:r>
    </w:p>
    <w:p>
      <w:pPr>
        <w:pStyle w:val="128"/>
        <w:numPr>
          <w:ilvl w:val="0"/>
          <w:numId w:val="55"/>
        </w:numPr>
      </w:pPr>
      <w:r>
        <w:t>R1-2309651</w:t>
      </w:r>
      <w:r>
        <w:tab/>
      </w:r>
      <w:r>
        <w:t>Maintenance on disabling of HARQ feedback for IoT NTN</w:t>
      </w:r>
      <w:r>
        <w:tab/>
      </w:r>
      <w:r>
        <w:t>Nokia, Nokia Shanghai Bell</w:t>
      </w:r>
    </w:p>
    <w:p>
      <w:pPr>
        <w:pStyle w:val="128"/>
        <w:numPr>
          <w:ilvl w:val="0"/>
          <w:numId w:val="55"/>
        </w:numPr>
      </w:pPr>
      <w:r>
        <w:t>R1-2309794</w:t>
      </w:r>
      <w:r>
        <w:tab/>
      </w:r>
      <w:r>
        <w:rPr>
          <w:lang w:eastAsia="zh-CN"/>
        </w:rPr>
        <w:t>Disabling of HARQ feedback for IoT NTN</w:t>
      </w:r>
      <w:r>
        <w:tab/>
      </w:r>
      <w:r>
        <w:t>Lenovo</w:t>
      </w:r>
    </w:p>
    <w:p>
      <w:pPr>
        <w:pStyle w:val="128"/>
        <w:numPr>
          <w:ilvl w:val="0"/>
          <w:numId w:val="55"/>
        </w:numPr>
      </w:pPr>
      <w:r>
        <w:t>R1-2309852</w:t>
      </w:r>
      <w:r>
        <w:tab/>
      </w:r>
      <w:r>
        <w:t>On Higher Layer Signaling for HARQ Feedback Disabling for IoT NTN</w:t>
      </w:r>
      <w:r>
        <w:tab/>
      </w:r>
      <w:r>
        <w:t>Apple</w:t>
      </w:r>
    </w:p>
    <w:p>
      <w:pPr>
        <w:pStyle w:val="128"/>
        <w:numPr>
          <w:ilvl w:val="0"/>
          <w:numId w:val="55"/>
        </w:numPr>
      </w:pPr>
      <w:r>
        <w:t>R1-2309888</w:t>
      </w:r>
      <w:r>
        <w:tab/>
      </w:r>
      <w:r>
        <w:t>Maintenance on disabling HARQ feedback for IoT NTN</w:t>
      </w:r>
      <w:r>
        <w:tab/>
      </w:r>
      <w:r>
        <w:t>Ericsson</w:t>
      </w:r>
    </w:p>
    <w:p>
      <w:pPr>
        <w:pStyle w:val="128"/>
        <w:numPr>
          <w:ilvl w:val="0"/>
          <w:numId w:val="55"/>
        </w:numPr>
      </w:pPr>
      <w:r>
        <w:t>R1-2309979</w:t>
      </w:r>
      <w:r>
        <w:tab/>
      </w:r>
      <w:r>
        <w:rPr>
          <w:lang w:eastAsia="zh-CN"/>
        </w:rPr>
        <w:t>Remaining issues on disabling of HARQ for IoT NTN</w:t>
      </w:r>
      <w:r>
        <w:tab/>
      </w:r>
      <w:r>
        <w:t>MediaTek Inc.</w:t>
      </w:r>
    </w:p>
    <w:p>
      <w:pPr>
        <w:pStyle w:val="128"/>
        <w:numPr>
          <w:ilvl w:val="0"/>
          <w:numId w:val="55"/>
        </w:numPr>
      </w:pPr>
      <w:r>
        <w:t>R1-2310161</w:t>
      </w:r>
      <w:r>
        <w:tab/>
      </w:r>
      <w:r>
        <w:t>Disabling HARQ Feedback for IoT-NTN</w:t>
      </w:r>
      <w:r>
        <w:tab/>
      </w:r>
      <w:r>
        <w:t>Qualcomm Incorporated</w:t>
      </w:r>
    </w:p>
    <w:p>
      <w:pPr>
        <w:pStyle w:val="128"/>
        <w:numPr>
          <w:ilvl w:val="0"/>
          <w:numId w:val="55"/>
        </w:numPr>
      </w:pPr>
      <w:r>
        <w:t>R1-2310356</w:t>
      </w:r>
      <w:r>
        <w:tab/>
      </w:r>
      <w:r>
        <w:t>FLS#1 on disabling of HARQ feedback for IoT NTN</w:t>
      </w:r>
      <w:r>
        <w:tab/>
      </w:r>
      <w:r>
        <w:tab/>
      </w:r>
      <w:r>
        <w:t>Moderator (Lenovo)</w:t>
      </w:r>
    </w:p>
    <w:p>
      <w:pPr>
        <w:pStyle w:val="128"/>
        <w:numPr>
          <w:ilvl w:val="0"/>
          <w:numId w:val="55"/>
        </w:numPr>
      </w:pPr>
      <w:r>
        <w:t>R1-2310615</w:t>
      </w:r>
      <w:r>
        <w:tab/>
      </w:r>
      <w:r>
        <w:t>FLS#2 on disabling of HARQ feedback for IoT NTN</w:t>
      </w:r>
      <w:r>
        <w:tab/>
      </w:r>
      <w:r>
        <w:tab/>
      </w:r>
      <w:r>
        <w:t>Moderator (Lenovo)</w:t>
      </w:r>
    </w:p>
    <w:p>
      <w:pPr>
        <w:rPr>
          <w:rStyle w:val="157"/>
          <w:rFonts w:eastAsia="PMingLiU"/>
        </w:rPr>
      </w:pPr>
    </w:p>
    <w:p>
      <w:pPr>
        <w:tabs>
          <w:tab w:val="left" w:pos="567"/>
        </w:tabs>
        <w:snapToGrid w:val="0"/>
        <w:rPr>
          <w:rFonts w:ascii="Arial" w:hAnsi="Arial" w:cs="Arial"/>
          <w:bCs/>
          <w:u w:val="single"/>
        </w:rPr>
      </w:pPr>
      <w:r>
        <w:rPr>
          <w:rFonts w:ascii="Arial" w:hAnsi="Arial" w:cs="Arial"/>
          <w:bCs/>
          <w:u w:val="single"/>
        </w:rPr>
        <w:t>Submitted TDocs to AI 8.13.4</w:t>
      </w:r>
    </w:p>
    <w:p>
      <w:pPr>
        <w:pStyle w:val="128"/>
        <w:numPr>
          <w:ilvl w:val="0"/>
          <w:numId w:val="55"/>
        </w:numPr>
      </w:pPr>
      <w:r>
        <w:t>R1-2308912</w:t>
      </w:r>
      <w:r>
        <w:tab/>
      </w:r>
      <w:r>
        <w:t>Maintenance of improved GNSS operations for IoT NTN</w:t>
      </w:r>
      <w:r>
        <w:tab/>
      </w:r>
      <w:r>
        <w:t>Huawei, HiSilicon</w:t>
      </w:r>
    </w:p>
    <w:p>
      <w:pPr>
        <w:pStyle w:val="128"/>
        <w:numPr>
          <w:ilvl w:val="0"/>
          <w:numId w:val="55"/>
        </w:numPr>
      </w:pPr>
      <w:r>
        <w:t>R1-2309001</w:t>
      </w:r>
      <w:r>
        <w:tab/>
      </w:r>
      <w:r>
        <w:t>Remaining issues on improved GNSS operations for IoT NTN</w:t>
      </w:r>
      <w:r>
        <w:tab/>
      </w:r>
      <w:r>
        <w:t>Spreadtrum Communications</w:t>
      </w:r>
    </w:p>
    <w:p>
      <w:pPr>
        <w:pStyle w:val="128"/>
        <w:numPr>
          <w:ilvl w:val="0"/>
          <w:numId w:val="55"/>
        </w:numPr>
      </w:pPr>
      <w:r>
        <w:t>R1-2309152</w:t>
      </w:r>
      <w:r>
        <w:tab/>
      </w:r>
      <w:r>
        <w:rPr>
          <w:lang w:eastAsia="zh-CN"/>
        </w:rPr>
        <w:t>Remaining issue on improved GNSS operation</w:t>
      </w:r>
      <w:r>
        <w:tab/>
      </w:r>
      <w:r>
        <w:t>ZTE</w:t>
      </w:r>
    </w:p>
    <w:p>
      <w:pPr>
        <w:pStyle w:val="128"/>
        <w:numPr>
          <w:ilvl w:val="0"/>
          <w:numId w:val="55"/>
        </w:numPr>
      </w:pPr>
      <w:r>
        <w:t>R1-2309395</w:t>
      </w:r>
      <w:r>
        <w:tab/>
      </w:r>
      <w:r>
        <w:rPr>
          <w:lang w:eastAsia="zh-CN"/>
        </w:rPr>
        <w:t>Remaining issues on improved GNSS operations for IoT NTN</w:t>
      </w:r>
      <w:r>
        <w:tab/>
      </w:r>
      <w:r>
        <w:t>Samsung</w:t>
      </w:r>
    </w:p>
    <w:p>
      <w:pPr>
        <w:pStyle w:val="128"/>
        <w:numPr>
          <w:ilvl w:val="0"/>
          <w:numId w:val="55"/>
        </w:numPr>
      </w:pPr>
      <w:r>
        <w:t>R1-2309436</w:t>
      </w:r>
      <w:r>
        <w:tab/>
      </w:r>
      <w:r>
        <w:t>Discussion on the remaining issues for the improved GNSS operation for IoT NTN</w:t>
      </w:r>
      <w:r>
        <w:tab/>
      </w:r>
      <w:r>
        <w:t>xiaomi</w:t>
      </w:r>
    </w:p>
    <w:p>
      <w:pPr>
        <w:pStyle w:val="128"/>
        <w:numPr>
          <w:ilvl w:val="0"/>
          <w:numId w:val="55"/>
        </w:numPr>
      </w:pPr>
      <w:r>
        <w:t>R1-2309506</w:t>
      </w:r>
      <w:r>
        <w:tab/>
      </w:r>
      <w:r>
        <w:t>Discussion on remaining issues of improved GNSS operations for IoT NTN</w:t>
      </w:r>
      <w:r>
        <w:tab/>
      </w:r>
      <w:r>
        <w:t>CATT</w:t>
      </w:r>
    </w:p>
    <w:p>
      <w:pPr>
        <w:pStyle w:val="128"/>
        <w:numPr>
          <w:ilvl w:val="0"/>
          <w:numId w:val="55"/>
        </w:numPr>
      </w:pPr>
      <w:r>
        <w:t>R1-2309601</w:t>
      </w:r>
      <w:r>
        <w:tab/>
      </w:r>
      <w:r>
        <w:rPr>
          <w:lang w:eastAsia="zh-CN"/>
        </w:rPr>
        <w:t>Discussion on remaining issue for improved GNSS operation for IoT NTN</w:t>
      </w:r>
      <w:r>
        <w:tab/>
      </w:r>
      <w:r>
        <w:t>OPPO</w:t>
      </w:r>
    </w:p>
    <w:p>
      <w:pPr>
        <w:pStyle w:val="128"/>
        <w:numPr>
          <w:ilvl w:val="0"/>
          <w:numId w:val="55"/>
        </w:numPr>
      </w:pPr>
      <w:r>
        <w:t>R1-2309652</w:t>
      </w:r>
      <w:r>
        <w:tab/>
      </w:r>
      <w:r>
        <w:t>Maintenance on improved GNSS operations for IoT NTN</w:t>
      </w:r>
      <w:r>
        <w:tab/>
      </w:r>
      <w:r>
        <w:t>Nokia, Nokia Shanghai Bell</w:t>
      </w:r>
    </w:p>
    <w:p>
      <w:pPr>
        <w:pStyle w:val="128"/>
        <w:numPr>
          <w:ilvl w:val="0"/>
          <w:numId w:val="55"/>
        </w:numPr>
      </w:pPr>
      <w:r>
        <w:t>R1-2309688</w:t>
      </w:r>
      <w:r>
        <w:tab/>
      </w:r>
      <w:r>
        <w:t>Remaining issues on improved GNSS operations for IoT NTN</w:t>
      </w:r>
      <w:r>
        <w:tab/>
      </w:r>
      <w:r>
        <w:t>CMCC</w:t>
      </w:r>
    </w:p>
    <w:p>
      <w:pPr>
        <w:pStyle w:val="128"/>
        <w:numPr>
          <w:ilvl w:val="0"/>
          <w:numId w:val="55"/>
        </w:numPr>
      </w:pPr>
      <w:r>
        <w:t>R1-2309853</w:t>
      </w:r>
      <w:r>
        <w:tab/>
      </w:r>
      <w:r>
        <w:t>On improved GNSS operations for IoT NTN</w:t>
      </w:r>
      <w:r>
        <w:tab/>
      </w:r>
      <w:r>
        <w:t>Apple</w:t>
      </w:r>
    </w:p>
    <w:p>
      <w:pPr>
        <w:pStyle w:val="128"/>
        <w:numPr>
          <w:ilvl w:val="0"/>
          <w:numId w:val="55"/>
        </w:numPr>
      </w:pPr>
      <w:r>
        <w:t>R1-2309980</w:t>
      </w:r>
      <w:r>
        <w:tab/>
      </w:r>
      <w:r>
        <w:t>Remaining issues on improved GNSS operations for IoT NTN</w:t>
      </w:r>
      <w:r>
        <w:tab/>
      </w:r>
      <w:r>
        <w:t>MediaTek Inc.</w:t>
      </w:r>
    </w:p>
    <w:p>
      <w:pPr>
        <w:pStyle w:val="128"/>
        <w:numPr>
          <w:ilvl w:val="0"/>
          <w:numId w:val="55"/>
        </w:numPr>
      </w:pPr>
      <w:r>
        <w:t>R1-2310162</w:t>
      </w:r>
      <w:r>
        <w:tab/>
      </w:r>
      <w:r>
        <w:t>Improved GNSS Operations for IoT-NTN</w:t>
      </w:r>
      <w:r>
        <w:tab/>
      </w:r>
      <w:r>
        <w:t>Qualcomm Incorporated</w:t>
      </w:r>
    </w:p>
    <w:p>
      <w:pPr>
        <w:pStyle w:val="128"/>
        <w:numPr>
          <w:ilvl w:val="0"/>
          <w:numId w:val="55"/>
        </w:numPr>
      </w:pPr>
      <w:r>
        <w:t>R1-2310188</w:t>
      </w:r>
      <w:r>
        <w:tab/>
      </w:r>
      <w:r>
        <w:t>Improved GNSS operations for IoT NTN</w:t>
      </w:r>
      <w:r>
        <w:tab/>
      </w:r>
      <w:r>
        <w:t>Nordic Semiconductor ASA</w:t>
      </w:r>
    </w:p>
    <w:p>
      <w:pPr>
        <w:pStyle w:val="128"/>
        <w:numPr>
          <w:ilvl w:val="0"/>
          <w:numId w:val="55"/>
        </w:numPr>
      </w:pPr>
      <w:r>
        <w:t>R1-2310235</w:t>
      </w:r>
      <w:r>
        <w:tab/>
      </w:r>
      <w:r>
        <w:rPr>
          <w:lang w:eastAsia="zh-CN"/>
        </w:rPr>
        <w:t>On maintenance of improved GNSS operations for IoT NTN</w:t>
      </w:r>
      <w:r>
        <w:tab/>
      </w:r>
      <w:r>
        <w:rPr>
          <w:lang w:eastAsia="zh-CN"/>
        </w:rPr>
        <w:t>Ericsson Limited</w:t>
      </w:r>
    </w:p>
    <w:p>
      <w:pPr>
        <w:pStyle w:val="128"/>
        <w:numPr>
          <w:ilvl w:val="0"/>
          <w:numId w:val="55"/>
        </w:numPr>
      </w:pPr>
      <w:r>
        <w:t>R1-2310297</w:t>
      </w:r>
      <w:r>
        <w:tab/>
      </w:r>
      <w:r>
        <w:t>Feature lead summary#1 of AI 8.13.4 on improved GNSS operations</w:t>
      </w:r>
      <w:r>
        <w:tab/>
      </w:r>
      <w:r>
        <w:t>Moderator (MediaTek)</w:t>
      </w:r>
    </w:p>
    <w:p>
      <w:pPr>
        <w:pStyle w:val="128"/>
        <w:numPr>
          <w:ilvl w:val="0"/>
          <w:numId w:val="55"/>
        </w:numPr>
      </w:pPr>
      <w:r>
        <w:t>R1-2310298</w:t>
      </w:r>
      <w:r>
        <w:tab/>
      </w:r>
      <w:r>
        <w:t>Feature lead summary#2 of AI 8.13.4 on improved GNSS operations</w:t>
      </w:r>
      <w:r>
        <w:tab/>
      </w:r>
      <w:r>
        <w:t>Moderator (MediaTek)</w:t>
      </w:r>
    </w:p>
    <w:p>
      <w:pPr>
        <w:pStyle w:val="128"/>
        <w:numPr>
          <w:ilvl w:val="0"/>
          <w:numId w:val="55"/>
        </w:numPr>
      </w:pPr>
      <w:r>
        <w:t>R1-2310299</w:t>
      </w:r>
      <w:r>
        <w:tab/>
      </w:r>
      <w:r>
        <w:t>Feature lead summary#3 of AI 8.13.4 on improved GNSS operations</w:t>
      </w:r>
      <w:r>
        <w:tab/>
      </w:r>
      <w:r>
        <w:t>Moderator (MediaTek)</w:t>
      </w:r>
    </w:p>
    <w:p>
      <w:pPr>
        <w:rPr>
          <w:rFonts w:ascii="Arial" w:hAnsi="Arial" w:cs="Arial"/>
          <w:b/>
          <w:lang w:eastAsia="en-US"/>
        </w:rPr>
      </w:pPr>
    </w:p>
    <w:p>
      <w:pPr>
        <w:rPr>
          <w:rFonts w:ascii="Arial" w:hAnsi="Arial" w:cs="Arial"/>
          <w:b/>
          <w:lang w:eastAsia="en-US"/>
        </w:rPr>
      </w:pPr>
      <w:r>
        <w:rPr>
          <w:rFonts w:ascii="Arial" w:hAnsi="Arial" w:cs="Arial"/>
          <w:b/>
          <w:lang w:eastAsia="en-US"/>
        </w:rPr>
        <w:t>RAN1#11</w:t>
      </w:r>
      <w:r>
        <w:rPr>
          <w:rFonts w:hint="eastAsia" w:ascii="Arial" w:hAnsi="Arial" w:cs="Arial"/>
          <w:b/>
          <w:lang w:eastAsia="en-US"/>
        </w:rPr>
        <w:t>5</w:t>
      </w:r>
      <w:r>
        <w:rPr>
          <w:rFonts w:ascii="Arial" w:hAnsi="Arial" w:cs="Arial"/>
          <w:b/>
          <w:lang w:eastAsia="en-US"/>
        </w:rPr>
        <w:t>, November 13th – November 17th, 2023, Chicago, USA</w:t>
      </w:r>
    </w:p>
    <w:p>
      <w:pPr>
        <w:tabs>
          <w:tab w:val="left" w:pos="567"/>
        </w:tabs>
        <w:snapToGrid w:val="0"/>
        <w:rPr>
          <w:rFonts w:ascii="Arial" w:hAnsi="Arial" w:cs="Arial"/>
          <w:bCs/>
          <w:u w:val="single"/>
        </w:rPr>
      </w:pPr>
      <w:r>
        <w:rPr>
          <w:rFonts w:ascii="Arial" w:hAnsi="Arial" w:cs="Arial"/>
          <w:bCs/>
          <w:u w:val="single"/>
        </w:rPr>
        <w:t xml:space="preserve">Submitted TDocs to AI </w:t>
      </w:r>
      <w:r>
        <w:rPr>
          <w:rFonts w:hint="eastAsia" w:ascii="Arial" w:hAnsi="Arial" w:cs="Arial"/>
          <w:bCs/>
          <w:u w:val="single"/>
        </w:rPr>
        <w:t>8</w:t>
      </w:r>
      <w:r>
        <w:rPr>
          <w:rFonts w:ascii="Arial" w:hAnsi="Arial" w:cs="Arial"/>
          <w:bCs/>
          <w:u w:val="single"/>
        </w:rPr>
        <w:t>.</w:t>
      </w:r>
      <w:r>
        <w:rPr>
          <w:rFonts w:hint="eastAsia" w:ascii="Arial" w:hAnsi="Arial" w:cs="Arial"/>
          <w:bCs/>
          <w:u w:val="single"/>
        </w:rPr>
        <w:t>13</w:t>
      </w:r>
      <w:r>
        <w:rPr>
          <w:rFonts w:ascii="Arial" w:hAnsi="Arial" w:cs="Arial"/>
          <w:bCs/>
          <w:u w:val="single"/>
        </w:rPr>
        <w:t>.3</w:t>
      </w:r>
    </w:p>
    <w:p>
      <w:pPr>
        <w:pStyle w:val="128"/>
        <w:numPr>
          <w:ilvl w:val="0"/>
          <w:numId w:val="55"/>
        </w:numPr>
      </w:pPr>
      <w:r>
        <w:t>R1-2310878</w:t>
      </w:r>
      <w:r>
        <w:tab/>
      </w:r>
      <w:r>
        <w:t>Maintenance of disabling of HARQ feedback for IoT NTN</w:t>
      </w:r>
      <w:r>
        <w:tab/>
      </w:r>
      <w:r>
        <w:t>Huawei, HiSilicon</w:t>
      </w:r>
    </w:p>
    <w:p>
      <w:pPr>
        <w:pStyle w:val="128"/>
        <w:numPr>
          <w:ilvl w:val="0"/>
          <w:numId w:val="55"/>
        </w:numPr>
      </w:pPr>
      <w:r>
        <w:t>R1-2310965</w:t>
      </w:r>
      <w:r>
        <w:tab/>
      </w:r>
      <w:r>
        <w:t>Maintenance on disabling HARQ feedback for IoT NTN</w:t>
      </w:r>
      <w:r>
        <w:tab/>
      </w:r>
      <w:r>
        <w:t>Ericsson</w:t>
      </w:r>
    </w:p>
    <w:p>
      <w:pPr>
        <w:pStyle w:val="128"/>
        <w:numPr>
          <w:ilvl w:val="0"/>
          <w:numId w:val="55"/>
        </w:numPr>
      </w:pPr>
      <w:r>
        <w:t>R1-2311180</w:t>
      </w:r>
      <w:r>
        <w:tab/>
      </w:r>
      <w:r>
        <w:t>Remaining issues on disabling of HARQ feedback for IoT NTN</w:t>
      </w:r>
      <w:r>
        <w:tab/>
      </w:r>
      <w:r>
        <w:t>Spreadtrum Communications</w:t>
      </w:r>
    </w:p>
    <w:p>
      <w:pPr>
        <w:pStyle w:val="128"/>
        <w:numPr>
          <w:ilvl w:val="0"/>
          <w:numId w:val="55"/>
        </w:numPr>
      </w:pPr>
      <w:r>
        <w:t>R1-2311202</w:t>
      </w:r>
      <w:r>
        <w:tab/>
      </w:r>
      <w:r>
        <w:t>Remaining issue on disabling of HARQ feedback</w:t>
      </w:r>
      <w:r>
        <w:tab/>
      </w:r>
      <w:r>
        <w:t>ZTE</w:t>
      </w:r>
    </w:p>
    <w:p>
      <w:pPr>
        <w:pStyle w:val="128"/>
        <w:numPr>
          <w:ilvl w:val="0"/>
          <w:numId w:val="55"/>
        </w:numPr>
      </w:pPr>
      <w:r>
        <w:t>R1-2311247</w:t>
      </w:r>
      <w:r>
        <w:tab/>
      </w:r>
      <w:r>
        <w:t>Discussion on remaining issue on disabling of HARQ feedback for IoT NTN</w:t>
      </w:r>
      <w:r>
        <w:tab/>
      </w:r>
      <w:r>
        <w:t>OPPO</w:t>
      </w:r>
    </w:p>
    <w:p>
      <w:pPr>
        <w:pStyle w:val="128"/>
        <w:numPr>
          <w:ilvl w:val="0"/>
          <w:numId w:val="55"/>
        </w:numPr>
      </w:pPr>
      <w:r>
        <w:t>R1-2311654</w:t>
      </w:r>
      <w:r>
        <w:tab/>
      </w:r>
      <w:r>
        <w:t>Maintenance on disabling of HARQ feedback for IoT NTN</w:t>
      </w:r>
      <w:r>
        <w:tab/>
      </w:r>
      <w:r>
        <w:t>Nokia, Nokia Shanghai Bell</w:t>
      </w:r>
    </w:p>
    <w:p>
      <w:pPr>
        <w:pStyle w:val="128"/>
        <w:numPr>
          <w:ilvl w:val="0"/>
          <w:numId w:val="55"/>
        </w:numPr>
      </w:pPr>
      <w:r>
        <w:t>R1-2311702</w:t>
      </w:r>
      <w:r>
        <w:tab/>
      </w:r>
      <w:r>
        <w:t>On Higher Layer Signaling for HARQ Feedback Disabling for IoT NTN</w:t>
      </w:r>
      <w:r>
        <w:tab/>
      </w:r>
      <w:r>
        <w:t>Apple</w:t>
      </w:r>
    </w:p>
    <w:p>
      <w:pPr>
        <w:pStyle w:val="128"/>
        <w:numPr>
          <w:ilvl w:val="0"/>
          <w:numId w:val="55"/>
        </w:numPr>
      </w:pPr>
      <w:r>
        <w:t>R1-2311728</w:t>
      </w:r>
      <w:r>
        <w:tab/>
      </w:r>
      <w:r>
        <w:t>Disabling of HARQ feedback for IoT NTN</w:t>
      </w:r>
      <w:r>
        <w:tab/>
      </w:r>
      <w:r>
        <w:t>Lenovo</w:t>
      </w:r>
    </w:p>
    <w:p>
      <w:pPr>
        <w:pStyle w:val="128"/>
        <w:numPr>
          <w:ilvl w:val="0"/>
          <w:numId w:val="55"/>
        </w:numPr>
      </w:pPr>
      <w:r>
        <w:t>R1-2311998</w:t>
      </w:r>
      <w:r>
        <w:tab/>
      </w:r>
      <w:r>
        <w:t>Remaining issues of disabling of HARQ feedback for IoT NTN</w:t>
      </w:r>
      <w:r>
        <w:tab/>
      </w:r>
      <w:r>
        <w:t>MediaTek Inc.</w:t>
      </w:r>
    </w:p>
    <w:p>
      <w:pPr>
        <w:pStyle w:val="128"/>
        <w:numPr>
          <w:ilvl w:val="0"/>
          <w:numId w:val="55"/>
        </w:numPr>
      </w:pPr>
      <w:r>
        <w:t>R1-2312388</w:t>
      </w:r>
      <w:r>
        <w:tab/>
      </w:r>
      <w:r>
        <w:t>FLS#1 on disabling of HARQ feedback for IoT NTN</w:t>
      </w:r>
      <w:r>
        <w:tab/>
      </w:r>
      <w:r>
        <w:t>Moderator (Lenovo)</w:t>
      </w:r>
    </w:p>
    <w:p>
      <w:pPr>
        <w:pStyle w:val="128"/>
        <w:numPr>
          <w:ilvl w:val="0"/>
          <w:numId w:val="55"/>
        </w:numPr>
      </w:pPr>
      <w:r>
        <w:t>R1-2312389</w:t>
      </w:r>
      <w:r>
        <w:tab/>
      </w:r>
      <w:r>
        <w:t>FLS#2 on disabling of HARQ feedback for IoT NTN</w:t>
      </w:r>
      <w:r>
        <w:tab/>
      </w:r>
      <w:r>
        <w:t>Moderator (Lenovo)</w:t>
      </w:r>
    </w:p>
    <w:p>
      <w:pPr>
        <w:pStyle w:val="128"/>
        <w:numPr>
          <w:ilvl w:val="0"/>
          <w:numId w:val="55"/>
        </w:numPr>
      </w:pPr>
      <w:r>
        <w:t>R1-2312460</w:t>
      </w:r>
      <w:r>
        <w:tab/>
      </w:r>
      <w:r>
        <w:t>FLS#3 on disabling of HARQ feedback for IoT NTN</w:t>
      </w:r>
      <w:r>
        <w:tab/>
      </w:r>
      <w:r>
        <w:t>Moderator (Lenovo)</w:t>
      </w:r>
    </w:p>
    <w:p>
      <w:pPr>
        <w:rPr>
          <w:rStyle w:val="157"/>
          <w:rFonts w:eastAsia="PMingLiU"/>
        </w:rPr>
      </w:pPr>
    </w:p>
    <w:p>
      <w:pPr>
        <w:tabs>
          <w:tab w:val="left" w:pos="567"/>
        </w:tabs>
        <w:snapToGrid w:val="0"/>
        <w:rPr>
          <w:rFonts w:ascii="Arial" w:hAnsi="Arial" w:cs="Arial"/>
          <w:bCs/>
          <w:u w:val="single"/>
        </w:rPr>
      </w:pPr>
      <w:r>
        <w:rPr>
          <w:rFonts w:ascii="Arial" w:hAnsi="Arial" w:cs="Arial"/>
          <w:bCs/>
          <w:u w:val="single"/>
        </w:rPr>
        <w:t>Submitted TDocs to AI 8.13.4</w:t>
      </w:r>
    </w:p>
    <w:p>
      <w:pPr>
        <w:pStyle w:val="128"/>
        <w:numPr>
          <w:ilvl w:val="0"/>
          <w:numId w:val="55"/>
        </w:numPr>
      </w:pPr>
      <w:r>
        <w:t>R1-2310879</w:t>
      </w:r>
      <w:r>
        <w:tab/>
      </w:r>
      <w:r>
        <w:t>Maintenance of improved GNSS operations for IoT NTN</w:t>
      </w:r>
      <w:r>
        <w:tab/>
      </w:r>
      <w:r>
        <w:t>Huawei, HiSilicon</w:t>
      </w:r>
    </w:p>
    <w:p>
      <w:pPr>
        <w:pStyle w:val="128"/>
        <w:numPr>
          <w:ilvl w:val="0"/>
          <w:numId w:val="55"/>
        </w:numPr>
      </w:pPr>
      <w:r>
        <w:t>R1-2311181</w:t>
      </w:r>
      <w:r>
        <w:tab/>
      </w:r>
      <w:r>
        <w:t>Remaining issues on improved GNSS operations for IoT NTN</w:t>
      </w:r>
      <w:r>
        <w:tab/>
      </w:r>
      <w:r>
        <w:t>Spreadtrum Communications</w:t>
      </w:r>
    </w:p>
    <w:p>
      <w:pPr>
        <w:pStyle w:val="128"/>
        <w:numPr>
          <w:ilvl w:val="0"/>
          <w:numId w:val="55"/>
        </w:numPr>
      </w:pPr>
      <w:r>
        <w:t>R1-2311203</w:t>
      </w:r>
      <w:r>
        <w:tab/>
      </w:r>
      <w:r>
        <w:t>Remaining issue on improved GNSS operation</w:t>
      </w:r>
      <w:r>
        <w:tab/>
      </w:r>
      <w:r>
        <w:t>ZTE</w:t>
      </w:r>
    </w:p>
    <w:p>
      <w:pPr>
        <w:pStyle w:val="128"/>
        <w:numPr>
          <w:ilvl w:val="0"/>
          <w:numId w:val="55"/>
        </w:numPr>
      </w:pPr>
      <w:r>
        <w:t>R1-2311248</w:t>
      </w:r>
      <w:r>
        <w:tab/>
      </w:r>
      <w:r>
        <w:t>Discussion on remaining issue for improved GNSS operation for IoT NTN</w:t>
      </w:r>
      <w:r>
        <w:tab/>
      </w:r>
      <w:r>
        <w:t>OPPO</w:t>
      </w:r>
    </w:p>
    <w:p>
      <w:pPr>
        <w:pStyle w:val="128"/>
        <w:numPr>
          <w:ilvl w:val="0"/>
          <w:numId w:val="55"/>
        </w:numPr>
      </w:pPr>
      <w:r>
        <w:t>R1-2311512</w:t>
      </w:r>
      <w:r>
        <w:tab/>
      </w:r>
      <w:r>
        <w:t>Remaining issues on Improved GNSS Operations for IoT NTN</w:t>
      </w:r>
      <w:r>
        <w:tab/>
      </w:r>
      <w:r>
        <w:t>NEC</w:t>
      </w:r>
    </w:p>
    <w:p>
      <w:pPr>
        <w:pStyle w:val="128"/>
        <w:numPr>
          <w:ilvl w:val="0"/>
          <w:numId w:val="55"/>
        </w:numPr>
      </w:pPr>
      <w:r>
        <w:t>R1-2311586</w:t>
      </w:r>
      <w:r>
        <w:tab/>
      </w:r>
      <w:r>
        <w:t>Discussion on the remaining issues for the improved GNSS operation for IoT NTN</w:t>
      </w:r>
      <w:r>
        <w:tab/>
      </w:r>
      <w:r>
        <w:t>Beijing Xiaomi Mobile Software</w:t>
      </w:r>
    </w:p>
    <w:p>
      <w:pPr>
        <w:pStyle w:val="128"/>
        <w:numPr>
          <w:ilvl w:val="0"/>
          <w:numId w:val="55"/>
        </w:numPr>
      </w:pPr>
      <w:r>
        <w:t>R1-2311655</w:t>
      </w:r>
      <w:r>
        <w:tab/>
      </w:r>
      <w:r>
        <w:t>Maintenance on improved GNSS operations for IoT NTN</w:t>
      </w:r>
      <w:r>
        <w:tab/>
      </w:r>
      <w:r>
        <w:t>Nokia, Nokia Shanghai Bell</w:t>
      </w:r>
    </w:p>
    <w:p>
      <w:pPr>
        <w:pStyle w:val="128"/>
        <w:numPr>
          <w:ilvl w:val="0"/>
          <w:numId w:val="55"/>
        </w:numPr>
      </w:pPr>
      <w:r>
        <w:t>R1-2311703</w:t>
      </w:r>
      <w:r>
        <w:tab/>
      </w:r>
      <w:r>
        <w:t>Remaining issues on improved GNSS operations for IoT NTN</w:t>
      </w:r>
      <w:r>
        <w:tab/>
      </w:r>
      <w:r>
        <w:t>Apple</w:t>
      </w:r>
    </w:p>
    <w:p>
      <w:pPr>
        <w:pStyle w:val="128"/>
        <w:numPr>
          <w:ilvl w:val="0"/>
          <w:numId w:val="55"/>
        </w:numPr>
      </w:pPr>
      <w:r>
        <w:t>R1-2311863</w:t>
      </w:r>
      <w:r>
        <w:tab/>
      </w:r>
      <w:r>
        <w:t>Remaining issues for improved GNSS operations for IoT NTN</w:t>
      </w:r>
      <w:r>
        <w:tab/>
      </w:r>
      <w:r>
        <w:t>Samsung</w:t>
      </w:r>
    </w:p>
    <w:p>
      <w:pPr>
        <w:pStyle w:val="128"/>
        <w:numPr>
          <w:ilvl w:val="0"/>
          <w:numId w:val="55"/>
        </w:numPr>
      </w:pPr>
      <w:r>
        <w:t>R1-2311943</w:t>
      </w:r>
      <w:r>
        <w:tab/>
      </w:r>
      <w:r>
        <w:t>On maintenance of improved GNSS operations for IoT NTN</w:t>
      </w:r>
      <w:r>
        <w:tab/>
      </w:r>
      <w:r>
        <w:t>Ericsson Inc.</w:t>
      </w:r>
    </w:p>
    <w:p>
      <w:pPr>
        <w:pStyle w:val="128"/>
        <w:numPr>
          <w:ilvl w:val="0"/>
          <w:numId w:val="55"/>
        </w:numPr>
      </w:pPr>
      <w:r>
        <w:t>R1-2311999</w:t>
      </w:r>
      <w:r>
        <w:tab/>
      </w:r>
      <w:r>
        <w:t>Remaining issues on improved GNSS operations for IoT NTN</w:t>
      </w:r>
      <w:r>
        <w:tab/>
      </w:r>
      <w:r>
        <w:t>MediaTek Inc.</w:t>
      </w:r>
    </w:p>
    <w:p>
      <w:pPr>
        <w:pStyle w:val="128"/>
        <w:numPr>
          <w:ilvl w:val="0"/>
          <w:numId w:val="55"/>
        </w:numPr>
      </w:pPr>
      <w:r>
        <w:t>R1-2312054</w:t>
      </w:r>
      <w:r>
        <w:tab/>
      </w:r>
      <w:r>
        <w:t>Improved GNSS Operations for IoT-NTN</w:t>
      </w:r>
      <w:r>
        <w:tab/>
      </w:r>
      <w:r>
        <w:t>Qualcomm Incorporated</w:t>
      </w:r>
    </w:p>
    <w:p>
      <w:pPr>
        <w:pStyle w:val="128"/>
        <w:numPr>
          <w:ilvl w:val="0"/>
          <w:numId w:val="55"/>
        </w:numPr>
      </w:pPr>
      <w:r>
        <w:t>R1-2312128</w:t>
      </w:r>
      <w:r>
        <w:tab/>
      </w:r>
      <w:r>
        <w:t>Improved GNSS operations for IoT NTN</w:t>
      </w:r>
      <w:r>
        <w:tab/>
      </w:r>
      <w:r>
        <w:t>Nordic Semiconductor ASA</w:t>
      </w:r>
    </w:p>
    <w:p>
      <w:pPr>
        <w:pStyle w:val="128"/>
        <w:numPr>
          <w:ilvl w:val="0"/>
          <w:numId w:val="55"/>
        </w:numPr>
      </w:pPr>
      <w:r>
        <w:t>R1-2312298</w:t>
      </w:r>
      <w:r>
        <w:tab/>
      </w:r>
      <w:r>
        <w:t>Feature lead summary#1 of AI 8.13.4 on improved GNSS operations</w:t>
      </w:r>
      <w:r>
        <w:tab/>
      </w:r>
      <w:r>
        <w:t>Moderator (MediaTek)</w:t>
      </w:r>
    </w:p>
    <w:p>
      <w:pPr>
        <w:pStyle w:val="128"/>
        <w:numPr>
          <w:ilvl w:val="0"/>
          <w:numId w:val="55"/>
        </w:numPr>
      </w:pPr>
      <w:r>
        <w:t>R1-231</w:t>
      </w:r>
      <w:r>
        <w:rPr>
          <w:rFonts w:hint="eastAsia"/>
        </w:rPr>
        <w:t>2299</w:t>
      </w:r>
      <w:r>
        <w:tab/>
      </w:r>
      <w:r>
        <w:t>Feature lead summary#2 of AI 8.13.4 on improved GNSS operations</w:t>
      </w:r>
      <w:r>
        <w:tab/>
      </w:r>
      <w:r>
        <w:t>Moderator (MediaTek)</w:t>
      </w:r>
    </w:p>
    <w:p>
      <w:pPr>
        <w:pStyle w:val="128"/>
        <w:numPr>
          <w:ilvl w:val="0"/>
          <w:numId w:val="55"/>
        </w:numPr>
      </w:pPr>
      <w:r>
        <w:t>R1-231</w:t>
      </w:r>
      <w:r>
        <w:rPr>
          <w:rFonts w:hint="eastAsia"/>
        </w:rPr>
        <w:t>2300</w:t>
      </w:r>
      <w:r>
        <w:tab/>
      </w:r>
      <w:r>
        <w:t>Feature lead summary#3 of AI 8.13.4 on improved GNSS operations</w:t>
      </w:r>
      <w:r>
        <w:tab/>
      </w:r>
      <w:r>
        <w:t>Moderator (MediaTek)</w:t>
      </w:r>
    </w:p>
    <w:p>
      <w:pPr>
        <w:pStyle w:val="128"/>
        <w:numPr>
          <w:ilvl w:val="0"/>
          <w:numId w:val="55"/>
        </w:numPr>
      </w:pPr>
      <w:r>
        <w:t>R1-2312656</w:t>
      </w:r>
      <w:r>
        <w:tab/>
      </w:r>
      <w:r>
        <w:t>Draft LS on improved GNSS operations in Rel-18 IoT NTN</w:t>
      </w:r>
      <w:r>
        <w:tab/>
      </w:r>
      <w:r>
        <w:t>Moderator (MediaTek Inc.)</w:t>
      </w:r>
    </w:p>
    <w:p>
      <w:pPr>
        <w:pStyle w:val="128"/>
        <w:numPr>
          <w:ilvl w:val="0"/>
          <w:numId w:val="55"/>
        </w:numPr>
      </w:pPr>
      <w:r>
        <w:t>R1-2312696</w:t>
      </w:r>
      <w:r>
        <w:tab/>
      </w:r>
      <w:r>
        <w:t>LS on improved GNSS ope</w:t>
      </w:r>
      <w:r>
        <w:rPr>
          <w:rFonts w:eastAsia="PMingLiU"/>
        </w:rPr>
        <w:t>rations in Rel-18 IoT NTN</w:t>
      </w:r>
      <w:r>
        <w:rPr>
          <w:rFonts w:eastAsia="PMingLiU"/>
        </w:rPr>
        <w:tab/>
      </w:r>
      <w:r>
        <w:rPr>
          <w:rFonts w:eastAsia="PMingLiU"/>
        </w:rPr>
        <w:t>Moderator (MediaTek Inc.)</w:t>
      </w:r>
    </w:p>
    <w:p>
      <w:pPr>
        <w:pStyle w:val="129"/>
        <w:rPr>
          <w:rFonts w:eastAsia="PMingLiU"/>
        </w:rPr>
      </w:pPr>
    </w:p>
    <w:p>
      <w:pPr>
        <w:pStyle w:val="3"/>
        <w:rPr>
          <w:lang w:eastAsia="ja-JP"/>
        </w:rPr>
      </w:pPr>
      <w:r>
        <w:rPr>
          <w:lang w:eastAsia="ja-JP"/>
        </w:rPr>
        <w:t>4.2</w:t>
      </w:r>
      <w:r>
        <w:rPr>
          <w:lang w:eastAsia="ja-JP"/>
        </w:rPr>
        <w:tab/>
      </w:r>
      <w:r>
        <w:rPr>
          <w:lang w:eastAsia="ja-JP"/>
        </w:rPr>
        <w:t>RAN2</w:t>
      </w:r>
    </w:p>
    <w:p>
      <w:pPr>
        <w:overflowPunct/>
        <w:autoSpaceDE/>
        <w:autoSpaceDN/>
        <w:snapToGrid w:val="0"/>
        <w:spacing w:after="0"/>
        <w:rPr>
          <w:rFonts w:ascii="Arial" w:hAnsi="Arial" w:cs="Arial"/>
          <w:b/>
          <w:bCs/>
          <w:lang w:eastAsia="ja-JP"/>
        </w:rPr>
      </w:pPr>
      <w:r>
        <w:rPr>
          <w:rFonts w:ascii="Arial" w:hAnsi="Arial" w:cs="Arial"/>
          <w:b/>
          <w:lang w:eastAsia="en-US"/>
        </w:rPr>
        <w:t>RAN2#123-bis,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pPr>
        <w:overflowPunct/>
        <w:autoSpaceDE/>
        <w:autoSpaceDN/>
        <w:snapToGrid w:val="0"/>
        <w:spacing w:after="0"/>
        <w:rPr>
          <w:rFonts w:ascii="Arial" w:hAnsi="Arial" w:cs="Arial"/>
          <w:b/>
          <w:bCs/>
          <w:lang w:eastAsia="ja-JP"/>
        </w:rPr>
      </w:pPr>
    </w:p>
    <w:p>
      <w:pPr>
        <w:tabs>
          <w:tab w:val="left" w:pos="567"/>
        </w:tabs>
        <w:snapToGrid w:val="0"/>
        <w:rPr>
          <w:rFonts w:ascii="Arial" w:hAnsi="Arial" w:cs="Arial"/>
          <w:bCs/>
          <w:u w:val="single"/>
        </w:rPr>
      </w:pPr>
      <w:r>
        <w:rPr>
          <w:rFonts w:ascii="Arial" w:hAnsi="Arial" w:cs="Arial"/>
          <w:bCs/>
          <w:u w:val="single"/>
        </w:rPr>
        <w:t>Submitted TDocs to AI 7.6.1</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R2-2309416</w:t>
      </w:r>
      <w:r>
        <w:rPr>
          <w:rFonts w:ascii="Arial" w:hAnsi="Arial" w:cs="Arial"/>
          <w:bCs/>
          <w:sz w:val="20"/>
          <w:szCs w:val="20"/>
        </w:rPr>
        <w:tab/>
      </w:r>
      <w:r>
        <w:rPr>
          <w:rFonts w:ascii="Arial" w:hAnsi="Arial" w:cs="Arial"/>
          <w:bCs/>
          <w:sz w:val="20"/>
          <w:szCs w:val="20"/>
        </w:rPr>
        <w:t>LS on Rel-18 RAN1 UE features list for LTE after RAN1#114 (R1-2308520; contact: NTT DOCOMO, AT&amp;T)</w:t>
      </w:r>
      <w:r>
        <w:rPr>
          <w:rFonts w:ascii="Arial" w:hAnsi="Arial" w:cs="Arial"/>
          <w:bCs/>
          <w:sz w:val="20"/>
          <w:szCs w:val="20"/>
        </w:rPr>
        <w:tab/>
      </w:r>
      <w:r>
        <w:rPr>
          <w:rFonts w:ascii="Arial" w:hAnsi="Arial" w:cs="Arial"/>
          <w:bCs/>
          <w:sz w:val="20"/>
          <w:szCs w:val="20"/>
        </w:rPr>
        <w:t>RAN1</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R2-2309532</w:t>
      </w:r>
      <w:r>
        <w:rPr>
          <w:rFonts w:ascii="Arial" w:hAnsi="Arial" w:cs="Arial"/>
          <w:bCs/>
          <w:sz w:val="20"/>
          <w:szCs w:val="20"/>
        </w:rPr>
        <w:tab/>
      </w:r>
      <w:r>
        <w:rPr>
          <w:rFonts w:ascii="Arial" w:hAnsi="Arial" w:cs="Arial"/>
          <w:bCs/>
          <w:sz w:val="20"/>
          <w:szCs w:val="20"/>
        </w:rPr>
        <w:t>Discussion on R18 IoT NTN UE capabilities</w:t>
      </w:r>
      <w:r>
        <w:rPr>
          <w:rFonts w:ascii="Arial" w:hAnsi="Arial" w:cs="Arial"/>
          <w:bCs/>
          <w:sz w:val="20"/>
          <w:szCs w:val="20"/>
        </w:rPr>
        <w:tab/>
      </w:r>
      <w:r>
        <w:rPr>
          <w:rFonts w:ascii="Arial" w:hAnsi="Arial" w:cs="Arial"/>
          <w:bCs/>
          <w:sz w:val="20"/>
          <w:szCs w:val="20"/>
        </w:rPr>
        <w:t>OPPO</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R2-2310180</w:t>
      </w:r>
      <w:r>
        <w:rPr>
          <w:rFonts w:ascii="Arial" w:hAnsi="Arial" w:cs="Arial"/>
          <w:bCs/>
          <w:sz w:val="20"/>
          <w:szCs w:val="20"/>
        </w:rPr>
        <w:tab/>
      </w:r>
      <w:r>
        <w:rPr>
          <w:rFonts w:ascii="Arial" w:hAnsi="Arial" w:cs="Arial"/>
          <w:bCs/>
          <w:sz w:val="20"/>
          <w:szCs w:val="20"/>
        </w:rPr>
        <w:t>Running CR for TS 36.306 for Rel-18 IoT NTN</w:t>
      </w:r>
      <w:r>
        <w:rPr>
          <w:rFonts w:ascii="Arial" w:hAnsi="Arial" w:cs="Arial"/>
          <w:bCs/>
          <w:sz w:val="20"/>
          <w:szCs w:val="20"/>
        </w:rPr>
        <w:tab/>
      </w:r>
      <w:r>
        <w:rPr>
          <w:rFonts w:ascii="Arial" w:hAnsi="Arial" w:cs="Arial"/>
          <w:bCs/>
          <w:sz w:val="20"/>
          <w:szCs w:val="20"/>
        </w:rPr>
        <w:t>Qualcomm Incorporated</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R2-2310410</w:t>
      </w:r>
      <w:r>
        <w:rPr>
          <w:rFonts w:ascii="Arial" w:hAnsi="Arial" w:cs="Arial"/>
          <w:bCs/>
          <w:sz w:val="20"/>
          <w:szCs w:val="20"/>
        </w:rPr>
        <w:tab/>
      </w:r>
      <w:r>
        <w:rPr>
          <w:rFonts w:ascii="Arial" w:hAnsi="Arial" w:cs="Arial"/>
          <w:bCs/>
          <w:sz w:val="20"/>
          <w:szCs w:val="20"/>
        </w:rPr>
        <w:t>36331 running CR for IOT NTN</w:t>
      </w:r>
      <w:r>
        <w:rPr>
          <w:rFonts w:ascii="Arial" w:hAnsi="Arial" w:cs="Arial"/>
          <w:bCs/>
          <w:sz w:val="20"/>
          <w:szCs w:val="20"/>
        </w:rPr>
        <w:tab/>
      </w:r>
      <w:r>
        <w:rPr>
          <w:rFonts w:ascii="Arial" w:hAnsi="Arial" w:cs="Arial"/>
          <w:bCs/>
          <w:sz w:val="20"/>
          <w:szCs w:val="20"/>
        </w:rPr>
        <w:t>Huawei, HiSilicon</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R2-2311070</w:t>
      </w:r>
      <w:r>
        <w:rPr>
          <w:rFonts w:ascii="Arial" w:hAnsi="Arial" w:cs="Arial"/>
          <w:bCs/>
          <w:sz w:val="20"/>
          <w:szCs w:val="20"/>
        </w:rPr>
        <w:tab/>
      </w:r>
      <w:r>
        <w:rPr>
          <w:rFonts w:ascii="Arial" w:hAnsi="Arial" w:cs="Arial"/>
          <w:bCs/>
          <w:sz w:val="20"/>
          <w:szCs w:val="20"/>
        </w:rPr>
        <w:t>Stage-3 running CR for TS 36.321 for Rel-18 IoT-NTN</w:t>
      </w:r>
      <w:r>
        <w:rPr>
          <w:rFonts w:ascii="Arial" w:hAnsi="Arial" w:cs="Arial"/>
          <w:bCs/>
          <w:sz w:val="20"/>
          <w:szCs w:val="20"/>
        </w:rPr>
        <w:tab/>
      </w:r>
      <w:r>
        <w:rPr>
          <w:rFonts w:ascii="Arial" w:hAnsi="Arial" w:cs="Arial"/>
          <w:bCs/>
          <w:sz w:val="20"/>
          <w:szCs w:val="20"/>
        </w:rPr>
        <w:t>MediaTek Inc.</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R2-2311194</w:t>
      </w:r>
      <w:r>
        <w:rPr>
          <w:rFonts w:ascii="Arial" w:hAnsi="Arial" w:cs="Arial"/>
          <w:bCs/>
          <w:sz w:val="20"/>
          <w:szCs w:val="20"/>
        </w:rPr>
        <w:tab/>
      </w:r>
      <w:r>
        <w:rPr>
          <w:rFonts w:ascii="Arial" w:hAnsi="Arial" w:cs="Arial"/>
          <w:bCs/>
          <w:sz w:val="20"/>
          <w:szCs w:val="20"/>
        </w:rPr>
        <w:t>36304 Running CR for IoT-NTN</w:t>
      </w:r>
      <w:r>
        <w:rPr>
          <w:rFonts w:ascii="Arial" w:hAnsi="Arial" w:cs="Arial"/>
          <w:bCs/>
          <w:sz w:val="20"/>
          <w:szCs w:val="20"/>
        </w:rPr>
        <w:tab/>
      </w:r>
      <w:r>
        <w:rPr>
          <w:rFonts w:ascii="Arial" w:hAnsi="Arial" w:cs="Arial"/>
          <w:bCs/>
          <w:sz w:val="20"/>
          <w:szCs w:val="20"/>
        </w:rPr>
        <w:t>Nokia Solutions &amp; Networks (I)</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R2-2311244</w:t>
      </w:r>
      <w:r>
        <w:rPr>
          <w:rFonts w:ascii="Arial" w:hAnsi="Arial" w:cs="Arial"/>
          <w:bCs/>
          <w:sz w:val="20"/>
          <w:szCs w:val="20"/>
        </w:rPr>
        <w:tab/>
      </w:r>
      <w:r>
        <w:rPr>
          <w:rFonts w:ascii="Arial" w:hAnsi="Arial" w:cs="Arial"/>
          <w:bCs/>
          <w:sz w:val="20"/>
          <w:szCs w:val="20"/>
        </w:rPr>
        <w:t>Introduction of IoT NTN enhancements</w:t>
      </w:r>
      <w:r>
        <w:rPr>
          <w:rFonts w:ascii="Arial" w:hAnsi="Arial" w:cs="Arial"/>
          <w:bCs/>
          <w:sz w:val="20"/>
          <w:szCs w:val="20"/>
        </w:rPr>
        <w:tab/>
      </w:r>
      <w:r>
        <w:rPr>
          <w:rFonts w:ascii="Arial" w:hAnsi="Arial" w:cs="Arial"/>
          <w:bCs/>
          <w:sz w:val="20"/>
          <w:szCs w:val="20"/>
        </w:rPr>
        <w:t>Ericsson</w:t>
      </w:r>
    </w:p>
    <w:p>
      <w:pPr>
        <w:pStyle w:val="132"/>
        <w:numPr>
          <w:ilvl w:val="0"/>
          <w:numId w:val="56"/>
        </w:numPr>
        <w:tabs>
          <w:tab w:val="left" w:pos="567"/>
        </w:tabs>
        <w:snapToGrid w:val="0"/>
        <w:ind w:leftChars="0"/>
        <w:rPr>
          <w:rFonts w:ascii="Arial" w:hAnsi="Arial" w:cs="Arial"/>
          <w:bCs/>
          <w:sz w:val="20"/>
          <w:szCs w:val="20"/>
        </w:rPr>
      </w:pPr>
      <w:r>
        <w:rPr>
          <w:rFonts w:ascii="Arial" w:hAnsi="Arial" w:cs="Arial"/>
          <w:bCs/>
          <w:sz w:val="20"/>
          <w:szCs w:val="20"/>
        </w:rPr>
        <w:t>R2-2311245</w:t>
      </w:r>
      <w:r>
        <w:rPr>
          <w:rFonts w:ascii="Arial" w:hAnsi="Arial" w:cs="Arial"/>
          <w:bCs/>
          <w:sz w:val="20"/>
          <w:szCs w:val="20"/>
        </w:rPr>
        <w:tab/>
      </w:r>
      <w:r>
        <w:rPr>
          <w:rFonts w:ascii="Arial" w:hAnsi="Arial" w:cs="Arial"/>
          <w:bCs/>
          <w:sz w:val="20"/>
          <w:szCs w:val="20"/>
        </w:rPr>
        <w:t>Rapporteur input on 36.300</w:t>
      </w:r>
      <w:r>
        <w:rPr>
          <w:rFonts w:ascii="Arial" w:hAnsi="Arial" w:cs="Arial"/>
          <w:bCs/>
          <w:sz w:val="20"/>
          <w:szCs w:val="20"/>
        </w:rPr>
        <w:tab/>
      </w:r>
      <w:r>
        <w:rPr>
          <w:rFonts w:ascii="Arial" w:hAnsi="Arial" w:cs="Arial"/>
          <w:bCs/>
          <w:sz w:val="20"/>
          <w:szCs w:val="20"/>
        </w:rPr>
        <w:t>Ericsson</w:t>
      </w:r>
    </w:p>
    <w:p>
      <w:pPr>
        <w:tabs>
          <w:tab w:val="left" w:pos="567"/>
        </w:tabs>
        <w:snapToGrid w:val="0"/>
        <w:rPr>
          <w:rFonts w:ascii="Arial" w:hAnsi="Arial" w:cs="Arial"/>
          <w:bCs/>
          <w:u w:val="single"/>
        </w:rPr>
      </w:pPr>
    </w:p>
    <w:p>
      <w:pPr>
        <w:pStyle w:val="129"/>
      </w:pPr>
    </w:p>
    <w:p>
      <w:pPr>
        <w:tabs>
          <w:tab w:val="left" w:pos="567"/>
        </w:tabs>
        <w:snapToGrid w:val="0"/>
        <w:rPr>
          <w:rFonts w:ascii="Arial" w:hAnsi="Arial" w:cs="Arial"/>
          <w:bCs/>
          <w:u w:val="single"/>
        </w:rPr>
      </w:pPr>
      <w:r>
        <w:rPr>
          <w:rFonts w:ascii="Arial" w:hAnsi="Arial" w:cs="Arial"/>
          <w:bCs/>
          <w:u w:val="single"/>
        </w:rPr>
        <w:t>Submitted TDocs to AI 7.6.2.1</w:t>
      </w:r>
    </w:p>
    <w:p>
      <w:pPr>
        <w:pStyle w:val="132"/>
        <w:numPr>
          <w:ilvl w:val="0"/>
          <w:numId w:val="57"/>
        </w:numPr>
        <w:ind w:leftChars="0"/>
        <w:rPr>
          <w:rFonts w:ascii="Arial" w:hAnsi="Arial" w:cs="Arial"/>
          <w:sz w:val="20"/>
          <w:szCs w:val="20"/>
        </w:rPr>
      </w:pPr>
      <w:r>
        <w:rPr>
          <w:rFonts w:ascii="Arial" w:hAnsi="Arial" w:cs="Arial"/>
          <w:sz w:val="20"/>
          <w:szCs w:val="20"/>
        </w:rPr>
        <w:t>R2-2309527</w:t>
      </w:r>
      <w:r>
        <w:rPr>
          <w:rFonts w:ascii="Arial" w:hAnsi="Arial" w:cs="Arial"/>
          <w:sz w:val="20"/>
          <w:szCs w:val="20"/>
        </w:rPr>
        <w:tab/>
      </w:r>
      <w:r>
        <w:rPr>
          <w:rFonts w:ascii="Arial" w:hAnsi="Arial" w:cs="Arial"/>
          <w:sz w:val="20"/>
          <w:szCs w:val="20"/>
        </w:rPr>
        <w:t>Discussion on HARQ enhancement for IoT NTN</w:t>
      </w:r>
      <w:r>
        <w:rPr>
          <w:rFonts w:ascii="Arial" w:hAnsi="Arial" w:cs="Arial"/>
          <w:sz w:val="20"/>
          <w:szCs w:val="20"/>
        </w:rPr>
        <w:tab/>
      </w:r>
      <w:r>
        <w:rPr>
          <w:rFonts w:ascii="Arial" w:hAnsi="Arial" w:cs="Arial"/>
          <w:sz w:val="20"/>
          <w:szCs w:val="20"/>
        </w:rPr>
        <w:t>OPPO</w:t>
      </w:r>
    </w:p>
    <w:p>
      <w:pPr>
        <w:pStyle w:val="132"/>
        <w:numPr>
          <w:ilvl w:val="0"/>
          <w:numId w:val="57"/>
        </w:numPr>
        <w:ind w:leftChars="0"/>
        <w:rPr>
          <w:rFonts w:ascii="Arial" w:hAnsi="Arial" w:cs="Arial"/>
          <w:sz w:val="20"/>
          <w:szCs w:val="20"/>
        </w:rPr>
      </w:pPr>
      <w:r>
        <w:rPr>
          <w:rFonts w:ascii="Arial" w:hAnsi="Arial" w:cs="Arial"/>
          <w:sz w:val="20"/>
          <w:szCs w:val="20"/>
        </w:rPr>
        <w:t>R2-2309657</w:t>
      </w:r>
      <w:r>
        <w:rPr>
          <w:rFonts w:ascii="Arial" w:hAnsi="Arial" w:cs="Arial"/>
          <w:sz w:val="20"/>
          <w:szCs w:val="20"/>
        </w:rPr>
        <w:tab/>
      </w:r>
      <w:r>
        <w:rPr>
          <w:rFonts w:ascii="Arial" w:hAnsi="Arial" w:cs="Arial"/>
          <w:sz w:val="20"/>
          <w:szCs w:val="20"/>
        </w:rPr>
        <w:t>Remaining Issues on HARQ Enhancement for IoT NTN</w:t>
      </w:r>
      <w:r>
        <w:rPr>
          <w:rFonts w:ascii="Arial" w:hAnsi="Arial" w:cs="Arial"/>
          <w:sz w:val="20"/>
          <w:szCs w:val="20"/>
        </w:rPr>
        <w:tab/>
      </w:r>
      <w:r>
        <w:rPr>
          <w:rFonts w:ascii="Arial" w:hAnsi="Arial" w:cs="Arial"/>
          <w:sz w:val="20"/>
          <w:szCs w:val="20"/>
        </w:rPr>
        <w:t>vivo</w:t>
      </w:r>
    </w:p>
    <w:p>
      <w:pPr>
        <w:pStyle w:val="132"/>
        <w:numPr>
          <w:ilvl w:val="0"/>
          <w:numId w:val="57"/>
        </w:numPr>
        <w:ind w:leftChars="0"/>
        <w:rPr>
          <w:rFonts w:ascii="Arial" w:hAnsi="Arial" w:cs="Arial"/>
          <w:sz w:val="20"/>
          <w:szCs w:val="20"/>
        </w:rPr>
      </w:pPr>
      <w:r>
        <w:rPr>
          <w:rFonts w:ascii="Arial" w:hAnsi="Arial" w:cs="Arial"/>
          <w:sz w:val="20"/>
          <w:szCs w:val="20"/>
        </w:rPr>
        <w:t>R2-2309701</w:t>
      </w:r>
      <w:r>
        <w:rPr>
          <w:rFonts w:ascii="Arial" w:hAnsi="Arial" w:cs="Arial"/>
          <w:sz w:val="20"/>
          <w:szCs w:val="20"/>
        </w:rPr>
        <w:tab/>
      </w:r>
      <w:r>
        <w:rPr>
          <w:rFonts w:ascii="Arial" w:hAnsi="Arial" w:cs="Arial"/>
          <w:sz w:val="20"/>
          <w:szCs w:val="20"/>
        </w:rPr>
        <w:t>Remaining issues of HARQ enhancement</w:t>
      </w:r>
      <w:r>
        <w:rPr>
          <w:rFonts w:ascii="Arial" w:hAnsi="Arial" w:cs="Arial"/>
          <w:sz w:val="20"/>
          <w:szCs w:val="20"/>
        </w:rPr>
        <w:tab/>
      </w:r>
      <w:r>
        <w:rPr>
          <w:rFonts w:ascii="Arial" w:hAnsi="Arial" w:cs="Arial"/>
          <w:sz w:val="20"/>
          <w:szCs w:val="20"/>
        </w:rPr>
        <w:t>Huawei, Turkcell, HiSilicon</w:t>
      </w:r>
    </w:p>
    <w:p>
      <w:pPr>
        <w:pStyle w:val="132"/>
        <w:numPr>
          <w:ilvl w:val="0"/>
          <w:numId w:val="57"/>
        </w:numPr>
        <w:ind w:leftChars="0"/>
        <w:rPr>
          <w:rFonts w:ascii="Arial" w:hAnsi="Arial" w:cs="Arial"/>
          <w:sz w:val="20"/>
          <w:szCs w:val="20"/>
        </w:rPr>
      </w:pPr>
      <w:r>
        <w:rPr>
          <w:rFonts w:ascii="Arial" w:hAnsi="Arial" w:cs="Arial"/>
          <w:sz w:val="20"/>
          <w:szCs w:val="20"/>
        </w:rPr>
        <w:t>R2-2309752</w:t>
      </w:r>
      <w:r>
        <w:rPr>
          <w:rFonts w:ascii="Arial" w:hAnsi="Arial" w:cs="Arial"/>
          <w:sz w:val="20"/>
          <w:szCs w:val="20"/>
        </w:rPr>
        <w:tab/>
      </w:r>
      <w:r>
        <w:rPr>
          <w:rFonts w:ascii="Arial" w:hAnsi="Arial" w:cs="Arial"/>
          <w:sz w:val="20"/>
          <w:szCs w:val="20"/>
        </w:rPr>
        <w:t>Discussion on HARQ enhancements in IoT NTN</w:t>
      </w:r>
      <w:r>
        <w:rPr>
          <w:rFonts w:ascii="Arial" w:hAnsi="Arial" w:cs="Arial"/>
          <w:sz w:val="20"/>
          <w:szCs w:val="20"/>
        </w:rPr>
        <w:tab/>
      </w:r>
      <w:r>
        <w:rPr>
          <w:rFonts w:ascii="Arial" w:hAnsi="Arial" w:cs="Arial"/>
          <w:sz w:val="20"/>
          <w:szCs w:val="20"/>
        </w:rPr>
        <w:t>CATT</w:t>
      </w:r>
    </w:p>
    <w:p>
      <w:pPr>
        <w:pStyle w:val="132"/>
        <w:numPr>
          <w:ilvl w:val="0"/>
          <w:numId w:val="57"/>
        </w:numPr>
        <w:ind w:leftChars="0"/>
        <w:rPr>
          <w:rFonts w:ascii="Arial" w:hAnsi="Arial" w:cs="Arial"/>
          <w:sz w:val="20"/>
          <w:szCs w:val="20"/>
        </w:rPr>
      </w:pPr>
      <w:r>
        <w:rPr>
          <w:rFonts w:ascii="Arial" w:hAnsi="Arial" w:cs="Arial"/>
          <w:sz w:val="20"/>
          <w:szCs w:val="20"/>
        </w:rPr>
        <w:t>R2-2309758</w:t>
      </w:r>
      <w:r>
        <w:rPr>
          <w:rFonts w:ascii="Arial" w:hAnsi="Arial" w:cs="Arial"/>
          <w:sz w:val="20"/>
          <w:szCs w:val="20"/>
        </w:rPr>
        <w:tab/>
      </w:r>
      <w:r>
        <w:rPr>
          <w:rFonts w:ascii="Arial" w:hAnsi="Arial" w:cs="Arial"/>
          <w:sz w:val="20"/>
          <w:szCs w:val="20"/>
        </w:rPr>
        <w:t>Discussion on HARQ enhancement</w:t>
      </w:r>
      <w:r>
        <w:rPr>
          <w:rFonts w:ascii="Arial" w:hAnsi="Arial" w:cs="Arial"/>
          <w:sz w:val="20"/>
          <w:szCs w:val="20"/>
        </w:rPr>
        <w:tab/>
      </w:r>
      <w:r>
        <w:rPr>
          <w:rFonts w:ascii="Arial" w:hAnsi="Arial" w:cs="Arial"/>
          <w:sz w:val="20"/>
          <w:szCs w:val="20"/>
        </w:rPr>
        <w:t>Xiaomi</w:t>
      </w:r>
    </w:p>
    <w:p>
      <w:pPr>
        <w:pStyle w:val="132"/>
        <w:numPr>
          <w:ilvl w:val="0"/>
          <w:numId w:val="57"/>
        </w:numPr>
        <w:ind w:leftChars="0"/>
        <w:rPr>
          <w:rFonts w:ascii="Arial" w:hAnsi="Arial" w:cs="Arial"/>
          <w:sz w:val="20"/>
          <w:szCs w:val="20"/>
        </w:rPr>
      </w:pPr>
      <w:r>
        <w:rPr>
          <w:rFonts w:ascii="Arial" w:hAnsi="Arial" w:cs="Arial"/>
          <w:sz w:val="20"/>
          <w:szCs w:val="20"/>
        </w:rPr>
        <w:t>R2-2309781</w:t>
      </w:r>
      <w:r>
        <w:rPr>
          <w:rFonts w:ascii="Arial" w:hAnsi="Arial" w:cs="Arial"/>
          <w:sz w:val="20"/>
          <w:szCs w:val="20"/>
        </w:rPr>
        <w:tab/>
      </w:r>
      <w:r>
        <w:rPr>
          <w:rFonts w:ascii="Arial" w:hAnsi="Arial" w:cs="Arial"/>
          <w:sz w:val="20"/>
          <w:szCs w:val="20"/>
        </w:rPr>
        <w:t>On Disabling HARQ Feedback in IoT-NTN</w:t>
      </w:r>
      <w:r>
        <w:rPr>
          <w:rFonts w:ascii="Arial" w:hAnsi="Arial" w:cs="Arial"/>
          <w:sz w:val="20"/>
          <w:szCs w:val="20"/>
        </w:rPr>
        <w:tab/>
      </w:r>
      <w:r>
        <w:rPr>
          <w:rFonts w:ascii="Arial" w:hAnsi="Arial" w:cs="Arial"/>
          <w:sz w:val="20"/>
          <w:szCs w:val="20"/>
        </w:rPr>
        <w:t>MediaTek Inc.</w:t>
      </w:r>
    </w:p>
    <w:p>
      <w:pPr>
        <w:pStyle w:val="132"/>
        <w:numPr>
          <w:ilvl w:val="0"/>
          <w:numId w:val="57"/>
        </w:numPr>
        <w:ind w:leftChars="0"/>
        <w:rPr>
          <w:rFonts w:ascii="Arial" w:hAnsi="Arial" w:cs="Arial"/>
          <w:sz w:val="20"/>
          <w:szCs w:val="20"/>
        </w:rPr>
      </w:pPr>
      <w:r>
        <w:rPr>
          <w:rFonts w:ascii="Arial" w:hAnsi="Arial" w:cs="Arial"/>
          <w:sz w:val="20"/>
          <w:szCs w:val="20"/>
        </w:rPr>
        <w:t>R2-2309956</w:t>
      </w:r>
      <w:r>
        <w:rPr>
          <w:rFonts w:ascii="Arial" w:hAnsi="Arial" w:cs="Arial"/>
          <w:sz w:val="20"/>
          <w:szCs w:val="20"/>
        </w:rPr>
        <w:tab/>
      </w:r>
      <w:r>
        <w:rPr>
          <w:rFonts w:ascii="Arial" w:hAnsi="Arial" w:cs="Arial"/>
          <w:sz w:val="20"/>
          <w:szCs w:val="20"/>
        </w:rPr>
        <w:t>Views on some remaining issues for HARQ in IoT NTN</w:t>
      </w:r>
      <w:r>
        <w:rPr>
          <w:rFonts w:ascii="Arial" w:hAnsi="Arial" w:cs="Arial"/>
          <w:sz w:val="20"/>
          <w:szCs w:val="20"/>
        </w:rPr>
        <w:tab/>
      </w:r>
      <w:r>
        <w:rPr>
          <w:rFonts w:ascii="Arial" w:hAnsi="Arial" w:cs="Arial"/>
          <w:sz w:val="20"/>
          <w:szCs w:val="20"/>
        </w:rPr>
        <w:t>Lenovo</w:t>
      </w:r>
    </w:p>
    <w:p>
      <w:pPr>
        <w:pStyle w:val="132"/>
        <w:numPr>
          <w:ilvl w:val="0"/>
          <w:numId w:val="57"/>
        </w:numPr>
        <w:ind w:leftChars="0"/>
        <w:rPr>
          <w:rFonts w:ascii="Arial" w:hAnsi="Arial" w:cs="Arial"/>
          <w:sz w:val="20"/>
          <w:szCs w:val="20"/>
        </w:rPr>
      </w:pPr>
      <w:r>
        <w:rPr>
          <w:rFonts w:ascii="Arial" w:hAnsi="Arial" w:cs="Arial"/>
          <w:sz w:val="20"/>
          <w:szCs w:val="20"/>
        </w:rPr>
        <w:t>R2-2310181</w:t>
      </w:r>
      <w:r>
        <w:rPr>
          <w:rFonts w:ascii="Arial" w:hAnsi="Arial" w:cs="Arial"/>
          <w:sz w:val="20"/>
          <w:szCs w:val="20"/>
        </w:rPr>
        <w:tab/>
      </w:r>
      <w:r>
        <w:rPr>
          <w:rFonts w:ascii="Arial" w:hAnsi="Arial" w:cs="Arial"/>
          <w:sz w:val="20"/>
          <w:szCs w:val="20"/>
        </w:rPr>
        <w:t>DCI-based HARQ feedback overriding solution</w:t>
      </w:r>
      <w:r>
        <w:rPr>
          <w:rFonts w:ascii="Arial" w:hAnsi="Arial" w:cs="Arial"/>
          <w:sz w:val="20"/>
          <w:szCs w:val="20"/>
        </w:rPr>
        <w:tab/>
      </w:r>
      <w:r>
        <w:rPr>
          <w:rFonts w:ascii="Arial" w:hAnsi="Arial" w:cs="Arial"/>
          <w:sz w:val="20"/>
          <w:szCs w:val="20"/>
        </w:rPr>
        <w:t>Qualcomm Incorporated</w:t>
      </w:r>
    </w:p>
    <w:p>
      <w:pPr>
        <w:pStyle w:val="132"/>
        <w:numPr>
          <w:ilvl w:val="0"/>
          <w:numId w:val="57"/>
        </w:numPr>
        <w:ind w:leftChars="0"/>
        <w:rPr>
          <w:rFonts w:ascii="Arial" w:hAnsi="Arial" w:cs="Arial"/>
          <w:sz w:val="20"/>
          <w:szCs w:val="20"/>
        </w:rPr>
      </w:pPr>
      <w:r>
        <w:rPr>
          <w:rFonts w:ascii="Arial" w:hAnsi="Arial" w:cs="Arial"/>
          <w:sz w:val="20"/>
          <w:szCs w:val="20"/>
        </w:rPr>
        <w:t>R2-2310269</w:t>
      </w:r>
      <w:r>
        <w:rPr>
          <w:rFonts w:ascii="Arial" w:hAnsi="Arial" w:cs="Arial"/>
          <w:sz w:val="20"/>
          <w:szCs w:val="20"/>
        </w:rPr>
        <w:tab/>
      </w:r>
      <w:r>
        <w:rPr>
          <w:rFonts w:ascii="Arial" w:hAnsi="Arial" w:cs="Arial"/>
          <w:sz w:val="20"/>
          <w:szCs w:val="20"/>
        </w:rPr>
        <w:t>Discussion on the HARQ enhancement for IoT-NTN</w:t>
      </w:r>
      <w:r>
        <w:rPr>
          <w:rFonts w:ascii="Arial" w:hAnsi="Arial" w:cs="Arial"/>
          <w:sz w:val="20"/>
          <w:szCs w:val="20"/>
        </w:rPr>
        <w:tab/>
      </w:r>
      <w:r>
        <w:rPr>
          <w:rFonts w:ascii="Arial" w:hAnsi="Arial" w:cs="Arial"/>
          <w:sz w:val="20"/>
          <w:szCs w:val="20"/>
        </w:rPr>
        <w:t>CMCC</w:t>
      </w:r>
    </w:p>
    <w:p>
      <w:pPr>
        <w:pStyle w:val="132"/>
        <w:numPr>
          <w:ilvl w:val="0"/>
          <w:numId w:val="57"/>
        </w:numPr>
        <w:ind w:leftChars="0"/>
        <w:rPr>
          <w:rFonts w:ascii="Arial" w:hAnsi="Arial" w:cs="Arial"/>
          <w:sz w:val="20"/>
          <w:szCs w:val="20"/>
        </w:rPr>
      </w:pPr>
      <w:r>
        <w:rPr>
          <w:rFonts w:ascii="Arial" w:hAnsi="Arial" w:cs="Arial"/>
          <w:sz w:val="20"/>
          <w:szCs w:val="20"/>
        </w:rPr>
        <w:t>R2-2310651</w:t>
      </w:r>
      <w:r>
        <w:rPr>
          <w:rFonts w:ascii="Arial" w:hAnsi="Arial" w:cs="Arial"/>
          <w:sz w:val="20"/>
          <w:szCs w:val="20"/>
        </w:rPr>
        <w:tab/>
      </w:r>
      <w:r>
        <w:rPr>
          <w:rFonts w:ascii="Arial" w:hAnsi="Arial" w:cs="Arial"/>
          <w:sz w:val="20"/>
          <w:szCs w:val="20"/>
        </w:rPr>
        <w:t>Further discussion on HARQ enhancements for IoT NTN</w:t>
      </w:r>
      <w:r>
        <w:rPr>
          <w:rFonts w:ascii="Arial" w:hAnsi="Arial" w:cs="Arial"/>
          <w:sz w:val="20"/>
          <w:szCs w:val="20"/>
        </w:rPr>
        <w:tab/>
      </w:r>
      <w:r>
        <w:rPr>
          <w:rFonts w:ascii="Arial" w:hAnsi="Arial" w:cs="Arial"/>
          <w:sz w:val="20"/>
          <w:szCs w:val="20"/>
        </w:rPr>
        <w:t>Nokia, Nokia Shanghai Bell</w:t>
      </w:r>
    </w:p>
    <w:p>
      <w:pPr>
        <w:pStyle w:val="132"/>
        <w:numPr>
          <w:ilvl w:val="0"/>
          <w:numId w:val="57"/>
        </w:numPr>
        <w:ind w:leftChars="0"/>
        <w:rPr>
          <w:rFonts w:ascii="Arial" w:hAnsi="Arial" w:cs="Arial"/>
          <w:sz w:val="20"/>
          <w:szCs w:val="20"/>
        </w:rPr>
      </w:pPr>
      <w:r>
        <w:rPr>
          <w:rFonts w:ascii="Arial" w:hAnsi="Arial" w:cs="Arial"/>
          <w:sz w:val="20"/>
          <w:szCs w:val="20"/>
        </w:rPr>
        <w:t>R2-2310805</w:t>
      </w:r>
      <w:r>
        <w:rPr>
          <w:rFonts w:ascii="Arial" w:hAnsi="Arial" w:cs="Arial"/>
          <w:sz w:val="20"/>
          <w:szCs w:val="20"/>
        </w:rPr>
        <w:tab/>
      </w:r>
      <w:r>
        <w:rPr>
          <w:rFonts w:ascii="Arial" w:hAnsi="Arial" w:cs="Arial"/>
          <w:sz w:val="20"/>
          <w:szCs w:val="20"/>
        </w:rPr>
        <w:t>Disabling HARQ feedback for IoT-NTN</w:t>
      </w:r>
      <w:r>
        <w:rPr>
          <w:rFonts w:ascii="Arial" w:hAnsi="Arial" w:cs="Arial"/>
          <w:sz w:val="20"/>
          <w:szCs w:val="20"/>
        </w:rPr>
        <w:tab/>
      </w:r>
      <w:r>
        <w:rPr>
          <w:rFonts w:ascii="Arial" w:hAnsi="Arial" w:cs="Arial"/>
          <w:sz w:val="20"/>
          <w:szCs w:val="20"/>
        </w:rPr>
        <w:t>Interdigital, Inc.</w:t>
      </w:r>
    </w:p>
    <w:p>
      <w:pPr>
        <w:pStyle w:val="132"/>
        <w:numPr>
          <w:ilvl w:val="0"/>
          <w:numId w:val="57"/>
        </w:numPr>
        <w:ind w:leftChars="0"/>
        <w:rPr>
          <w:rFonts w:ascii="Arial" w:hAnsi="Arial" w:cs="Arial"/>
          <w:sz w:val="20"/>
          <w:szCs w:val="20"/>
        </w:rPr>
      </w:pPr>
      <w:r>
        <w:rPr>
          <w:rFonts w:ascii="Arial" w:hAnsi="Arial" w:cs="Arial"/>
          <w:sz w:val="20"/>
          <w:szCs w:val="20"/>
        </w:rPr>
        <w:t>R2-2310820</w:t>
      </w:r>
      <w:r>
        <w:rPr>
          <w:rFonts w:ascii="Arial" w:hAnsi="Arial" w:cs="Arial"/>
          <w:sz w:val="20"/>
          <w:szCs w:val="20"/>
        </w:rPr>
        <w:tab/>
      </w:r>
      <w:r>
        <w:rPr>
          <w:rFonts w:ascii="Arial" w:hAnsi="Arial" w:cs="Arial"/>
          <w:sz w:val="20"/>
          <w:szCs w:val="20"/>
        </w:rPr>
        <w:t>Remaining issues of HARQ enhancements</w:t>
      </w:r>
      <w:r>
        <w:rPr>
          <w:rFonts w:ascii="Arial" w:hAnsi="Arial" w:cs="Arial"/>
          <w:sz w:val="20"/>
          <w:szCs w:val="20"/>
        </w:rPr>
        <w:tab/>
      </w:r>
      <w:r>
        <w:rPr>
          <w:rFonts w:ascii="Arial" w:hAnsi="Arial" w:cs="Arial"/>
          <w:sz w:val="20"/>
          <w:szCs w:val="20"/>
        </w:rPr>
        <w:t>ZTE Corporation, Sanechips</w:t>
      </w:r>
    </w:p>
    <w:p>
      <w:pPr>
        <w:pStyle w:val="132"/>
        <w:numPr>
          <w:ilvl w:val="0"/>
          <w:numId w:val="57"/>
        </w:numPr>
        <w:ind w:leftChars="0"/>
        <w:rPr>
          <w:rFonts w:ascii="Arial" w:hAnsi="Arial" w:cs="Arial"/>
          <w:sz w:val="20"/>
          <w:szCs w:val="20"/>
        </w:rPr>
      </w:pPr>
      <w:r>
        <w:rPr>
          <w:rFonts w:ascii="Arial" w:hAnsi="Arial" w:cs="Arial"/>
          <w:sz w:val="20"/>
          <w:szCs w:val="20"/>
        </w:rPr>
        <w:t>R2-2311243</w:t>
      </w:r>
      <w:r>
        <w:rPr>
          <w:rFonts w:ascii="Arial" w:hAnsi="Arial" w:cs="Arial"/>
          <w:sz w:val="20"/>
          <w:szCs w:val="20"/>
        </w:rPr>
        <w:tab/>
      </w:r>
      <w:r>
        <w:rPr>
          <w:rFonts w:ascii="Arial" w:hAnsi="Arial" w:cs="Arial"/>
          <w:sz w:val="20"/>
          <w:szCs w:val="20"/>
        </w:rPr>
        <w:t>R18 IoT NTN HARQ enhancements</w:t>
      </w:r>
      <w:r>
        <w:rPr>
          <w:rFonts w:ascii="Arial" w:hAnsi="Arial" w:cs="Arial"/>
          <w:sz w:val="20"/>
          <w:szCs w:val="20"/>
        </w:rPr>
        <w:tab/>
      </w:r>
      <w:r>
        <w:rPr>
          <w:rFonts w:ascii="Arial" w:hAnsi="Arial" w:cs="Arial"/>
          <w:sz w:val="20"/>
          <w:szCs w:val="20"/>
        </w:rPr>
        <w:t>Ericsson</w:t>
      </w:r>
    </w:p>
    <w:p>
      <w:pPr>
        <w:pStyle w:val="132"/>
        <w:ind w:left="720" w:leftChars="0"/>
        <w:rPr>
          <w:rFonts w:ascii="Arial" w:hAnsi="Arial" w:cs="Arial"/>
          <w:sz w:val="20"/>
          <w:szCs w:val="20"/>
        </w:rPr>
      </w:pPr>
    </w:p>
    <w:p>
      <w:pPr>
        <w:tabs>
          <w:tab w:val="left" w:pos="567"/>
        </w:tabs>
        <w:snapToGrid w:val="0"/>
        <w:rPr>
          <w:rFonts w:ascii="Arial" w:hAnsi="Arial" w:cs="Arial"/>
          <w:bCs/>
          <w:u w:val="single"/>
        </w:rPr>
      </w:pPr>
      <w:r>
        <w:rPr>
          <w:rFonts w:ascii="Arial" w:hAnsi="Arial" w:cs="Arial"/>
          <w:bCs/>
          <w:u w:val="single"/>
        </w:rPr>
        <w:t>Submitted TDocs to AI 7.6.2.2</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R2-2309531  Discussion on GNSS operation for IoT NTN</w:t>
      </w:r>
      <w:r>
        <w:rPr>
          <w:rFonts w:ascii="Arial" w:hAnsi="Arial" w:cs="Arial"/>
          <w:bCs/>
          <w:sz w:val="20"/>
          <w:szCs w:val="20"/>
        </w:rPr>
        <w:tab/>
      </w:r>
      <w:r>
        <w:rPr>
          <w:rFonts w:ascii="Arial" w:hAnsi="Arial" w:cs="Arial"/>
          <w:bCs/>
          <w:sz w:val="20"/>
          <w:szCs w:val="20"/>
        </w:rPr>
        <w:t>OPPO</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R2-2309658</w:t>
      </w:r>
      <w:r>
        <w:rPr>
          <w:rFonts w:ascii="Arial" w:hAnsi="Arial" w:cs="Arial"/>
          <w:bCs/>
          <w:sz w:val="20"/>
          <w:szCs w:val="20"/>
        </w:rPr>
        <w:tab/>
      </w:r>
      <w:r>
        <w:rPr>
          <w:rFonts w:ascii="Arial" w:hAnsi="Arial" w:cs="Arial"/>
          <w:bCs/>
          <w:sz w:val="20"/>
          <w:szCs w:val="20"/>
        </w:rPr>
        <w:t xml:space="preserve"> Discussion on GNSS Operation for IoT NTN</w:t>
      </w:r>
      <w:r>
        <w:rPr>
          <w:rFonts w:ascii="Arial" w:hAnsi="Arial" w:cs="Arial"/>
          <w:bCs/>
          <w:sz w:val="20"/>
          <w:szCs w:val="20"/>
        </w:rPr>
        <w:tab/>
      </w:r>
      <w:r>
        <w:rPr>
          <w:rFonts w:ascii="Arial" w:hAnsi="Arial" w:cs="Arial"/>
          <w:bCs/>
          <w:sz w:val="20"/>
          <w:szCs w:val="20"/>
        </w:rPr>
        <w:t>vivo</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R2-2309702</w:t>
      </w:r>
      <w:r>
        <w:rPr>
          <w:rFonts w:ascii="Arial" w:hAnsi="Arial" w:cs="Arial"/>
          <w:bCs/>
          <w:sz w:val="20"/>
          <w:szCs w:val="20"/>
        </w:rPr>
        <w:tab/>
      </w:r>
      <w:r>
        <w:rPr>
          <w:rFonts w:ascii="Arial" w:hAnsi="Arial" w:cs="Arial"/>
          <w:bCs/>
          <w:sz w:val="20"/>
          <w:szCs w:val="20"/>
        </w:rPr>
        <w:t xml:space="preserve"> Discussion on the impact of GNSS measurement</w:t>
      </w:r>
      <w:r>
        <w:rPr>
          <w:rFonts w:ascii="Arial" w:hAnsi="Arial" w:cs="Arial"/>
          <w:bCs/>
          <w:sz w:val="20"/>
          <w:szCs w:val="20"/>
        </w:rPr>
        <w:tab/>
      </w:r>
      <w:r>
        <w:rPr>
          <w:rFonts w:ascii="Arial" w:hAnsi="Arial" w:cs="Arial"/>
          <w:bCs/>
          <w:sz w:val="20"/>
          <w:szCs w:val="20"/>
        </w:rPr>
        <w:t>Huawei, Turkcell, HiSilicon</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R2-2309751</w:t>
      </w:r>
      <w:r>
        <w:rPr>
          <w:rFonts w:ascii="Arial" w:hAnsi="Arial" w:cs="Arial"/>
          <w:bCs/>
          <w:sz w:val="20"/>
          <w:szCs w:val="20"/>
        </w:rPr>
        <w:tab/>
      </w:r>
      <w:r>
        <w:rPr>
          <w:rFonts w:ascii="Arial" w:hAnsi="Arial" w:cs="Arial"/>
          <w:bCs/>
          <w:sz w:val="20"/>
          <w:szCs w:val="20"/>
        </w:rPr>
        <w:t xml:space="preserve"> Discussion on GNSS operation enhancements</w:t>
      </w:r>
      <w:r>
        <w:rPr>
          <w:rFonts w:ascii="Arial" w:hAnsi="Arial" w:cs="Arial"/>
          <w:bCs/>
          <w:sz w:val="20"/>
          <w:szCs w:val="20"/>
        </w:rPr>
        <w:tab/>
      </w:r>
      <w:r>
        <w:rPr>
          <w:rFonts w:ascii="Arial" w:hAnsi="Arial" w:cs="Arial"/>
          <w:bCs/>
          <w:sz w:val="20"/>
          <w:szCs w:val="20"/>
        </w:rPr>
        <w:t>CATT</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R2-2309757</w:t>
      </w:r>
      <w:r>
        <w:rPr>
          <w:rFonts w:ascii="Arial" w:hAnsi="Arial" w:cs="Arial"/>
          <w:bCs/>
          <w:sz w:val="20"/>
          <w:szCs w:val="20"/>
        </w:rPr>
        <w:tab/>
      </w:r>
      <w:r>
        <w:rPr>
          <w:rFonts w:ascii="Arial" w:hAnsi="Arial" w:cs="Arial"/>
          <w:bCs/>
          <w:sz w:val="20"/>
          <w:szCs w:val="20"/>
        </w:rPr>
        <w:t xml:space="preserve"> Discussion on GNSS operation enhancement</w:t>
      </w:r>
      <w:r>
        <w:rPr>
          <w:rFonts w:ascii="Arial" w:hAnsi="Arial" w:cs="Arial"/>
          <w:bCs/>
          <w:sz w:val="20"/>
          <w:szCs w:val="20"/>
        </w:rPr>
        <w:tab/>
      </w:r>
      <w:r>
        <w:rPr>
          <w:rFonts w:ascii="Arial" w:hAnsi="Arial" w:cs="Arial"/>
          <w:bCs/>
          <w:sz w:val="20"/>
          <w:szCs w:val="20"/>
        </w:rPr>
        <w:t>Xiaomi</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R2-2309782</w:t>
      </w:r>
      <w:r>
        <w:rPr>
          <w:rFonts w:ascii="Arial" w:hAnsi="Arial" w:cs="Arial"/>
          <w:bCs/>
          <w:sz w:val="20"/>
          <w:szCs w:val="20"/>
        </w:rPr>
        <w:tab/>
      </w:r>
      <w:r>
        <w:rPr>
          <w:rFonts w:ascii="Arial" w:hAnsi="Arial" w:cs="Arial"/>
          <w:bCs/>
          <w:sz w:val="20"/>
          <w:szCs w:val="20"/>
        </w:rPr>
        <w:t xml:space="preserve"> Enhancements on GNSS operation</w:t>
      </w:r>
      <w:r>
        <w:rPr>
          <w:rFonts w:ascii="Arial" w:hAnsi="Arial" w:cs="Arial"/>
          <w:bCs/>
          <w:sz w:val="20"/>
          <w:szCs w:val="20"/>
        </w:rPr>
        <w:tab/>
      </w:r>
      <w:r>
        <w:rPr>
          <w:rFonts w:ascii="Arial" w:hAnsi="Arial" w:cs="Arial"/>
          <w:bCs/>
          <w:sz w:val="20"/>
          <w:szCs w:val="20"/>
        </w:rPr>
        <w:t>MediaTek Inc.</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R2-2309957</w:t>
      </w:r>
      <w:r>
        <w:rPr>
          <w:rFonts w:ascii="Arial" w:hAnsi="Arial" w:cs="Arial"/>
          <w:bCs/>
          <w:sz w:val="20"/>
          <w:szCs w:val="20"/>
        </w:rPr>
        <w:tab/>
      </w:r>
      <w:r>
        <w:rPr>
          <w:rFonts w:ascii="Arial" w:hAnsi="Arial" w:cs="Arial"/>
          <w:bCs/>
          <w:sz w:val="20"/>
          <w:szCs w:val="20"/>
        </w:rPr>
        <w:t xml:space="preserve"> Views on some remaining issues for GNSS operations in IoT NTN</w:t>
      </w:r>
      <w:r>
        <w:rPr>
          <w:rFonts w:ascii="Arial" w:hAnsi="Arial" w:cs="Arial"/>
          <w:bCs/>
          <w:sz w:val="20"/>
          <w:szCs w:val="20"/>
        </w:rPr>
        <w:tab/>
      </w:r>
      <w:r>
        <w:rPr>
          <w:rFonts w:ascii="Arial" w:hAnsi="Arial" w:cs="Arial"/>
          <w:bCs/>
          <w:sz w:val="20"/>
          <w:szCs w:val="20"/>
        </w:rPr>
        <w:t>Lenovo</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R2-2309997</w:t>
      </w:r>
      <w:r>
        <w:rPr>
          <w:rFonts w:ascii="Arial" w:hAnsi="Arial" w:cs="Arial"/>
          <w:bCs/>
          <w:sz w:val="20"/>
          <w:szCs w:val="20"/>
        </w:rPr>
        <w:tab/>
      </w:r>
      <w:r>
        <w:rPr>
          <w:rFonts w:ascii="Arial" w:hAnsi="Arial" w:cs="Arial"/>
          <w:bCs/>
          <w:sz w:val="20"/>
          <w:szCs w:val="20"/>
        </w:rPr>
        <w:t xml:space="preserve"> Remaining issues on the GNSS operation</w:t>
      </w:r>
      <w:r>
        <w:rPr>
          <w:rFonts w:ascii="Arial" w:hAnsi="Arial" w:cs="Arial"/>
          <w:bCs/>
          <w:sz w:val="20"/>
          <w:szCs w:val="20"/>
        </w:rPr>
        <w:tab/>
      </w:r>
      <w:r>
        <w:rPr>
          <w:rFonts w:ascii="Arial" w:hAnsi="Arial" w:cs="Arial"/>
          <w:bCs/>
          <w:sz w:val="20"/>
          <w:szCs w:val="20"/>
        </w:rPr>
        <w:t>Google Inc.</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R2-2310184</w:t>
      </w:r>
      <w:r>
        <w:rPr>
          <w:rFonts w:ascii="Arial" w:hAnsi="Arial" w:cs="Arial"/>
          <w:bCs/>
          <w:sz w:val="20"/>
          <w:szCs w:val="20"/>
        </w:rPr>
        <w:tab/>
      </w:r>
      <w:r>
        <w:rPr>
          <w:rFonts w:ascii="Arial" w:hAnsi="Arial" w:cs="Arial"/>
          <w:bCs/>
          <w:sz w:val="20"/>
          <w:szCs w:val="20"/>
        </w:rPr>
        <w:t xml:space="preserve"> GNSS fix in RRC_CONNECTED</w:t>
      </w:r>
      <w:r>
        <w:rPr>
          <w:rFonts w:ascii="Arial" w:hAnsi="Arial" w:cs="Arial"/>
          <w:bCs/>
          <w:sz w:val="20"/>
          <w:szCs w:val="20"/>
        </w:rPr>
        <w:tab/>
      </w:r>
      <w:r>
        <w:rPr>
          <w:rFonts w:ascii="Arial" w:hAnsi="Arial" w:cs="Arial"/>
          <w:bCs/>
          <w:sz w:val="20"/>
          <w:szCs w:val="20"/>
        </w:rPr>
        <w:t>Qualcomm Incorporated</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R2-2310270</w:t>
      </w:r>
      <w:r>
        <w:rPr>
          <w:rFonts w:ascii="Arial" w:hAnsi="Arial" w:cs="Arial"/>
          <w:bCs/>
          <w:sz w:val="20"/>
          <w:szCs w:val="20"/>
        </w:rPr>
        <w:tab/>
      </w:r>
      <w:r>
        <w:rPr>
          <w:rFonts w:ascii="Arial" w:hAnsi="Arial" w:cs="Arial"/>
          <w:bCs/>
          <w:sz w:val="20"/>
          <w:szCs w:val="20"/>
        </w:rPr>
        <w:t xml:space="preserve"> Discussion on GNSS enhancement for IoT-NTN</w:t>
      </w:r>
      <w:r>
        <w:rPr>
          <w:rFonts w:ascii="Arial" w:hAnsi="Arial" w:cs="Arial"/>
          <w:bCs/>
          <w:sz w:val="20"/>
          <w:szCs w:val="20"/>
        </w:rPr>
        <w:tab/>
      </w:r>
      <w:r>
        <w:rPr>
          <w:rFonts w:ascii="Arial" w:hAnsi="Arial" w:cs="Arial"/>
          <w:bCs/>
          <w:sz w:val="20"/>
          <w:szCs w:val="20"/>
        </w:rPr>
        <w:t>CMCC</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R2-2310323</w:t>
      </w:r>
      <w:r>
        <w:rPr>
          <w:rFonts w:ascii="Arial" w:hAnsi="Arial" w:cs="Arial"/>
          <w:bCs/>
          <w:sz w:val="20"/>
          <w:szCs w:val="20"/>
        </w:rPr>
        <w:tab/>
      </w:r>
      <w:r>
        <w:rPr>
          <w:rFonts w:ascii="Arial" w:hAnsi="Arial" w:cs="Arial"/>
          <w:bCs/>
          <w:sz w:val="20"/>
          <w:szCs w:val="20"/>
        </w:rPr>
        <w:t xml:space="preserve"> Concluding critical issues in improved GNSS operation</w:t>
      </w:r>
      <w:r>
        <w:rPr>
          <w:rFonts w:ascii="Arial" w:hAnsi="Arial" w:cs="Arial"/>
          <w:bCs/>
          <w:sz w:val="20"/>
          <w:szCs w:val="20"/>
        </w:rPr>
        <w:tab/>
      </w:r>
      <w:r>
        <w:rPr>
          <w:rFonts w:ascii="Arial" w:hAnsi="Arial" w:cs="Arial"/>
          <w:bCs/>
          <w:sz w:val="20"/>
          <w:szCs w:val="20"/>
        </w:rPr>
        <w:t>Apple</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R2-2310650</w:t>
      </w:r>
      <w:r>
        <w:rPr>
          <w:rFonts w:ascii="Arial" w:hAnsi="Arial" w:cs="Arial"/>
          <w:bCs/>
          <w:sz w:val="20"/>
          <w:szCs w:val="20"/>
        </w:rPr>
        <w:tab/>
      </w:r>
      <w:r>
        <w:rPr>
          <w:rFonts w:ascii="Arial" w:hAnsi="Arial" w:cs="Arial"/>
          <w:bCs/>
          <w:sz w:val="20"/>
          <w:szCs w:val="20"/>
        </w:rPr>
        <w:t xml:space="preserve"> GNSS Validity duration Reporting</w:t>
      </w:r>
      <w:r>
        <w:rPr>
          <w:rFonts w:ascii="Arial" w:hAnsi="Arial" w:cs="Arial"/>
          <w:bCs/>
          <w:sz w:val="20"/>
          <w:szCs w:val="20"/>
        </w:rPr>
        <w:tab/>
      </w:r>
      <w:r>
        <w:rPr>
          <w:rFonts w:ascii="Arial" w:hAnsi="Arial" w:cs="Arial"/>
          <w:bCs/>
          <w:sz w:val="20"/>
          <w:szCs w:val="20"/>
        </w:rPr>
        <w:t>Nordic Semiconductor ASA</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R2-2310652</w:t>
      </w:r>
      <w:r>
        <w:rPr>
          <w:rFonts w:ascii="Arial" w:hAnsi="Arial" w:cs="Arial"/>
          <w:bCs/>
          <w:sz w:val="20"/>
          <w:szCs w:val="20"/>
        </w:rPr>
        <w:tab/>
      </w:r>
      <w:r>
        <w:rPr>
          <w:rFonts w:ascii="Arial" w:hAnsi="Arial" w:cs="Arial"/>
          <w:bCs/>
          <w:sz w:val="20"/>
          <w:szCs w:val="20"/>
        </w:rPr>
        <w:t xml:space="preserve"> Further discussion on GNSS operation enhancement in Rel-18 IoT NTN</w:t>
      </w:r>
      <w:r>
        <w:rPr>
          <w:rFonts w:ascii="Arial" w:hAnsi="Arial" w:cs="Arial"/>
          <w:bCs/>
          <w:sz w:val="20"/>
          <w:szCs w:val="20"/>
        </w:rPr>
        <w:tab/>
      </w:r>
      <w:r>
        <w:rPr>
          <w:rFonts w:ascii="Arial" w:hAnsi="Arial" w:cs="Arial"/>
          <w:bCs/>
          <w:sz w:val="20"/>
          <w:szCs w:val="20"/>
        </w:rPr>
        <w:t>Nokia, Nokia Shanghai Bell</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R2-2310806</w:t>
      </w:r>
      <w:r>
        <w:rPr>
          <w:rFonts w:ascii="Arial" w:hAnsi="Arial" w:cs="Arial"/>
          <w:bCs/>
          <w:sz w:val="20"/>
          <w:szCs w:val="20"/>
        </w:rPr>
        <w:tab/>
      </w:r>
      <w:r>
        <w:rPr>
          <w:rFonts w:ascii="Arial" w:hAnsi="Arial" w:cs="Arial"/>
          <w:bCs/>
          <w:sz w:val="20"/>
          <w:szCs w:val="20"/>
        </w:rPr>
        <w:t xml:space="preserve"> GNSS acquisition and reporting for IoT NTN</w:t>
      </w:r>
      <w:r>
        <w:rPr>
          <w:rFonts w:ascii="Arial" w:hAnsi="Arial" w:cs="Arial"/>
          <w:bCs/>
          <w:sz w:val="20"/>
          <w:szCs w:val="20"/>
        </w:rPr>
        <w:tab/>
      </w:r>
      <w:r>
        <w:rPr>
          <w:rFonts w:ascii="Arial" w:hAnsi="Arial" w:cs="Arial"/>
          <w:bCs/>
          <w:sz w:val="20"/>
          <w:szCs w:val="20"/>
        </w:rPr>
        <w:t>Interdigital, Inc.</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R2-2310821</w:t>
      </w:r>
      <w:r>
        <w:rPr>
          <w:rFonts w:ascii="Arial" w:hAnsi="Arial" w:cs="Arial"/>
          <w:bCs/>
          <w:sz w:val="20"/>
          <w:szCs w:val="20"/>
        </w:rPr>
        <w:tab/>
      </w:r>
      <w:r>
        <w:rPr>
          <w:rFonts w:ascii="Arial" w:hAnsi="Arial" w:cs="Arial"/>
          <w:bCs/>
          <w:sz w:val="20"/>
          <w:szCs w:val="20"/>
        </w:rPr>
        <w:t xml:space="preserve"> Remaining issues of GNSS enhancements</w:t>
      </w:r>
      <w:r>
        <w:rPr>
          <w:rFonts w:ascii="Arial" w:hAnsi="Arial" w:cs="Arial"/>
          <w:bCs/>
          <w:sz w:val="20"/>
          <w:szCs w:val="20"/>
        </w:rPr>
        <w:tab/>
      </w:r>
      <w:r>
        <w:rPr>
          <w:rFonts w:ascii="Arial" w:hAnsi="Arial" w:cs="Arial"/>
          <w:bCs/>
          <w:sz w:val="20"/>
          <w:szCs w:val="20"/>
        </w:rPr>
        <w:t>ZTE Corporation, Sanechips</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R2-2311036</w:t>
      </w:r>
      <w:r>
        <w:rPr>
          <w:rFonts w:ascii="Arial" w:hAnsi="Arial" w:cs="Arial"/>
          <w:bCs/>
          <w:sz w:val="20"/>
          <w:szCs w:val="20"/>
        </w:rPr>
        <w:tab/>
      </w:r>
      <w:r>
        <w:rPr>
          <w:rFonts w:ascii="Arial" w:hAnsi="Arial" w:cs="Arial"/>
          <w:bCs/>
          <w:sz w:val="20"/>
          <w:szCs w:val="20"/>
        </w:rPr>
        <w:t xml:space="preserve"> On improved GNSS operation for IoT NTN</w:t>
      </w:r>
      <w:r>
        <w:rPr>
          <w:rFonts w:ascii="Arial" w:hAnsi="Arial" w:cs="Arial"/>
          <w:bCs/>
          <w:sz w:val="20"/>
          <w:szCs w:val="20"/>
        </w:rPr>
        <w:tab/>
      </w:r>
      <w:r>
        <w:rPr>
          <w:rFonts w:ascii="Arial" w:hAnsi="Arial" w:cs="Arial"/>
          <w:bCs/>
          <w:sz w:val="20"/>
          <w:szCs w:val="20"/>
        </w:rPr>
        <w:t>Samsung Electronics Polska</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R2-2311086</w:t>
      </w:r>
      <w:r>
        <w:rPr>
          <w:rFonts w:ascii="Arial" w:hAnsi="Arial" w:cs="Arial"/>
          <w:bCs/>
          <w:sz w:val="20"/>
          <w:szCs w:val="20"/>
        </w:rPr>
        <w:tab/>
      </w:r>
      <w:r>
        <w:rPr>
          <w:rFonts w:ascii="Arial" w:hAnsi="Arial" w:cs="Arial"/>
          <w:bCs/>
          <w:sz w:val="20"/>
          <w:szCs w:val="20"/>
        </w:rPr>
        <w:t xml:space="preserve"> Discussion of GNSS operation enhancements</w:t>
      </w:r>
      <w:r>
        <w:rPr>
          <w:rFonts w:ascii="Arial" w:hAnsi="Arial" w:cs="Arial"/>
          <w:bCs/>
          <w:sz w:val="20"/>
          <w:szCs w:val="20"/>
        </w:rPr>
        <w:tab/>
      </w:r>
      <w:r>
        <w:rPr>
          <w:rFonts w:ascii="Arial" w:hAnsi="Arial" w:cs="Arial"/>
          <w:bCs/>
          <w:sz w:val="20"/>
          <w:szCs w:val="20"/>
        </w:rPr>
        <w:t>SHARP Corporation</w:t>
      </w:r>
    </w:p>
    <w:p>
      <w:pPr>
        <w:pStyle w:val="132"/>
        <w:numPr>
          <w:ilvl w:val="0"/>
          <w:numId w:val="58"/>
        </w:numPr>
        <w:tabs>
          <w:tab w:val="left" w:pos="567"/>
        </w:tabs>
        <w:snapToGrid w:val="0"/>
        <w:ind w:leftChars="0"/>
        <w:rPr>
          <w:rFonts w:ascii="Arial" w:hAnsi="Arial" w:cs="Arial"/>
          <w:bCs/>
          <w:sz w:val="20"/>
          <w:szCs w:val="20"/>
        </w:rPr>
      </w:pPr>
      <w:r>
        <w:rPr>
          <w:rFonts w:ascii="Arial" w:hAnsi="Arial" w:cs="Arial"/>
          <w:bCs/>
          <w:sz w:val="20"/>
          <w:szCs w:val="20"/>
        </w:rPr>
        <w:t>R2-2311242</w:t>
      </w:r>
      <w:r>
        <w:rPr>
          <w:rFonts w:ascii="Arial" w:hAnsi="Arial" w:cs="Arial"/>
          <w:bCs/>
          <w:sz w:val="20"/>
          <w:szCs w:val="20"/>
        </w:rPr>
        <w:tab/>
      </w:r>
      <w:r>
        <w:rPr>
          <w:rFonts w:ascii="Arial" w:hAnsi="Arial" w:cs="Arial"/>
          <w:bCs/>
          <w:sz w:val="20"/>
          <w:szCs w:val="20"/>
        </w:rPr>
        <w:t xml:space="preserve"> R18 IoT NTN GNSS operation enhancements</w:t>
      </w:r>
      <w:r>
        <w:rPr>
          <w:rFonts w:ascii="Arial" w:hAnsi="Arial" w:cs="Arial"/>
          <w:bCs/>
          <w:sz w:val="20"/>
          <w:szCs w:val="20"/>
        </w:rPr>
        <w:tab/>
      </w:r>
      <w:r>
        <w:rPr>
          <w:rFonts w:ascii="Arial" w:hAnsi="Arial" w:cs="Arial"/>
          <w:bCs/>
          <w:sz w:val="20"/>
          <w:szCs w:val="20"/>
        </w:rPr>
        <w:t>Ericsson</w:t>
      </w:r>
    </w:p>
    <w:p>
      <w:pPr>
        <w:pStyle w:val="132"/>
        <w:tabs>
          <w:tab w:val="left" w:pos="567"/>
        </w:tabs>
        <w:snapToGrid w:val="0"/>
        <w:ind w:left="36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7.6.3.1</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R2-2309528</w:t>
      </w:r>
      <w:r>
        <w:rPr>
          <w:rFonts w:ascii="Arial" w:hAnsi="Arial" w:cs="Arial"/>
          <w:bCs/>
          <w:sz w:val="20"/>
          <w:szCs w:val="20"/>
        </w:rPr>
        <w:tab/>
      </w:r>
      <w:r>
        <w:rPr>
          <w:rFonts w:ascii="Arial" w:hAnsi="Arial" w:cs="Arial"/>
          <w:bCs/>
          <w:sz w:val="20"/>
          <w:szCs w:val="20"/>
        </w:rPr>
        <w:t xml:space="preserve"> Discussion on mobility enhancement for IoT NTN</w:t>
      </w:r>
      <w:r>
        <w:rPr>
          <w:rFonts w:ascii="Arial" w:hAnsi="Arial" w:cs="Arial"/>
          <w:bCs/>
          <w:sz w:val="20"/>
          <w:szCs w:val="20"/>
        </w:rPr>
        <w:tab/>
      </w:r>
      <w:r>
        <w:rPr>
          <w:rFonts w:ascii="Arial" w:hAnsi="Arial" w:cs="Arial"/>
          <w:bCs/>
          <w:sz w:val="20"/>
          <w:szCs w:val="20"/>
        </w:rPr>
        <w:t>OPPO</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R2-2309762</w:t>
      </w:r>
      <w:r>
        <w:rPr>
          <w:rFonts w:ascii="Arial" w:hAnsi="Arial" w:cs="Arial"/>
          <w:bCs/>
          <w:sz w:val="20"/>
          <w:szCs w:val="20"/>
        </w:rPr>
        <w:tab/>
      </w:r>
      <w:r>
        <w:rPr>
          <w:rFonts w:ascii="Arial" w:hAnsi="Arial" w:cs="Arial"/>
          <w:bCs/>
          <w:sz w:val="20"/>
          <w:szCs w:val="20"/>
        </w:rPr>
        <w:t xml:space="preserve"> Discussion on UE behavior when serving cell t-service expires</w:t>
      </w:r>
      <w:r>
        <w:rPr>
          <w:rFonts w:ascii="Arial" w:hAnsi="Arial" w:cs="Arial"/>
          <w:bCs/>
          <w:sz w:val="20"/>
          <w:szCs w:val="20"/>
        </w:rPr>
        <w:tab/>
      </w:r>
      <w:r>
        <w:rPr>
          <w:rFonts w:ascii="Arial" w:hAnsi="Arial" w:cs="Arial"/>
          <w:bCs/>
          <w:sz w:val="20"/>
          <w:szCs w:val="20"/>
        </w:rPr>
        <w:t>Xiaomi</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R2-2309783</w:t>
      </w:r>
      <w:r>
        <w:rPr>
          <w:rFonts w:ascii="Arial" w:hAnsi="Arial" w:cs="Arial"/>
          <w:bCs/>
          <w:sz w:val="20"/>
          <w:szCs w:val="20"/>
        </w:rPr>
        <w:tab/>
      </w:r>
      <w:r>
        <w:rPr>
          <w:rFonts w:ascii="Arial" w:hAnsi="Arial" w:cs="Arial"/>
          <w:bCs/>
          <w:sz w:val="20"/>
          <w:szCs w:val="20"/>
        </w:rPr>
        <w:t xml:space="preserve"> Enhancements on neighbor cell measurement</w:t>
      </w:r>
      <w:r>
        <w:rPr>
          <w:rFonts w:ascii="Arial" w:hAnsi="Arial" w:cs="Arial"/>
          <w:bCs/>
          <w:sz w:val="20"/>
          <w:szCs w:val="20"/>
        </w:rPr>
        <w:tab/>
      </w:r>
      <w:r>
        <w:rPr>
          <w:rFonts w:ascii="Arial" w:hAnsi="Arial" w:cs="Arial"/>
          <w:bCs/>
          <w:sz w:val="20"/>
          <w:szCs w:val="20"/>
        </w:rPr>
        <w:t>MediaTek Inc.</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R2-2310183</w:t>
      </w:r>
      <w:r>
        <w:rPr>
          <w:rFonts w:ascii="Arial" w:hAnsi="Arial" w:cs="Arial"/>
          <w:bCs/>
          <w:sz w:val="20"/>
          <w:szCs w:val="20"/>
        </w:rPr>
        <w:tab/>
      </w:r>
      <w:r>
        <w:rPr>
          <w:rFonts w:ascii="Arial" w:hAnsi="Arial" w:cs="Arial"/>
          <w:bCs/>
          <w:sz w:val="20"/>
          <w:szCs w:val="20"/>
        </w:rPr>
        <w:t xml:space="preserve"> Measurement and Mobility enhancements</w:t>
      </w:r>
      <w:r>
        <w:rPr>
          <w:rFonts w:ascii="Arial" w:hAnsi="Arial" w:cs="Arial"/>
          <w:bCs/>
          <w:sz w:val="20"/>
          <w:szCs w:val="20"/>
        </w:rPr>
        <w:tab/>
      </w:r>
      <w:r>
        <w:rPr>
          <w:rFonts w:ascii="Arial" w:hAnsi="Arial" w:cs="Arial"/>
          <w:bCs/>
          <w:sz w:val="20"/>
          <w:szCs w:val="20"/>
        </w:rPr>
        <w:t>Qualcomm Incorporated</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R2-2310271</w:t>
      </w:r>
      <w:r>
        <w:rPr>
          <w:rFonts w:ascii="Arial" w:hAnsi="Arial" w:cs="Arial"/>
          <w:bCs/>
          <w:sz w:val="20"/>
          <w:szCs w:val="20"/>
        </w:rPr>
        <w:tab/>
      </w:r>
      <w:r>
        <w:rPr>
          <w:rFonts w:ascii="Arial" w:hAnsi="Arial" w:cs="Arial"/>
          <w:bCs/>
          <w:sz w:val="20"/>
          <w:szCs w:val="20"/>
        </w:rPr>
        <w:t xml:space="preserve"> Discussion on mobility enhancements for IoT-NTN</w:t>
      </w:r>
      <w:r>
        <w:rPr>
          <w:rFonts w:ascii="Arial" w:hAnsi="Arial" w:cs="Arial"/>
          <w:bCs/>
          <w:sz w:val="20"/>
          <w:szCs w:val="20"/>
        </w:rPr>
        <w:tab/>
      </w:r>
      <w:r>
        <w:rPr>
          <w:rFonts w:ascii="Arial" w:hAnsi="Arial" w:cs="Arial"/>
          <w:bCs/>
          <w:sz w:val="20"/>
          <w:szCs w:val="20"/>
        </w:rPr>
        <w:t>CMCC</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R2-2310324</w:t>
      </w:r>
      <w:r>
        <w:rPr>
          <w:rFonts w:ascii="Arial" w:hAnsi="Arial" w:cs="Arial"/>
          <w:bCs/>
          <w:sz w:val="20"/>
          <w:szCs w:val="20"/>
        </w:rPr>
        <w:tab/>
      </w:r>
      <w:r>
        <w:rPr>
          <w:rFonts w:ascii="Arial" w:hAnsi="Arial" w:cs="Arial"/>
          <w:bCs/>
          <w:sz w:val="20"/>
          <w:szCs w:val="20"/>
        </w:rPr>
        <w:t xml:space="preserve"> Neighbour cell measurements before RLF for eMTC-NTN</w:t>
      </w:r>
      <w:r>
        <w:rPr>
          <w:rFonts w:ascii="Arial" w:hAnsi="Arial" w:cs="Arial"/>
          <w:bCs/>
          <w:sz w:val="20"/>
          <w:szCs w:val="20"/>
        </w:rPr>
        <w:tab/>
      </w:r>
      <w:r>
        <w:rPr>
          <w:rFonts w:ascii="Arial" w:hAnsi="Arial" w:cs="Arial"/>
          <w:bCs/>
          <w:sz w:val="20"/>
          <w:szCs w:val="20"/>
        </w:rPr>
        <w:t>Apple, MediaTek Inc.</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R2-2310411</w:t>
      </w:r>
      <w:r>
        <w:rPr>
          <w:rFonts w:ascii="Arial" w:hAnsi="Arial" w:cs="Arial"/>
          <w:bCs/>
          <w:sz w:val="20"/>
          <w:szCs w:val="20"/>
        </w:rPr>
        <w:tab/>
      </w:r>
      <w:r>
        <w:rPr>
          <w:rFonts w:ascii="Arial" w:hAnsi="Arial" w:cs="Arial"/>
          <w:bCs/>
          <w:sz w:val="20"/>
          <w:szCs w:val="20"/>
        </w:rPr>
        <w:t xml:space="preserve"> Remaining issues on mobility enhancements</w:t>
      </w:r>
      <w:r>
        <w:rPr>
          <w:rFonts w:ascii="Arial" w:hAnsi="Arial" w:cs="Arial"/>
          <w:bCs/>
          <w:sz w:val="20"/>
          <w:szCs w:val="20"/>
        </w:rPr>
        <w:tab/>
      </w:r>
      <w:r>
        <w:rPr>
          <w:rFonts w:ascii="Arial" w:hAnsi="Arial" w:cs="Arial"/>
          <w:bCs/>
          <w:sz w:val="20"/>
          <w:szCs w:val="20"/>
        </w:rPr>
        <w:t>Huawei, HiSilicon, Turkcell</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R2-2310628</w:t>
      </w:r>
      <w:r>
        <w:rPr>
          <w:rFonts w:ascii="Arial" w:hAnsi="Arial" w:cs="Arial"/>
          <w:bCs/>
          <w:sz w:val="20"/>
          <w:szCs w:val="20"/>
        </w:rPr>
        <w:tab/>
      </w:r>
      <w:r>
        <w:rPr>
          <w:rFonts w:ascii="Arial" w:hAnsi="Arial" w:cs="Arial"/>
          <w:bCs/>
          <w:sz w:val="20"/>
          <w:szCs w:val="20"/>
        </w:rPr>
        <w:t xml:space="preserve"> On enhancements for neighbour cell measurements</w:t>
      </w:r>
      <w:r>
        <w:rPr>
          <w:rFonts w:ascii="Arial" w:hAnsi="Arial" w:cs="Arial"/>
          <w:bCs/>
          <w:sz w:val="20"/>
          <w:szCs w:val="20"/>
        </w:rPr>
        <w:tab/>
      </w:r>
      <w:r>
        <w:rPr>
          <w:rFonts w:ascii="Arial" w:hAnsi="Arial" w:cs="Arial"/>
          <w:bCs/>
          <w:sz w:val="20"/>
          <w:szCs w:val="20"/>
        </w:rPr>
        <w:t>Samsung Electronics Polska</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R2-2310807</w:t>
      </w:r>
      <w:r>
        <w:rPr>
          <w:rFonts w:ascii="Arial" w:hAnsi="Arial" w:cs="Arial"/>
          <w:bCs/>
          <w:sz w:val="20"/>
          <w:szCs w:val="20"/>
        </w:rPr>
        <w:tab/>
      </w:r>
      <w:r>
        <w:rPr>
          <w:rFonts w:ascii="Arial" w:hAnsi="Arial" w:cs="Arial"/>
          <w:bCs/>
          <w:sz w:val="20"/>
          <w:szCs w:val="20"/>
        </w:rPr>
        <w:t xml:space="preserve"> Fast RLF and re-establishment in the discontinuous coverage scenario</w:t>
      </w:r>
      <w:r>
        <w:rPr>
          <w:rFonts w:ascii="Arial" w:hAnsi="Arial" w:cs="Arial"/>
          <w:bCs/>
          <w:sz w:val="20"/>
          <w:szCs w:val="20"/>
        </w:rPr>
        <w:tab/>
      </w:r>
      <w:r>
        <w:rPr>
          <w:rFonts w:ascii="Arial" w:hAnsi="Arial" w:cs="Arial"/>
          <w:bCs/>
          <w:sz w:val="20"/>
          <w:szCs w:val="20"/>
        </w:rPr>
        <w:t>Interdigital, Inc.</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R2-2310822</w:t>
      </w:r>
      <w:r>
        <w:rPr>
          <w:rFonts w:ascii="Arial" w:hAnsi="Arial" w:cs="Arial"/>
          <w:bCs/>
          <w:sz w:val="20"/>
          <w:szCs w:val="20"/>
        </w:rPr>
        <w:tab/>
      </w:r>
      <w:r>
        <w:rPr>
          <w:rFonts w:ascii="Arial" w:hAnsi="Arial" w:cs="Arial"/>
          <w:bCs/>
          <w:sz w:val="20"/>
          <w:szCs w:val="20"/>
        </w:rPr>
        <w:t xml:space="preserve"> Remaining issues of mobility enhancements</w:t>
      </w:r>
      <w:r>
        <w:rPr>
          <w:rFonts w:ascii="Arial" w:hAnsi="Arial" w:cs="Arial"/>
          <w:bCs/>
          <w:sz w:val="20"/>
          <w:szCs w:val="20"/>
        </w:rPr>
        <w:tab/>
      </w:r>
      <w:r>
        <w:rPr>
          <w:rFonts w:ascii="Arial" w:hAnsi="Arial" w:cs="Arial"/>
          <w:bCs/>
          <w:sz w:val="20"/>
          <w:szCs w:val="20"/>
        </w:rPr>
        <w:t>ZTE Corporation, Sanechips</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R2-2311012</w:t>
      </w:r>
      <w:r>
        <w:rPr>
          <w:rFonts w:ascii="Arial" w:hAnsi="Arial" w:cs="Arial"/>
          <w:bCs/>
          <w:sz w:val="20"/>
          <w:szCs w:val="20"/>
        </w:rPr>
        <w:tab/>
      </w:r>
      <w:r>
        <w:rPr>
          <w:rFonts w:ascii="Arial" w:hAnsi="Arial" w:cs="Arial"/>
          <w:bCs/>
          <w:sz w:val="20"/>
          <w:szCs w:val="20"/>
        </w:rPr>
        <w:t xml:space="preserve"> On Remaining issues for IoT-NTN Mobility Enhancements</w:t>
      </w:r>
      <w:r>
        <w:rPr>
          <w:rFonts w:ascii="Arial" w:hAnsi="Arial" w:cs="Arial"/>
          <w:bCs/>
          <w:sz w:val="20"/>
          <w:szCs w:val="20"/>
        </w:rPr>
        <w:tab/>
      </w:r>
      <w:r>
        <w:rPr>
          <w:rFonts w:ascii="Arial" w:hAnsi="Arial" w:cs="Arial"/>
          <w:bCs/>
          <w:sz w:val="20"/>
          <w:szCs w:val="20"/>
        </w:rPr>
        <w:t>Nokia, Nokia Shanghai Bell</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R2-2311069</w:t>
      </w:r>
      <w:r>
        <w:rPr>
          <w:rFonts w:ascii="Arial" w:hAnsi="Arial" w:cs="Arial"/>
          <w:bCs/>
          <w:sz w:val="20"/>
          <w:szCs w:val="20"/>
        </w:rPr>
        <w:tab/>
      </w:r>
      <w:r>
        <w:rPr>
          <w:rFonts w:ascii="Arial" w:hAnsi="Arial" w:cs="Arial"/>
          <w:bCs/>
          <w:sz w:val="20"/>
          <w:szCs w:val="20"/>
        </w:rPr>
        <w:t xml:space="preserve"> Discussion on gaps for neighbour cell measurements in IoT NTN</w:t>
      </w:r>
      <w:r>
        <w:rPr>
          <w:rFonts w:ascii="Arial" w:hAnsi="Arial" w:cs="Arial"/>
          <w:bCs/>
          <w:sz w:val="20"/>
          <w:szCs w:val="20"/>
        </w:rPr>
        <w:tab/>
      </w:r>
      <w:r>
        <w:rPr>
          <w:rFonts w:ascii="Arial" w:hAnsi="Arial" w:cs="Arial"/>
          <w:bCs/>
          <w:sz w:val="20"/>
          <w:szCs w:val="20"/>
        </w:rPr>
        <w:t>Ericsson</w:t>
      </w:r>
    </w:p>
    <w:p>
      <w:pPr>
        <w:pStyle w:val="132"/>
        <w:numPr>
          <w:ilvl w:val="0"/>
          <w:numId w:val="59"/>
        </w:numPr>
        <w:tabs>
          <w:tab w:val="left" w:pos="567"/>
        </w:tabs>
        <w:snapToGrid w:val="0"/>
        <w:ind w:leftChars="0"/>
        <w:rPr>
          <w:rFonts w:ascii="Arial" w:hAnsi="Arial" w:cs="Arial"/>
          <w:bCs/>
          <w:sz w:val="20"/>
          <w:szCs w:val="20"/>
        </w:rPr>
      </w:pPr>
      <w:r>
        <w:rPr>
          <w:rFonts w:ascii="Arial" w:hAnsi="Arial" w:cs="Arial"/>
          <w:bCs/>
          <w:sz w:val="20"/>
          <w:szCs w:val="20"/>
        </w:rPr>
        <w:t>R2-2311240</w:t>
      </w:r>
      <w:r>
        <w:rPr>
          <w:rFonts w:ascii="Arial" w:hAnsi="Arial" w:cs="Arial"/>
          <w:bCs/>
          <w:sz w:val="20"/>
          <w:szCs w:val="20"/>
        </w:rPr>
        <w:tab/>
      </w:r>
      <w:r>
        <w:rPr>
          <w:rFonts w:ascii="Arial" w:hAnsi="Arial" w:cs="Arial"/>
          <w:bCs/>
          <w:sz w:val="20"/>
          <w:szCs w:val="20"/>
        </w:rPr>
        <w:t xml:space="preserve"> Discussion on triggering RA for RRC connection re-establishment in IoT NTN</w:t>
      </w:r>
      <w:r>
        <w:rPr>
          <w:rFonts w:ascii="Arial" w:hAnsi="Arial" w:cs="Arial"/>
          <w:bCs/>
          <w:sz w:val="20"/>
          <w:szCs w:val="20"/>
        </w:rPr>
        <w:tab/>
      </w:r>
      <w:r>
        <w:rPr>
          <w:rFonts w:ascii="Arial" w:hAnsi="Arial" w:cs="Arial"/>
          <w:bCs/>
          <w:sz w:val="20"/>
          <w:szCs w:val="20"/>
        </w:rPr>
        <w:t>Ericsson</w:t>
      </w:r>
    </w:p>
    <w:p>
      <w:pPr>
        <w:pStyle w:val="132"/>
        <w:ind w:left="48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7.6.3.2</w:t>
      </w:r>
    </w:p>
    <w:p>
      <w:pPr>
        <w:pStyle w:val="132"/>
        <w:numPr>
          <w:ilvl w:val="0"/>
          <w:numId w:val="60"/>
        </w:numPr>
        <w:tabs>
          <w:tab w:val="left" w:pos="567"/>
        </w:tabs>
        <w:snapToGrid w:val="0"/>
        <w:ind w:leftChars="0"/>
        <w:rPr>
          <w:rFonts w:ascii="Arial" w:hAnsi="Arial" w:cs="Arial"/>
          <w:bCs/>
          <w:sz w:val="20"/>
          <w:szCs w:val="20"/>
        </w:rPr>
      </w:pPr>
      <w:r>
        <w:rPr>
          <w:rFonts w:ascii="Arial" w:hAnsi="Arial" w:cs="Arial"/>
          <w:bCs/>
          <w:sz w:val="20"/>
          <w:szCs w:val="20"/>
        </w:rPr>
        <w:t>R2-2309659</w:t>
      </w:r>
      <w:r>
        <w:rPr>
          <w:rFonts w:ascii="Arial" w:hAnsi="Arial" w:cs="Arial"/>
          <w:bCs/>
          <w:sz w:val="20"/>
          <w:szCs w:val="20"/>
        </w:rPr>
        <w:tab/>
      </w:r>
      <w:r>
        <w:rPr>
          <w:rFonts w:ascii="Arial" w:hAnsi="Arial" w:cs="Arial"/>
          <w:bCs/>
          <w:sz w:val="20"/>
          <w:szCs w:val="20"/>
        </w:rPr>
        <w:t xml:space="preserve"> Discussion on CHO Enhancement for IoT NTN</w:t>
      </w:r>
      <w:r>
        <w:rPr>
          <w:rFonts w:ascii="Arial" w:hAnsi="Arial" w:cs="Arial"/>
          <w:bCs/>
          <w:sz w:val="20"/>
          <w:szCs w:val="20"/>
        </w:rPr>
        <w:tab/>
      </w:r>
      <w:r>
        <w:rPr>
          <w:rFonts w:ascii="Arial" w:hAnsi="Arial" w:cs="Arial"/>
          <w:bCs/>
          <w:sz w:val="20"/>
          <w:szCs w:val="20"/>
        </w:rPr>
        <w:t>vivo</w:t>
      </w:r>
    </w:p>
    <w:p>
      <w:pPr>
        <w:pStyle w:val="132"/>
        <w:numPr>
          <w:ilvl w:val="0"/>
          <w:numId w:val="60"/>
        </w:numPr>
        <w:tabs>
          <w:tab w:val="left" w:pos="567"/>
        </w:tabs>
        <w:snapToGrid w:val="0"/>
        <w:ind w:leftChars="0"/>
        <w:rPr>
          <w:rFonts w:ascii="Arial" w:hAnsi="Arial" w:cs="Arial"/>
          <w:bCs/>
          <w:sz w:val="20"/>
          <w:szCs w:val="20"/>
        </w:rPr>
      </w:pPr>
      <w:r>
        <w:rPr>
          <w:rFonts w:ascii="Arial" w:hAnsi="Arial" w:cs="Arial"/>
          <w:bCs/>
          <w:sz w:val="20"/>
          <w:szCs w:val="20"/>
        </w:rPr>
        <w:t>R2-2310192</w:t>
      </w:r>
      <w:r>
        <w:rPr>
          <w:rFonts w:ascii="Arial" w:hAnsi="Arial" w:cs="Arial"/>
          <w:bCs/>
          <w:sz w:val="20"/>
          <w:szCs w:val="20"/>
        </w:rPr>
        <w:tab/>
      </w:r>
      <w:r>
        <w:rPr>
          <w:rFonts w:ascii="Arial" w:hAnsi="Arial" w:cs="Arial"/>
          <w:bCs/>
          <w:sz w:val="20"/>
          <w:szCs w:val="20"/>
        </w:rPr>
        <w:t xml:space="preserve"> NB-IoT NTN Coarse UE location reporting</w:t>
      </w:r>
      <w:r>
        <w:rPr>
          <w:rFonts w:ascii="Arial" w:hAnsi="Arial" w:cs="Arial"/>
          <w:bCs/>
          <w:sz w:val="20"/>
          <w:szCs w:val="20"/>
        </w:rPr>
        <w:tab/>
      </w:r>
      <w:r>
        <w:rPr>
          <w:rFonts w:ascii="Arial" w:hAnsi="Arial" w:cs="Arial"/>
          <w:bCs/>
          <w:sz w:val="20"/>
          <w:szCs w:val="20"/>
        </w:rPr>
        <w:t>Inmarsat, Viasat, Sateliot, Novamint, ESA, Thales</w:t>
      </w:r>
    </w:p>
    <w:p>
      <w:pPr>
        <w:pStyle w:val="132"/>
        <w:numPr>
          <w:ilvl w:val="0"/>
          <w:numId w:val="60"/>
        </w:numPr>
        <w:tabs>
          <w:tab w:val="left" w:pos="567"/>
        </w:tabs>
        <w:snapToGrid w:val="0"/>
        <w:ind w:leftChars="0"/>
        <w:rPr>
          <w:rFonts w:ascii="Arial" w:hAnsi="Arial" w:cs="Arial"/>
          <w:bCs/>
          <w:sz w:val="20"/>
          <w:szCs w:val="20"/>
        </w:rPr>
      </w:pPr>
      <w:r>
        <w:rPr>
          <w:rFonts w:ascii="Arial" w:hAnsi="Arial" w:cs="Arial"/>
          <w:bCs/>
          <w:sz w:val="20"/>
          <w:szCs w:val="20"/>
        </w:rPr>
        <w:t>R2-2310325</w:t>
      </w:r>
      <w:r>
        <w:rPr>
          <w:rFonts w:ascii="Arial" w:hAnsi="Arial" w:cs="Arial"/>
          <w:bCs/>
          <w:sz w:val="20"/>
          <w:szCs w:val="20"/>
        </w:rPr>
        <w:tab/>
      </w:r>
      <w:r>
        <w:rPr>
          <w:rFonts w:ascii="Arial" w:hAnsi="Arial" w:cs="Arial"/>
          <w:bCs/>
          <w:sz w:val="20"/>
          <w:szCs w:val="20"/>
        </w:rPr>
        <w:t xml:space="preserve"> Mobility enhancement in IoT NTN</w:t>
      </w:r>
      <w:r>
        <w:rPr>
          <w:rFonts w:ascii="Arial" w:hAnsi="Arial" w:cs="Arial"/>
          <w:bCs/>
          <w:sz w:val="20"/>
          <w:szCs w:val="20"/>
        </w:rPr>
        <w:tab/>
      </w:r>
      <w:r>
        <w:rPr>
          <w:rFonts w:ascii="Arial" w:hAnsi="Arial" w:cs="Arial"/>
          <w:bCs/>
          <w:sz w:val="20"/>
          <w:szCs w:val="20"/>
        </w:rPr>
        <w:t>Apple</w:t>
      </w:r>
    </w:p>
    <w:p>
      <w:pPr>
        <w:pStyle w:val="132"/>
        <w:numPr>
          <w:ilvl w:val="0"/>
          <w:numId w:val="60"/>
        </w:numPr>
        <w:tabs>
          <w:tab w:val="left" w:pos="567"/>
        </w:tabs>
        <w:snapToGrid w:val="0"/>
        <w:ind w:leftChars="0"/>
        <w:rPr>
          <w:rFonts w:ascii="Arial" w:hAnsi="Arial" w:cs="Arial"/>
          <w:bCs/>
          <w:sz w:val="20"/>
          <w:szCs w:val="20"/>
        </w:rPr>
      </w:pPr>
      <w:r>
        <w:rPr>
          <w:rFonts w:ascii="Arial" w:hAnsi="Arial" w:cs="Arial"/>
          <w:bCs/>
          <w:sz w:val="20"/>
          <w:szCs w:val="20"/>
        </w:rPr>
        <w:t>R2-2310629</w:t>
      </w:r>
      <w:r>
        <w:rPr>
          <w:rFonts w:ascii="Arial" w:hAnsi="Arial" w:cs="Arial"/>
          <w:bCs/>
          <w:sz w:val="20"/>
          <w:szCs w:val="20"/>
        </w:rPr>
        <w:tab/>
      </w:r>
      <w:r>
        <w:rPr>
          <w:rFonts w:ascii="Arial" w:hAnsi="Arial" w:cs="Arial"/>
          <w:bCs/>
          <w:sz w:val="20"/>
          <w:szCs w:val="20"/>
        </w:rPr>
        <w:t xml:space="preserve"> On other mobility enhancements for IoT NTN</w:t>
      </w:r>
      <w:r>
        <w:rPr>
          <w:rFonts w:ascii="Arial" w:hAnsi="Arial" w:cs="Arial"/>
          <w:bCs/>
          <w:sz w:val="20"/>
          <w:szCs w:val="20"/>
        </w:rPr>
        <w:tab/>
      </w:r>
      <w:r>
        <w:rPr>
          <w:rFonts w:ascii="Arial" w:hAnsi="Arial" w:cs="Arial"/>
          <w:bCs/>
          <w:sz w:val="20"/>
          <w:szCs w:val="20"/>
        </w:rPr>
        <w:t>Samsung Electronics Polska</w:t>
      </w:r>
    </w:p>
    <w:p>
      <w:pPr>
        <w:pStyle w:val="132"/>
        <w:tabs>
          <w:tab w:val="left" w:pos="567"/>
        </w:tabs>
        <w:snapToGrid w:val="0"/>
        <w:ind w:left="36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7.6.4</w:t>
      </w:r>
    </w:p>
    <w:p>
      <w:pPr>
        <w:pStyle w:val="132"/>
        <w:numPr>
          <w:ilvl w:val="0"/>
          <w:numId w:val="61"/>
        </w:numPr>
        <w:tabs>
          <w:tab w:val="left" w:pos="567"/>
        </w:tabs>
        <w:snapToGrid w:val="0"/>
        <w:ind w:leftChars="0"/>
        <w:rPr>
          <w:rFonts w:ascii="Arial" w:hAnsi="Arial" w:cs="Arial"/>
          <w:bCs/>
        </w:rPr>
      </w:pPr>
      <w:r>
        <w:rPr>
          <w:rFonts w:ascii="Arial" w:hAnsi="Arial" w:cs="Arial"/>
          <w:bCs/>
        </w:rPr>
        <w:t>R2-2309660  Discussion on Discontinuous Coverage</w:t>
      </w:r>
      <w:r>
        <w:rPr>
          <w:rFonts w:ascii="Arial" w:hAnsi="Arial" w:cs="Arial"/>
          <w:bCs/>
        </w:rPr>
        <w:tab/>
      </w:r>
      <w:r>
        <w:rPr>
          <w:rFonts w:ascii="Arial" w:hAnsi="Arial" w:cs="Arial"/>
          <w:bCs/>
        </w:rPr>
        <w:t>vivo</w:t>
      </w:r>
    </w:p>
    <w:p>
      <w:pPr>
        <w:pStyle w:val="132"/>
        <w:numPr>
          <w:ilvl w:val="0"/>
          <w:numId w:val="61"/>
        </w:numPr>
        <w:tabs>
          <w:tab w:val="left" w:pos="567"/>
        </w:tabs>
        <w:snapToGrid w:val="0"/>
        <w:ind w:leftChars="0"/>
        <w:rPr>
          <w:rFonts w:ascii="Arial" w:hAnsi="Arial" w:cs="Arial"/>
          <w:bCs/>
        </w:rPr>
      </w:pPr>
      <w:r>
        <w:rPr>
          <w:rFonts w:ascii="Arial" w:hAnsi="Arial" w:cs="Arial"/>
          <w:bCs/>
        </w:rPr>
        <w:t>R2-2309703  Remaining issues of discontinuous coverage</w:t>
      </w:r>
      <w:r>
        <w:rPr>
          <w:rFonts w:ascii="Arial" w:hAnsi="Arial" w:cs="Arial"/>
          <w:bCs/>
        </w:rPr>
        <w:tab/>
      </w:r>
      <w:r>
        <w:rPr>
          <w:rFonts w:ascii="Arial" w:hAnsi="Arial" w:cs="Arial"/>
          <w:bCs/>
        </w:rPr>
        <w:t>Huawei, Turkcell, HiSilicon</w:t>
      </w:r>
    </w:p>
    <w:p>
      <w:pPr>
        <w:pStyle w:val="132"/>
        <w:numPr>
          <w:ilvl w:val="0"/>
          <w:numId w:val="61"/>
        </w:numPr>
        <w:tabs>
          <w:tab w:val="left" w:pos="567"/>
        </w:tabs>
        <w:snapToGrid w:val="0"/>
        <w:ind w:leftChars="0"/>
        <w:rPr>
          <w:rFonts w:ascii="Arial" w:hAnsi="Arial" w:cs="Arial"/>
          <w:bCs/>
        </w:rPr>
      </w:pPr>
      <w:r>
        <w:rPr>
          <w:rFonts w:ascii="Arial" w:hAnsi="Arial" w:cs="Arial"/>
          <w:bCs/>
        </w:rPr>
        <w:t>R2-2309753  Discussion on discontinuous coverage enhancement</w:t>
      </w:r>
      <w:r>
        <w:rPr>
          <w:rFonts w:ascii="Arial" w:hAnsi="Arial" w:cs="Arial"/>
          <w:bCs/>
        </w:rPr>
        <w:tab/>
      </w:r>
      <w:r>
        <w:rPr>
          <w:rFonts w:ascii="Arial" w:hAnsi="Arial" w:cs="Arial"/>
          <w:bCs/>
        </w:rPr>
        <w:t>CATT</w:t>
      </w:r>
    </w:p>
    <w:p>
      <w:pPr>
        <w:pStyle w:val="132"/>
        <w:numPr>
          <w:ilvl w:val="0"/>
          <w:numId w:val="61"/>
        </w:numPr>
        <w:tabs>
          <w:tab w:val="left" w:pos="567"/>
        </w:tabs>
        <w:snapToGrid w:val="0"/>
        <w:ind w:leftChars="0"/>
        <w:rPr>
          <w:rFonts w:ascii="Arial" w:hAnsi="Arial" w:cs="Arial"/>
          <w:bCs/>
        </w:rPr>
      </w:pPr>
      <w:r>
        <w:rPr>
          <w:rFonts w:ascii="Arial" w:hAnsi="Arial" w:cs="Arial"/>
          <w:bCs/>
        </w:rPr>
        <w:t>R2-2309882  Discussion on TN coverage for discontinuous coverage</w:t>
      </w:r>
      <w:r>
        <w:rPr>
          <w:rFonts w:ascii="Arial" w:hAnsi="Arial" w:cs="Arial"/>
          <w:bCs/>
        </w:rPr>
        <w:tab/>
      </w:r>
      <w:r>
        <w:rPr>
          <w:rFonts w:ascii="Arial" w:hAnsi="Arial" w:cs="Arial"/>
          <w:bCs/>
        </w:rPr>
        <w:t>ASUSTeK</w:t>
      </w:r>
    </w:p>
    <w:p>
      <w:pPr>
        <w:pStyle w:val="132"/>
        <w:numPr>
          <w:ilvl w:val="0"/>
          <w:numId w:val="61"/>
        </w:numPr>
        <w:tabs>
          <w:tab w:val="left" w:pos="567"/>
        </w:tabs>
        <w:snapToGrid w:val="0"/>
        <w:ind w:leftChars="0"/>
        <w:rPr>
          <w:rFonts w:ascii="Arial" w:hAnsi="Arial" w:cs="Arial"/>
          <w:bCs/>
        </w:rPr>
      </w:pPr>
      <w:r>
        <w:rPr>
          <w:rFonts w:ascii="Arial" w:hAnsi="Arial" w:cs="Arial"/>
          <w:bCs/>
        </w:rPr>
        <w:t>R2-2309959  Views on some remaining issues for discontinuous coverage in IoT NTN</w:t>
      </w:r>
      <w:r>
        <w:rPr>
          <w:rFonts w:ascii="Arial" w:hAnsi="Arial" w:cs="Arial"/>
          <w:bCs/>
        </w:rPr>
        <w:tab/>
      </w:r>
      <w:r>
        <w:rPr>
          <w:rFonts w:ascii="Arial" w:hAnsi="Arial" w:cs="Arial"/>
          <w:bCs/>
        </w:rPr>
        <w:t>Lenovo</w:t>
      </w:r>
    </w:p>
    <w:p>
      <w:pPr>
        <w:pStyle w:val="132"/>
        <w:numPr>
          <w:ilvl w:val="0"/>
          <w:numId w:val="61"/>
        </w:numPr>
        <w:tabs>
          <w:tab w:val="left" w:pos="567"/>
        </w:tabs>
        <w:snapToGrid w:val="0"/>
        <w:ind w:leftChars="0"/>
        <w:rPr>
          <w:rFonts w:ascii="Arial" w:hAnsi="Arial" w:cs="Arial"/>
          <w:bCs/>
        </w:rPr>
      </w:pPr>
      <w:r>
        <w:rPr>
          <w:rFonts w:ascii="Arial" w:hAnsi="Arial" w:cs="Arial"/>
          <w:bCs/>
        </w:rPr>
        <w:t>R2-2310021  Discussion on enhancement to discontinuous coverage for IoT NTN</w:t>
      </w:r>
      <w:r>
        <w:rPr>
          <w:rFonts w:ascii="Arial" w:hAnsi="Arial" w:cs="Arial"/>
          <w:bCs/>
        </w:rPr>
        <w:tab/>
      </w:r>
      <w:r>
        <w:rPr>
          <w:rFonts w:ascii="Arial" w:hAnsi="Arial" w:cs="Arial"/>
          <w:bCs/>
        </w:rPr>
        <w:t>Transsion Holdings</w:t>
      </w:r>
    </w:p>
    <w:p>
      <w:pPr>
        <w:pStyle w:val="132"/>
        <w:numPr>
          <w:ilvl w:val="0"/>
          <w:numId w:val="61"/>
        </w:numPr>
        <w:tabs>
          <w:tab w:val="left" w:pos="567"/>
        </w:tabs>
        <w:snapToGrid w:val="0"/>
        <w:ind w:leftChars="0"/>
        <w:rPr>
          <w:rFonts w:ascii="Arial" w:hAnsi="Arial" w:cs="Arial"/>
          <w:bCs/>
        </w:rPr>
      </w:pPr>
      <w:r>
        <w:rPr>
          <w:rFonts w:ascii="Arial" w:hAnsi="Arial" w:cs="Arial"/>
          <w:bCs/>
        </w:rPr>
        <w:t>R2-2310071  Considerations on Supporting Discontinuous Coverage</w:t>
      </w:r>
      <w:r>
        <w:rPr>
          <w:rFonts w:ascii="Arial" w:hAnsi="Arial" w:cs="Arial"/>
          <w:bCs/>
        </w:rPr>
        <w:tab/>
      </w:r>
      <w:r>
        <w:rPr>
          <w:rFonts w:ascii="Arial" w:hAnsi="Arial" w:cs="Arial"/>
          <w:bCs/>
        </w:rPr>
        <w:t>NEC</w:t>
      </w:r>
    </w:p>
    <w:p>
      <w:pPr>
        <w:pStyle w:val="132"/>
        <w:numPr>
          <w:ilvl w:val="0"/>
          <w:numId w:val="61"/>
        </w:numPr>
        <w:tabs>
          <w:tab w:val="left" w:pos="567"/>
        </w:tabs>
        <w:snapToGrid w:val="0"/>
        <w:ind w:leftChars="0"/>
        <w:rPr>
          <w:rFonts w:ascii="Arial" w:hAnsi="Arial" w:cs="Arial"/>
          <w:bCs/>
        </w:rPr>
      </w:pPr>
      <w:r>
        <w:rPr>
          <w:rFonts w:ascii="Arial" w:hAnsi="Arial" w:cs="Arial"/>
          <w:bCs/>
        </w:rPr>
        <w:t>R2-2310182  RRC release procedure in discontinuous coverage</w:t>
      </w:r>
      <w:r>
        <w:rPr>
          <w:rFonts w:ascii="Arial" w:hAnsi="Arial" w:cs="Arial"/>
          <w:bCs/>
        </w:rPr>
        <w:tab/>
      </w:r>
      <w:r>
        <w:rPr>
          <w:rFonts w:ascii="Arial" w:hAnsi="Arial" w:cs="Arial"/>
          <w:bCs/>
        </w:rPr>
        <w:t>Qualcomm Incorporated</w:t>
      </w:r>
    </w:p>
    <w:p>
      <w:pPr>
        <w:pStyle w:val="132"/>
        <w:numPr>
          <w:ilvl w:val="0"/>
          <w:numId w:val="61"/>
        </w:numPr>
        <w:tabs>
          <w:tab w:val="left" w:pos="567"/>
        </w:tabs>
        <w:snapToGrid w:val="0"/>
        <w:ind w:leftChars="0"/>
        <w:rPr>
          <w:rFonts w:ascii="Arial" w:hAnsi="Arial" w:cs="Arial"/>
          <w:bCs/>
        </w:rPr>
      </w:pPr>
      <w:r>
        <w:rPr>
          <w:rFonts w:ascii="Arial" w:hAnsi="Arial" w:cs="Arial"/>
          <w:bCs/>
        </w:rPr>
        <w:t>R2-2310808  RRC Release in discontinuous coverage</w:t>
      </w:r>
      <w:r>
        <w:rPr>
          <w:rFonts w:ascii="Arial" w:hAnsi="Arial" w:cs="Arial"/>
          <w:bCs/>
        </w:rPr>
        <w:tab/>
      </w:r>
      <w:r>
        <w:rPr>
          <w:rFonts w:ascii="Arial" w:hAnsi="Arial" w:cs="Arial"/>
          <w:bCs/>
        </w:rPr>
        <w:t>Interdigital, Inc.</w:t>
      </w:r>
    </w:p>
    <w:p>
      <w:pPr>
        <w:pStyle w:val="132"/>
        <w:numPr>
          <w:ilvl w:val="0"/>
          <w:numId w:val="61"/>
        </w:numPr>
        <w:tabs>
          <w:tab w:val="left" w:pos="567"/>
        </w:tabs>
        <w:snapToGrid w:val="0"/>
        <w:ind w:leftChars="0"/>
        <w:rPr>
          <w:rFonts w:ascii="Arial" w:hAnsi="Arial" w:cs="Arial"/>
          <w:bCs/>
        </w:rPr>
      </w:pPr>
      <w:r>
        <w:rPr>
          <w:rFonts w:ascii="Arial" w:hAnsi="Arial" w:cs="Arial"/>
          <w:bCs/>
        </w:rPr>
        <w:t>R2-2310826  Remaining issues of discontinuous coverage</w:t>
      </w:r>
      <w:r>
        <w:rPr>
          <w:rFonts w:ascii="Arial" w:hAnsi="Arial" w:cs="Arial"/>
          <w:bCs/>
        </w:rPr>
        <w:tab/>
      </w:r>
      <w:r>
        <w:rPr>
          <w:rFonts w:ascii="Arial" w:hAnsi="Arial" w:cs="Arial"/>
          <w:bCs/>
        </w:rPr>
        <w:t>ZTE Corporation, Sanechips</w:t>
      </w:r>
    </w:p>
    <w:p>
      <w:pPr>
        <w:pStyle w:val="132"/>
        <w:numPr>
          <w:ilvl w:val="0"/>
          <w:numId w:val="61"/>
        </w:numPr>
        <w:tabs>
          <w:tab w:val="left" w:pos="567"/>
        </w:tabs>
        <w:snapToGrid w:val="0"/>
        <w:ind w:leftChars="0"/>
        <w:rPr>
          <w:rFonts w:ascii="Arial" w:hAnsi="Arial" w:cs="Arial"/>
          <w:bCs/>
        </w:rPr>
      </w:pPr>
      <w:r>
        <w:rPr>
          <w:rFonts w:ascii="Arial" w:hAnsi="Arial" w:cs="Arial"/>
          <w:bCs/>
        </w:rPr>
        <w:t xml:space="preserve">R2-2310919  Enhancements to discontinuous coverage </w:t>
      </w:r>
      <w:r>
        <w:rPr>
          <w:rFonts w:ascii="Arial" w:hAnsi="Arial" w:cs="Arial"/>
          <w:bCs/>
        </w:rPr>
        <w:tab/>
      </w:r>
      <w:r>
        <w:rPr>
          <w:rFonts w:ascii="Arial" w:hAnsi="Arial" w:cs="Arial"/>
          <w:bCs/>
        </w:rPr>
        <w:t>Samsung Electronics Iberia SA</w:t>
      </w:r>
    </w:p>
    <w:p>
      <w:pPr>
        <w:pStyle w:val="132"/>
        <w:numPr>
          <w:ilvl w:val="0"/>
          <w:numId w:val="61"/>
        </w:numPr>
        <w:tabs>
          <w:tab w:val="left" w:pos="567"/>
        </w:tabs>
        <w:snapToGrid w:val="0"/>
        <w:ind w:leftChars="0"/>
        <w:rPr>
          <w:rFonts w:ascii="Arial" w:hAnsi="Arial" w:cs="Arial"/>
          <w:bCs/>
        </w:rPr>
      </w:pPr>
      <w:r>
        <w:rPr>
          <w:rFonts w:ascii="Arial" w:hAnsi="Arial" w:cs="Arial"/>
          <w:bCs/>
        </w:rPr>
        <w:t>R2-2311013  Discussion on discontinuous coverage Enhancements</w:t>
      </w:r>
      <w:r>
        <w:rPr>
          <w:rFonts w:ascii="Arial" w:hAnsi="Arial" w:cs="Arial"/>
          <w:bCs/>
        </w:rPr>
        <w:tab/>
      </w:r>
      <w:r>
        <w:rPr>
          <w:rFonts w:ascii="Arial" w:hAnsi="Arial" w:cs="Arial"/>
          <w:bCs/>
        </w:rPr>
        <w:t>Nokia, Nokia Shanghai Bell</w:t>
      </w:r>
    </w:p>
    <w:p>
      <w:pPr>
        <w:pStyle w:val="132"/>
        <w:numPr>
          <w:ilvl w:val="0"/>
          <w:numId w:val="61"/>
        </w:numPr>
        <w:tabs>
          <w:tab w:val="left" w:pos="567"/>
        </w:tabs>
        <w:snapToGrid w:val="0"/>
        <w:ind w:leftChars="0"/>
        <w:rPr>
          <w:rFonts w:ascii="Arial" w:hAnsi="Arial" w:cs="Arial"/>
          <w:bCs/>
        </w:rPr>
      </w:pPr>
      <w:r>
        <w:rPr>
          <w:rFonts w:ascii="Arial" w:hAnsi="Arial" w:cs="Arial"/>
          <w:bCs/>
        </w:rPr>
        <w:t>R2-2311232  Measurement information to assist cell search after a coverage gap</w:t>
      </w:r>
      <w:r>
        <w:rPr>
          <w:rFonts w:ascii="Arial" w:hAnsi="Arial" w:cs="Arial"/>
          <w:bCs/>
        </w:rPr>
        <w:tab/>
      </w:r>
      <w:r>
        <w:rPr>
          <w:rFonts w:ascii="Arial" w:hAnsi="Arial" w:cs="Arial"/>
          <w:bCs/>
        </w:rPr>
        <w:t>Ericsson</w:t>
      </w:r>
    </w:p>
    <w:p>
      <w:pPr>
        <w:overflowPunct/>
        <w:autoSpaceDE/>
        <w:autoSpaceDN/>
        <w:snapToGrid w:val="0"/>
        <w:spacing w:after="0"/>
        <w:rPr>
          <w:rFonts w:ascii="Arial" w:hAnsi="Arial" w:cs="Arial"/>
          <w:b/>
          <w:bCs/>
          <w:lang w:eastAsia="ja-JP"/>
        </w:rPr>
      </w:pPr>
    </w:p>
    <w:p>
      <w:pPr>
        <w:overflowPunct/>
        <w:autoSpaceDE/>
        <w:autoSpaceDN/>
        <w:snapToGrid w:val="0"/>
        <w:spacing w:after="0"/>
        <w:rPr>
          <w:rFonts w:ascii="Arial" w:hAnsi="Arial" w:cs="Arial"/>
          <w:b/>
          <w:bCs/>
          <w:lang w:eastAsia="ja-JP"/>
        </w:rPr>
      </w:pPr>
    </w:p>
    <w:p>
      <w:pPr>
        <w:overflowPunct/>
        <w:autoSpaceDE/>
        <w:autoSpaceDN/>
        <w:snapToGrid w:val="0"/>
        <w:spacing w:after="0"/>
        <w:rPr>
          <w:rFonts w:ascii="Arial" w:hAnsi="Arial" w:cs="Arial"/>
          <w:b/>
          <w:lang w:eastAsia="en-US"/>
        </w:rPr>
      </w:pPr>
      <w:r>
        <w:rPr>
          <w:rFonts w:ascii="Arial" w:hAnsi="Arial" w:cs="Arial"/>
          <w:b/>
          <w:lang w:eastAsia="en-US"/>
        </w:rPr>
        <w:t>RAN2#124, November 13th – November 17th, 2023, Chicago, USA</w:t>
      </w:r>
    </w:p>
    <w:p>
      <w:pPr>
        <w:tabs>
          <w:tab w:val="left" w:pos="567"/>
        </w:tabs>
        <w:snapToGrid w:val="0"/>
        <w:rPr>
          <w:rFonts w:ascii="Arial" w:hAnsi="Arial" w:cs="Arial"/>
          <w:bCs/>
          <w:u w:val="single"/>
        </w:rPr>
      </w:pPr>
      <w:r>
        <w:rPr>
          <w:rFonts w:ascii="Arial" w:hAnsi="Arial" w:cs="Arial"/>
          <w:bCs/>
          <w:u w:val="single"/>
        </w:rPr>
        <w:t>Submitted TDocs to AI 7.6.1</w:t>
      </w:r>
    </w:p>
    <w:p>
      <w:pPr>
        <w:pStyle w:val="128"/>
        <w:numPr>
          <w:ilvl w:val="0"/>
          <w:numId w:val="55"/>
        </w:numPr>
        <w:tabs>
          <w:tab w:val="left" w:pos="567"/>
        </w:tabs>
        <w:snapToGrid w:val="0"/>
      </w:pPr>
      <w:r>
        <w:t>R2-2311716</w:t>
      </w:r>
      <w:r>
        <w:tab/>
      </w:r>
      <w:r>
        <w:t>LS on Rel-18 RAN1 UE features list for LTE after RAN1#114bis (R1-2310634; contact: NTT DOCOMO, AT&amp;T)</w:t>
      </w:r>
      <w:r>
        <w:tab/>
      </w:r>
      <w:r>
        <w:t xml:space="preserve">RAN1 </w:t>
      </w:r>
    </w:p>
    <w:p>
      <w:pPr>
        <w:pStyle w:val="128"/>
        <w:numPr>
          <w:ilvl w:val="0"/>
          <w:numId w:val="55"/>
        </w:numPr>
        <w:tabs>
          <w:tab w:val="left" w:pos="567"/>
        </w:tabs>
        <w:snapToGrid w:val="0"/>
      </w:pPr>
      <w:r>
        <w:t>R2-2311891</w:t>
      </w:r>
      <w:r>
        <w:tab/>
      </w:r>
      <w:r>
        <w:t>Introduction of IoT NTN enhancements</w:t>
      </w:r>
      <w:r>
        <w:tab/>
      </w:r>
      <w:r>
        <w:t>Huawei, HiSilicon</w:t>
      </w:r>
    </w:p>
    <w:p>
      <w:pPr>
        <w:pStyle w:val="128"/>
        <w:numPr>
          <w:ilvl w:val="0"/>
          <w:numId w:val="55"/>
        </w:numPr>
        <w:tabs>
          <w:tab w:val="left" w:pos="567"/>
        </w:tabs>
        <w:snapToGrid w:val="0"/>
      </w:pPr>
      <w:r>
        <w:t>R2-2311892</w:t>
      </w:r>
      <w:r>
        <w:tab/>
      </w:r>
      <w:r>
        <w:t>Report of [Post123bis][302][IoT-NTN Enh] 36.331 running CR (Huawei)</w:t>
      </w:r>
      <w:r>
        <w:tab/>
      </w:r>
      <w:r>
        <w:t>Huawei, HiSilicon</w:t>
      </w:r>
    </w:p>
    <w:p>
      <w:pPr>
        <w:pStyle w:val="128"/>
        <w:numPr>
          <w:ilvl w:val="0"/>
          <w:numId w:val="55"/>
        </w:numPr>
        <w:tabs>
          <w:tab w:val="left" w:pos="567"/>
        </w:tabs>
        <w:snapToGrid w:val="0"/>
      </w:pPr>
      <w:r>
        <w:t>R2-2312116</w:t>
      </w:r>
      <w:r>
        <w:tab/>
      </w:r>
      <w:r>
        <w:t>Stage-3 running CR for TS 36.321 for Rel-18 IoT-NTN</w:t>
      </w:r>
      <w:r>
        <w:tab/>
      </w:r>
      <w:r>
        <w:t>MediaTek Inc.</w:t>
      </w:r>
    </w:p>
    <w:p>
      <w:pPr>
        <w:pStyle w:val="128"/>
        <w:numPr>
          <w:ilvl w:val="0"/>
          <w:numId w:val="55"/>
        </w:numPr>
        <w:tabs>
          <w:tab w:val="left" w:pos="567"/>
        </w:tabs>
        <w:snapToGrid w:val="0"/>
      </w:pPr>
      <w:r>
        <w:t>R2-2312281</w:t>
      </w:r>
      <w:r>
        <w:tab/>
      </w:r>
      <w:r>
        <w:t>Introduction of Rel-18 IoT NTN UE capabilities</w:t>
      </w:r>
      <w:r>
        <w:tab/>
      </w:r>
      <w:r>
        <w:t>Qualcomm Incorporated</w:t>
      </w:r>
    </w:p>
    <w:p>
      <w:pPr>
        <w:pStyle w:val="128"/>
        <w:numPr>
          <w:ilvl w:val="0"/>
          <w:numId w:val="55"/>
        </w:numPr>
        <w:tabs>
          <w:tab w:val="left" w:pos="567"/>
        </w:tabs>
        <w:snapToGrid w:val="0"/>
      </w:pPr>
      <w:r>
        <w:t>R2-2312282</w:t>
      </w:r>
      <w:r>
        <w:tab/>
      </w:r>
      <w:r>
        <w:t>Rapporteur input to open issues on the introduction of Rel-18 IoT NTN UE capabilities</w:t>
      </w:r>
      <w:r>
        <w:tab/>
      </w:r>
      <w:r>
        <w:t>Qualcomm Incorporated</w:t>
      </w:r>
    </w:p>
    <w:p>
      <w:pPr>
        <w:pStyle w:val="128"/>
        <w:numPr>
          <w:ilvl w:val="0"/>
          <w:numId w:val="55"/>
        </w:numPr>
        <w:tabs>
          <w:tab w:val="left" w:pos="567"/>
        </w:tabs>
        <w:snapToGrid w:val="0"/>
      </w:pPr>
      <w:r>
        <w:t>R2-2313301</w:t>
      </w:r>
      <w:r>
        <w:tab/>
      </w:r>
      <w:r>
        <w:t>Introduction of IoT NTN enhancements</w:t>
      </w:r>
      <w:r>
        <w:tab/>
      </w:r>
      <w:r>
        <w:t>Ericsson</w:t>
      </w:r>
    </w:p>
    <w:p>
      <w:pPr>
        <w:pStyle w:val="128"/>
        <w:numPr>
          <w:ilvl w:val="0"/>
          <w:numId w:val="55"/>
        </w:numPr>
        <w:tabs>
          <w:tab w:val="left" w:pos="567"/>
        </w:tabs>
        <w:snapToGrid w:val="0"/>
      </w:pPr>
      <w:r>
        <w:t>R2-2313304</w:t>
      </w:r>
      <w:r>
        <w:tab/>
      </w:r>
      <w:r>
        <w:t>Stage 2 open issues</w:t>
      </w:r>
      <w:r>
        <w:tab/>
      </w:r>
      <w:r>
        <w:t>Ericsson</w:t>
      </w:r>
    </w:p>
    <w:p>
      <w:pPr>
        <w:pStyle w:val="128"/>
        <w:numPr>
          <w:ilvl w:val="0"/>
          <w:numId w:val="55"/>
        </w:numPr>
        <w:tabs>
          <w:tab w:val="left" w:pos="567"/>
        </w:tabs>
        <w:snapToGrid w:val="0"/>
      </w:pPr>
      <w:r>
        <w:t>R2-2313320</w:t>
      </w:r>
      <w:r>
        <w:tab/>
      </w:r>
      <w:r>
        <w:t>Introduction of IoT-NTN Enhancements</w:t>
      </w:r>
      <w:r>
        <w:tab/>
      </w:r>
      <w:r>
        <w:t>Nokia Solutions &amp; Networks (I)</w:t>
      </w:r>
    </w:p>
    <w:p>
      <w:pPr>
        <w:pStyle w:val="128"/>
        <w:numPr>
          <w:ilvl w:val="0"/>
          <w:numId w:val="55"/>
        </w:numPr>
        <w:tabs>
          <w:tab w:val="left" w:pos="567"/>
        </w:tabs>
        <w:snapToGrid w:val="0"/>
      </w:pPr>
      <w:r>
        <w:t>R2-2313321</w:t>
      </w:r>
      <w:r>
        <w:tab/>
      </w:r>
      <w:r>
        <w:t>Report of  [Post123bis][304][IoT-NTN Enh] 36.304 running CR (Nokia)</w:t>
      </w:r>
      <w:r>
        <w:tab/>
      </w:r>
      <w:r>
        <w:t>Nokia Solutions &amp; Networks (I)</w:t>
      </w:r>
    </w:p>
    <w:p>
      <w:pPr>
        <w:pStyle w:val="129"/>
      </w:pPr>
    </w:p>
    <w:p>
      <w:pPr>
        <w:tabs>
          <w:tab w:val="left" w:pos="567"/>
        </w:tabs>
        <w:snapToGrid w:val="0"/>
        <w:rPr>
          <w:rFonts w:ascii="Arial" w:hAnsi="Arial" w:cs="Arial"/>
          <w:bCs/>
          <w:u w:val="single"/>
        </w:rPr>
      </w:pPr>
      <w:r>
        <w:rPr>
          <w:rFonts w:ascii="Arial" w:hAnsi="Arial" w:cs="Arial"/>
          <w:bCs/>
          <w:u w:val="single"/>
        </w:rPr>
        <w:t>Submitted TDocs to AI 7.6.2.1</w:t>
      </w:r>
    </w:p>
    <w:p>
      <w:pPr>
        <w:pStyle w:val="132"/>
        <w:numPr>
          <w:ilvl w:val="0"/>
          <w:numId w:val="56"/>
        </w:numPr>
        <w:ind w:leftChars="0"/>
        <w:rPr>
          <w:rFonts w:ascii="Arial" w:hAnsi="Arial" w:cs="Arial"/>
          <w:bCs/>
          <w:sz w:val="20"/>
          <w:szCs w:val="20"/>
        </w:rPr>
      </w:pPr>
      <w:r>
        <w:rPr>
          <w:rFonts w:ascii="Arial" w:hAnsi="Arial" w:cs="Arial"/>
          <w:bCs/>
          <w:sz w:val="20"/>
          <w:szCs w:val="20"/>
        </w:rPr>
        <w:t>R2-2311838</w:t>
      </w:r>
      <w:r>
        <w:rPr>
          <w:rFonts w:ascii="Arial" w:hAnsi="Arial" w:cs="Arial"/>
          <w:bCs/>
          <w:sz w:val="20"/>
          <w:szCs w:val="20"/>
        </w:rPr>
        <w:tab/>
      </w:r>
      <w:r>
        <w:rPr>
          <w:rFonts w:ascii="Arial" w:hAnsi="Arial" w:cs="Arial"/>
          <w:bCs/>
          <w:sz w:val="20"/>
          <w:szCs w:val="20"/>
        </w:rPr>
        <w:t>Remaining Issues on HARQ Enhancement for IoT NTN</w:t>
      </w:r>
      <w:r>
        <w:rPr>
          <w:rFonts w:ascii="Arial" w:hAnsi="Arial" w:cs="Arial"/>
          <w:bCs/>
          <w:sz w:val="20"/>
          <w:szCs w:val="20"/>
        </w:rPr>
        <w:tab/>
      </w:r>
      <w:r>
        <w:rPr>
          <w:rFonts w:ascii="Arial" w:hAnsi="Arial" w:cs="Arial"/>
          <w:bCs/>
          <w:sz w:val="20"/>
          <w:szCs w:val="20"/>
        </w:rPr>
        <w:t>vivo</w:t>
      </w:r>
    </w:p>
    <w:p>
      <w:pPr>
        <w:pStyle w:val="132"/>
        <w:numPr>
          <w:ilvl w:val="0"/>
          <w:numId w:val="56"/>
        </w:numPr>
        <w:ind w:leftChars="0"/>
        <w:rPr>
          <w:rFonts w:ascii="Arial" w:hAnsi="Arial" w:cs="Arial"/>
          <w:bCs/>
          <w:sz w:val="20"/>
          <w:szCs w:val="20"/>
        </w:rPr>
      </w:pPr>
      <w:r>
        <w:rPr>
          <w:rFonts w:ascii="Arial" w:hAnsi="Arial" w:cs="Arial"/>
          <w:bCs/>
          <w:sz w:val="20"/>
          <w:szCs w:val="20"/>
        </w:rPr>
        <w:t>R2-2311958</w:t>
      </w:r>
      <w:r>
        <w:rPr>
          <w:rFonts w:ascii="Arial" w:hAnsi="Arial" w:cs="Arial"/>
          <w:bCs/>
          <w:sz w:val="20"/>
          <w:szCs w:val="20"/>
        </w:rPr>
        <w:tab/>
      </w:r>
      <w:r>
        <w:rPr>
          <w:rFonts w:ascii="Arial" w:hAnsi="Arial" w:cs="Arial"/>
          <w:bCs/>
          <w:sz w:val="20"/>
          <w:szCs w:val="20"/>
        </w:rPr>
        <w:t>Discussion on HARQ enhancement for IoT NTN</w:t>
      </w:r>
      <w:r>
        <w:rPr>
          <w:rFonts w:ascii="Arial" w:hAnsi="Arial" w:cs="Arial"/>
          <w:bCs/>
          <w:sz w:val="20"/>
          <w:szCs w:val="20"/>
        </w:rPr>
        <w:tab/>
      </w:r>
      <w:r>
        <w:rPr>
          <w:rFonts w:ascii="Arial" w:hAnsi="Arial" w:cs="Arial"/>
          <w:bCs/>
          <w:sz w:val="20"/>
          <w:szCs w:val="20"/>
        </w:rPr>
        <w:t>OPPO</w:t>
      </w:r>
    </w:p>
    <w:p>
      <w:pPr>
        <w:pStyle w:val="132"/>
        <w:numPr>
          <w:ilvl w:val="0"/>
          <w:numId w:val="56"/>
        </w:numPr>
        <w:ind w:leftChars="0"/>
        <w:rPr>
          <w:rFonts w:ascii="Arial" w:hAnsi="Arial" w:cs="Arial"/>
          <w:bCs/>
          <w:sz w:val="20"/>
          <w:szCs w:val="20"/>
        </w:rPr>
      </w:pPr>
      <w:r>
        <w:rPr>
          <w:rFonts w:ascii="Arial" w:hAnsi="Arial" w:cs="Arial"/>
          <w:bCs/>
          <w:sz w:val="20"/>
          <w:szCs w:val="20"/>
        </w:rPr>
        <w:t>R2-2312114</w:t>
      </w:r>
      <w:r>
        <w:rPr>
          <w:rFonts w:ascii="Arial" w:hAnsi="Arial" w:cs="Arial"/>
          <w:bCs/>
          <w:sz w:val="20"/>
          <w:szCs w:val="20"/>
        </w:rPr>
        <w:tab/>
      </w:r>
      <w:r>
        <w:rPr>
          <w:rFonts w:ascii="Arial" w:hAnsi="Arial" w:cs="Arial"/>
          <w:bCs/>
          <w:sz w:val="20"/>
          <w:szCs w:val="20"/>
        </w:rPr>
        <w:t>Remaining Issues on HARQ Enhancements in IoT-NTN</w:t>
      </w:r>
      <w:r>
        <w:rPr>
          <w:rFonts w:ascii="Arial" w:hAnsi="Arial" w:cs="Arial"/>
          <w:bCs/>
          <w:sz w:val="20"/>
          <w:szCs w:val="20"/>
        </w:rPr>
        <w:tab/>
      </w:r>
      <w:r>
        <w:rPr>
          <w:rFonts w:ascii="Arial" w:hAnsi="Arial" w:cs="Arial"/>
          <w:bCs/>
          <w:sz w:val="20"/>
          <w:szCs w:val="20"/>
        </w:rPr>
        <w:t>MediaTek Inc.</w:t>
      </w:r>
    </w:p>
    <w:p>
      <w:pPr>
        <w:pStyle w:val="132"/>
        <w:numPr>
          <w:ilvl w:val="0"/>
          <w:numId w:val="56"/>
        </w:numPr>
        <w:ind w:leftChars="0"/>
        <w:rPr>
          <w:rFonts w:ascii="Arial" w:hAnsi="Arial" w:cs="Arial"/>
          <w:bCs/>
          <w:sz w:val="20"/>
          <w:szCs w:val="20"/>
        </w:rPr>
      </w:pPr>
      <w:r>
        <w:rPr>
          <w:rFonts w:ascii="Arial" w:hAnsi="Arial" w:cs="Arial"/>
          <w:bCs/>
          <w:sz w:val="20"/>
          <w:szCs w:val="20"/>
        </w:rPr>
        <w:t>R2-2312244</w:t>
      </w:r>
      <w:r>
        <w:rPr>
          <w:rFonts w:ascii="Arial" w:hAnsi="Arial" w:cs="Arial"/>
          <w:bCs/>
          <w:sz w:val="20"/>
          <w:szCs w:val="20"/>
        </w:rPr>
        <w:tab/>
      </w:r>
      <w:r>
        <w:rPr>
          <w:rFonts w:ascii="Arial" w:hAnsi="Arial" w:cs="Arial"/>
          <w:bCs/>
          <w:sz w:val="20"/>
          <w:szCs w:val="20"/>
        </w:rPr>
        <w:t>Remaining issues of HARQ enhancements</w:t>
      </w:r>
      <w:r>
        <w:rPr>
          <w:rFonts w:ascii="Arial" w:hAnsi="Arial" w:cs="Arial"/>
          <w:bCs/>
          <w:sz w:val="20"/>
          <w:szCs w:val="20"/>
        </w:rPr>
        <w:tab/>
      </w:r>
      <w:r>
        <w:rPr>
          <w:rFonts w:ascii="Arial" w:hAnsi="Arial" w:cs="Arial"/>
          <w:bCs/>
          <w:sz w:val="20"/>
          <w:szCs w:val="20"/>
        </w:rPr>
        <w:t>ZTE Corporation, Sanechips</w:t>
      </w:r>
    </w:p>
    <w:p>
      <w:pPr>
        <w:pStyle w:val="132"/>
        <w:numPr>
          <w:ilvl w:val="0"/>
          <w:numId w:val="56"/>
        </w:numPr>
        <w:ind w:leftChars="0"/>
        <w:rPr>
          <w:rFonts w:ascii="Arial" w:hAnsi="Arial" w:cs="Arial"/>
          <w:bCs/>
          <w:sz w:val="20"/>
          <w:szCs w:val="20"/>
        </w:rPr>
      </w:pPr>
      <w:r>
        <w:rPr>
          <w:rFonts w:ascii="Arial" w:hAnsi="Arial" w:cs="Arial"/>
          <w:bCs/>
          <w:sz w:val="20"/>
          <w:szCs w:val="20"/>
        </w:rPr>
        <w:t>R2-2312283</w:t>
      </w:r>
      <w:r>
        <w:rPr>
          <w:rFonts w:ascii="Arial" w:hAnsi="Arial" w:cs="Arial"/>
          <w:bCs/>
          <w:sz w:val="20"/>
          <w:szCs w:val="20"/>
        </w:rPr>
        <w:tab/>
      </w:r>
      <w:r>
        <w:rPr>
          <w:rFonts w:ascii="Arial" w:hAnsi="Arial" w:cs="Arial"/>
          <w:bCs/>
          <w:sz w:val="20"/>
          <w:szCs w:val="20"/>
        </w:rPr>
        <w:t>Open issues on HARQ enhancements</w:t>
      </w:r>
      <w:r>
        <w:rPr>
          <w:rFonts w:ascii="Arial" w:hAnsi="Arial" w:cs="Arial"/>
          <w:bCs/>
          <w:sz w:val="20"/>
          <w:szCs w:val="20"/>
        </w:rPr>
        <w:tab/>
      </w:r>
      <w:r>
        <w:rPr>
          <w:rFonts w:ascii="Arial" w:hAnsi="Arial" w:cs="Arial"/>
          <w:bCs/>
          <w:sz w:val="20"/>
          <w:szCs w:val="20"/>
        </w:rPr>
        <w:t>Qualcomm Incorporated</w:t>
      </w:r>
    </w:p>
    <w:p>
      <w:pPr>
        <w:pStyle w:val="132"/>
        <w:numPr>
          <w:ilvl w:val="0"/>
          <w:numId w:val="56"/>
        </w:numPr>
        <w:ind w:leftChars="0"/>
        <w:rPr>
          <w:rFonts w:ascii="Arial" w:hAnsi="Arial" w:cs="Arial"/>
          <w:bCs/>
          <w:sz w:val="20"/>
          <w:szCs w:val="20"/>
        </w:rPr>
      </w:pPr>
      <w:r>
        <w:rPr>
          <w:rFonts w:ascii="Arial" w:hAnsi="Arial" w:cs="Arial"/>
          <w:bCs/>
          <w:sz w:val="20"/>
          <w:szCs w:val="20"/>
        </w:rPr>
        <w:t>R2-2312700</w:t>
      </w:r>
      <w:r>
        <w:rPr>
          <w:rFonts w:ascii="Arial" w:hAnsi="Arial" w:cs="Arial"/>
          <w:bCs/>
          <w:sz w:val="20"/>
          <w:szCs w:val="20"/>
        </w:rPr>
        <w:tab/>
      </w:r>
      <w:r>
        <w:rPr>
          <w:rFonts w:ascii="Arial" w:hAnsi="Arial" w:cs="Arial"/>
          <w:bCs/>
          <w:sz w:val="20"/>
          <w:szCs w:val="20"/>
        </w:rPr>
        <w:t>Remaining issues on HARQ enhancements for IoT NTN</w:t>
      </w:r>
      <w:r>
        <w:rPr>
          <w:rFonts w:ascii="Arial" w:hAnsi="Arial" w:cs="Arial"/>
          <w:bCs/>
          <w:sz w:val="20"/>
          <w:szCs w:val="20"/>
        </w:rPr>
        <w:tab/>
      </w:r>
      <w:r>
        <w:rPr>
          <w:rFonts w:ascii="Arial" w:hAnsi="Arial" w:cs="Arial"/>
          <w:bCs/>
          <w:sz w:val="20"/>
          <w:szCs w:val="20"/>
        </w:rPr>
        <w:t>Nokia, Nokia Shanghai Bell</w:t>
      </w:r>
    </w:p>
    <w:p>
      <w:pPr>
        <w:pStyle w:val="132"/>
        <w:numPr>
          <w:ilvl w:val="0"/>
          <w:numId w:val="56"/>
        </w:numPr>
        <w:ind w:leftChars="0"/>
        <w:rPr>
          <w:rFonts w:ascii="Arial" w:hAnsi="Arial" w:cs="Arial"/>
          <w:bCs/>
          <w:sz w:val="20"/>
          <w:szCs w:val="20"/>
        </w:rPr>
      </w:pPr>
      <w:r>
        <w:rPr>
          <w:rFonts w:ascii="Arial" w:hAnsi="Arial" w:cs="Arial"/>
          <w:bCs/>
          <w:sz w:val="20"/>
          <w:szCs w:val="20"/>
        </w:rPr>
        <w:t>R2-2312714</w:t>
      </w:r>
      <w:r>
        <w:rPr>
          <w:rFonts w:ascii="Arial" w:hAnsi="Arial" w:cs="Arial"/>
          <w:bCs/>
          <w:sz w:val="20"/>
          <w:szCs w:val="20"/>
        </w:rPr>
        <w:tab/>
      </w:r>
      <w:r>
        <w:rPr>
          <w:rFonts w:ascii="Arial" w:hAnsi="Arial" w:cs="Arial"/>
          <w:bCs/>
          <w:sz w:val="20"/>
          <w:szCs w:val="20"/>
        </w:rPr>
        <w:t>Remaining issues on HARQ enhancement</w:t>
      </w:r>
      <w:r>
        <w:rPr>
          <w:rFonts w:ascii="Arial" w:hAnsi="Arial" w:cs="Arial"/>
          <w:bCs/>
          <w:sz w:val="20"/>
          <w:szCs w:val="20"/>
        </w:rPr>
        <w:tab/>
      </w:r>
      <w:r>
        <w:rPr>
          <w:rFonts w:ascii="Arial" w:hAnsi="Arial" w:cs="Arial"/>
          <w:bCs/>
          <w:sz w:val="20"/>
          <w:szCs w:val="20"/>
        </w:rPr>
        <w:t>Huawei, Turkcell, HiSilicon</w:t>
      </w:r>
    </w:p>
    <w:p>
      <w:pPr>
        <w:pStyle w:val="132"/>
        <w:numPr>
          <w:ilvl w:val="0"/>
          <w:numId w:val="56"/>
        </w:numPr>
        <w:ind w:leftChars="0"/>
        <w:rPr>
          <w:rFonts w:ascii="Arial" w:hAnsi="Arial" w:cs="Arial"/>
          <w:bCs/>
          <w:sz w:val="20"/>
          <w:szCs w:val="20"/>
        </w:rPr>
      </w:pPr>
      <w:r>
        <w:rPr>
          <w:rFonts w:ascii="Arial" w:hAnsi="Arial" w:cs="Arial"/>
          <w:bCs/>
          <w:sz w:val="20"/>
          <w:szCs w:val="20"/>
        </w:rPr>
        <w:t>R2-2312722</w:t>
      </w:r>
      <w:r>
        <w:rPr>
          <w:rFonts w:ascii="Arial" w:hAnsi="Arial" w:cs="Arial"/>
          <w:bCs/>
          <w:sz w:val="20"/>
          <w:szCs w:val="20"/>
        </w:rPr>
        <w:tab/>
      </w:r>
      <w:r>
        <w:rPr>
          <w:rFonts w:ascii="Arial" w:hAnsi="Arial" w:cs="Arial"/>
          <w:bCs/>
          <w:sz w:val="20"/>
          <w:szCs w:val="20"/>
        </w:rPr>
        <w:t>Discussion on HARQ enhancement open issues</w:t>
      </w:r>
      <w:r>
        <w:rPr>
          <w:rFonts w:ascii="Arial" w:hAnsi="Arial" w:cs="Arial"/>
          <w:bCs/>
          <w:sz w:val="20"/>
          <w:szCs w:val="20"/>
        </w:rPr>
        <w:tab/>
      </w:r>
      <w:r>
        <w:rPr>
          <w:rFonts w:ascii="Arial" w:hAnsi="Arial" w:cs="Arial"/>
          <w:bCs/>
          <w:sz w:val="20"/>
          <w:szCs w:val="20"/>
        </w:rPr>
        <w:t>Xiaomi</w:t>
      </w:r>
    </w:p>
    <w:p>
      <w:pPr>
        <w:pStyle w:val="132"/>
        <w:numPr>
          <w:ilvl w:val="0"/>
          <w:numId w:val="56"/>
        </w:numPr>
        <w:ind w:leftChars="0"/>
        <w:rPr>
          <w:rFonts w:ascii="Arial" w:hAnsi="Arial" w:cs="Arial"/>
          <w:bCs/>
          <w:sz w:val="20"/>
          <w:szCs w:val="20"/>
        </w:rPr>
      </w:pPr>
      <w:r>
        <w:rPr>
          <w:rFonts w:ascii="Arial" w:hAnsi="Arial" w:cs="Arial"/>
          <w:bCs/>
          <w:sz w:val="20"/>
          <w:szCs w:val="20"/>
        </w:rPr>
        <w:t>R2-2313300</w:t>
      </w:r>
      <w:r>
        <w:rPr>
          <w:rFonts w:ascii="Arial" w:hAnsi="Arial" w:cs="Arial"/>
          <w:bCs/>
          <w:sz w:val="20"/>
          <w:szCs w:val="20"/>
        </w:rPr>
        <w:tab/>
      </w:r>
      <w:r>
        <w:rPr>
          <w:rFonts w:ascii="Arial" w:hAnsi="Arial" w:cs="Arial"/>
          <w:bCs/>
          <w:sz w:val="20"/>
          <w:szCs w:val="20"/>
        </w:rPr>
        <w:t>R18 IoT NTN HARQ enhancements</w:t>
      </w:r>
      <w:r>
        <w:rPr>
          <w:rFonts w:ascii="Arial" w:hAnsi="Arial" w:cs="Arial"/>
          <w:bCs/>
          <w:sz w:val="20"/>
          <w:szCs w:val="20"/>
        </w:rPr>
        <w:tab/>
      </w:r>
      <w:r>
        <w:rPr>
          <w:rFonts w:ascii="Arial" w:hAnsi="Arial" w:cs="Arial"/>
          <w:bCs/>
          <w:sz w:val="20"/>
          <w:szCs w:val="20"/>
        </w:rPr>
        <w:t>Ericsson</w:t>
      </w:r>
    </w:p>
    <w:p>
      <w:pPr>
        <w:pStyle w:val="132"/>
        <w:numPr>
          <w:ilvl w:val="0"/>
          <w:numId w:val="56"/>
        </w:numPr>
        <w:ind w:leftChars="0"/>
        <w:rPr>
          <w:rFonts w:ascii="Arial" w:hAnsi="Arial" w:cs="Arial"/>
          <w:bCs/>
          <w:sz w:val="20"/>
          <w:szCs w:val="20"/>
        </w:rPr>
      </w:pPr>
      <w:r>
        <w:rPr>
          <w:rFonts w:ascii="Arial" w:hAnsi="Arial" w:cs="Arial"/>
          <w:bCs/>
          <w:sz w:val="20"/>
          <w:szCs w:val="20"/>
        </w:rPr>
        <w:t>R2-2313317</w:t>
      </w:r>
      <w:r>
        <w:rPr>
          <w:rFonts w:ascii="Arial" w:hAnsi="Arial" w:cs="Arial"/>
          <w:bCs/>
          <w:sz w:val="20"/>
          <w:szCs w:val="20"/>
        </w:rPr>
        <w:tab/>
      </w:r>
      <w:r>
        <w:rPr>
          <w:rFonts w:ascii="Arial" w:hAnsi="Arial" w:cs="Arial"/>
          <w:bCs/>
          <w:sz w:val="20"/>
          <w:szCs w:val="20"/>
        </w:rPr>
        <w:t>Discussion on HARQ enhancements in IoT NTN</w:t>
      </w:r>
      <w:r>
        <w:rPr>
          <w:rFonts w:ascii="Arial" w:hAnsi="Arial" w:cs="Arial"/>
          <w:bCs/>
          <w:sz w:val="20"/>
          <w:szCs w:val="20"/>
        </w:rPr>
        <w:tab/>
      </w:r>
      <w:r>
        <w:rPr>
          <w:rFonts w:ascii="Arial" w:hAnsi="Arial" w:cs="Arial"/>
          <w:bCs/>
          <w:sz w:val="20"/>
          <w:szCs w:val="20"/>
        </w:rPr>
        <w:t>CATT</w:t>
      </w:r>
      <w:r>
        <w:rPr>
          <w:rFonts w:ascii="Arial" w:hAnsi="Arial" w:cs="Arial"/>
          <w:bCs/>
          <w:sz w:val="20"/>
          <w:szCs w:val="20"/>
        </w:rPr>
        <w:tab/>
      </w:r>
    </w:p>
    <w:p>
      <w:pPr>
        <w:rPr>
          <w:lang w:eastAsia="ja-JP"/>
        </w:rPr>
      </w:pPr>
    </w:p>
    <w:p>
      <w:pPr>
        <w:tabs>
          <w:tab w:val="left" w:pos="567"/>
        </w:tabs>
        <w:snapToGrid w:val="0"/>
        <w:rPr>
          <w:rFonts w:ascii="Arial" w:hAnsi="Arial" w:cs="Arial"/>
          <w:bCs/>
          <w:u w:val="single"/>
        </w:rPr>
      </w:pPr>
      <w:r>
        <w:rPr>
          <w:rFonts w:ascii="Arial" w:hAnsi="Arial" w:cs="Arial"/>
          <w:bCs/>
          <w:u w:val="single"/>
        </w:rPr>
        <w:t>Submitted TDocs to AI 7.6.2.2</w:t>
      </w:r>
    </w:p>
    <w:p>
      <w:pPr>
        <w:pStyle w:val="132"/>
        <w:numPr>
          <w:ilvl w:val="0"/>
          <w:numId w:val="62"/>
        </w:numPr>
        <w:tabs>
          <w:tab w:val="left" w:pos="567"/>
        </w:tabs>
        <w:snapToGrid w:val="0"/>
        <w:ind w:leftChars="0"/>
        <w:rPr>
          <w:rFonts w:ascii="Arial" w:hAnsi="Arial" w:cs="Arial"/>
          <w:bCs/>
          <w:sz w:val="18"/>
          <w:szCs w:val="18"/>
        </w:rPr>
      </w:pPr>
      <w:r>
        <w:rPr>
          <w:rFonts w:ascii="Arial" w:hAnsi="Arial" w:cs="Arial"/>
          <w:bCs/>
          <w:sz w:val="20"/>
          <w:szCs w:val="20"/>
        </w:rPr>
        <w:t>R2-2311839</w:t>
      </w:r>
      <w:r>
        <w:rPr>
          <w:rFonts w:ascii="Arial" w:hAnsi="Arial" w:cs="Arial"/>
          <w:bCs/>
          <w:sz w:val="20"/>
          <w:szCs w:val="20"/>
        </w:rPr>
        <w:tab/>
      </w:r>
      <w:r>
        <w:rPr>
          <w:rFonts w:ascii="Arial" w:hAnsi="Arial" w:cs="Arial"/>
          <w:bCs/>
          <w:sz w:val="20"/>
          <w:szCs w:val="20"/>
        </w:rPr>
        <w:t>Remaining Issues on GNSS Operation for IoT NTN</w:t>
      </w:r>
      <w:r>
        <w:rPr>
          <w:rFonts w:ascii="Arial" w:hAnsi="Arial" w:cs="Arial"/>
          <w:bCs/>
          <w:sz w:val="20"/>
          <w:szCs w:val="20"/>
        </w:rPr>
        <w:tab/>
      </w:r>
      <w:r>
        <w:rPr>
          <w:rFonts w:ascii="Arial" w:hAnsi="Arial" w:cs="Arial"/>
          <w:bCs/>
          <w:sz w:val="20"/>
          <w:szCs w:val="20"/>
        </w:rPr>
        <w:t>vivo</w:t>
      </w:r>
    </w:p>
    <w:p>
      <w:pPr>
        <w:pStyle w:val="132"/>
        <w:numPr>
          <w:ilvl w:val="0"/>
          <w:numId w:val="62"/>
        </w:numPr>
        <w:tabs>
          <w:tab w:val="left" w:pos="567"/>
        </w:tabs>
        <w:snapToGrid w:val="0"/>
        <w:ind w:leftChars="0"/>
        <w:rPr>
          <w:rFonts w:ascii="Arial" w:hAnsi="Arial" w:cs="Arial"/>
          <w:bCs/>
          <w:sz w:val="18"/>
          <w:szCs w:val="18"/>
        </w:rPr>
      </w:pPr>
      <w:r>
        <w:rPr>
          <w:rFonts w:ascii="Arial" w:hAnsi="Arial" w:cs="Arial"/>
          <w:bCs/>
          <w:sz w:val="20"/>
          <w:szCs w:val="20"/>
        </w:rPr>
        <w:t>R2-2311962</w:t>
      </w:r>
      <w:r>
        <w:rPr>
          <w:rFonts w:ascii="Arial" w:hAnsi="Arial" w:cs="Arial"/>
          <w:bCs/>
          <w:sz w:val="20"/>
          <w:szCs w:val="20"/>
        </w:rPr>
        <w:tab/>
      </w:r>
      <w:r>
        <w:rPr>
          <w:rFonts w:ascii="Arial" w:hAnsi="Arial" w:cs="Arial"/>
          <w:bCs/>
          <w:sz w:val="20"/>
          <w:szCs w:val="20"/>
        </w:rPr>
        <w:t>Discussion on GNSS operation for IoT NTN</w:t>
      </w:r>
      <w:r>
        <w:rPr>
          <w:rFonts w:ascii="Arial" w:hAnsi="Arial" w:cs="Arial"/>
          <w:bCs/>
          <w:sz w:val="20"/>
          <w:szCs w:val="20"/>
        </w:rPr>
        <w:tab/>
      </w:r>
      <w:r>
        <w:rPr>
          <w:rFonts w:ascii="Arial" w:hAnsi="Arial" w:cs="Arial"/>
          <w:bCs/>
          <w:sz w:val="20"/>
          <w:szCs w:val="20"/>
        </w:rPr>
        <w:t>OPPO</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R2-2311963</w:t>
      </w:r>
      <w:r>
        <w:rPr>
          <w:rFonts w:ascii="Arial" w:hAnsi="Arial" w:cs="Arial"/>
          <w:bCs/>
          <w:sz w:val="20"/>
          <w:szCs w:val="20"/>
        </w:rPr>
        <w:tab/>
      </w:r>
      <w:r>
        <w:rPr>
          <w:rFonts w:ascii="Arial" w:hAnsi="Arial" w:cs="Arial"/>
          <w:bCs/>
          <w:sz w:val="20"/>
          <w:szCs w:val="20"/>
        </w:rPr>
        <w:t>DRAFT LS on GNSS validity duration</w:t>
      </w:r>
      <w:r>
        <w:rPr>
          <w:rFonts w:ascii="Arial" w:hAnsi="Arial" w:cs="Arial"/>
          <w:bCs/>
          <w:sz w:val="20"/>
          <w:szCs w:val="20"/>
        </w:rPr>
        <w:tab/>
      </w:r>
      <w:r>
        <w:rPr>
          <w:rFonts w:ascii="Arial" w:hAnsi="Arial" w:cs="Arial"/>
          <w:bCs/>
          <w:sz w:val="20"/>
          <w:szCs w:val="20"/>
        </w:rPr>
        <w:t>OPPO</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R2-2312046</w:t>
      </w:r>
      <w:r>
        <w:rPr>
          <w:rFonts w:ascii="Arial" w:hAnsi="Arial" w:cs="Arial"/>
          <w:bCs/>
          <w:sz w:val="20"/>
          <w:szCs w:val="20"/>
        </w:rPr>
        <w:tab/>
      </w:r>
      <w:r>
        <w:rPr>
          <w:rFonts w:ascii="Arial" w:hAnsi="Arial" w:cs="Arial"/>
          <w:bCs/>
          <w:sz w:val="20"/>
          <w:szCs w:val="20"/>
        </w:rPr>
        <w:t>Leftover issues on the GNSS operation enhancements</w:t>
      </w:r>
      <w:r>
        <w:rPr>
          <w:rFonts w:ascii="Arial" w:hAnsi="Arial" w:cs="Arial"/>
          <w:bCs/>
          <w:sz w:val="20"/>
          <w:szCs w:val="20"/>
        </w:rPr>
        <w:tab/>
      </w:r>
      <w:r>
        <w:rPr>
          <w:rFonts w:ascii="Arial" w:hAnsi="Arial" w:cs="Arial"/>
          <w:bCs/>
          <w:sz w:val="20"/>
          <w:szCs w:val="20"/>
        </w:rPr>
        <w:t>Google Inc.</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R2-2312054</w:t>
      </w:r>
      <w:r>
        <w:rPr>
          <w:rFonts w:ascii="Arial" w:hAnsi="Arial" w:cs="Arial"/>
          <w:bCs/>
          <w:sz w:val="20"/>
          <w:szCs w:val="20"/>
        </w:rPr>
        <w:tab/>
      </w:r>
      <w:r>
        <w:rPr>
          <w:rFonts w:ascii="Arial" w:hAnsi="Arial" w:cs="Arial"/>
          <w:bCs/>
          <w:sz w:val="20"/>
          <w:szCs w:val="20"/>
        </w:rPr>
        <w:t>Discussion on GNSS operation enhancements</w:t>
      </w:r>
      <w:r>
        <w:rPr>
          <w:rFonts w:ascii="Arial" w:hAnsi="Arial" w:cs="Arial"/>
          <w:bCs/>
          <w:sz w:val="20"/>
          <w:szCs w:val="20"/>
        </w:rPr>
        <w:tab/>
      </w:r>
      <w:r>
        <w:rPr>
          <w:rFonts w:ascii="Arial" w:hAnsi="Arial" w:cs="Arial"/>
          <w:bCs/>
          <w:sz w:val="20"/>
          <w:szCs w:val="20"/>
        </w:rPr>
        <w:t>CATT</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R2-2312115</w:t>
      </w:r>
      <w:r>
        <w:rPr>
          <w:rFonts w:ascii="Arial" w:hAnsi="Arial" w:cs="Arial"/>
          <w:bCs/>
          <w:sz w:val="20"/>
          <w:szCs w:val="20"/>
        </w:rPr>
        <w:tab/>
      </w:r>
      <w:r>
        <w:rPr>
          <w:rFonts w:ascii="Arial" w:hAnsi="Arial" w:cs="Arial"/>
          <w:bCs/>
          <w:sz w:val="20"/>
          <w:szCs w:val="20"/>
        </w:rPr>
        <w:t>Remaining GNSS Enhancement Issues in IoT-NTN</w:t>
      </w:r>
      <w:r>
        <w:rPr>
          <w:rFonts w:ascii="Arial" w:hAnsi="Arial" w:cs="Arial"/>
          <w:bCs/>
          <w:sz w:val="20"/>
          <w:szCs w:val="20"/>
        </w:rPr>
        <w:tab/>
      </w:r>
      <w:r>
        <w:rPr>
          <w:rFonts w:ascii="Arial" w:hAnsi="Arial" w:cs="Arial"/>
          <w:bCs/>
          <w:sz w:val="20"/>
          <w:szCs w:val="20"/>
        </w:rPr>
        <w:t>MediaTek Inc.</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R2-2312246</w:t>
      </w:r>
      <w:r>
        <w:rPr>
          <w:rFonts w:ascii="Arial" w:hAnsi="Arial" w:cs="Arial"/>
          <w:bCs/>
          <w:sz w:val="20"/>
          <w:szCs w:val="20"/>
        </w:rPr>
        <w:tab/>
      </w:r>
      <w:r>
        <w:rPr>
          <w:rFonts w:ascii="Arial" w:hAnsi="Arial" w:cs="Arial"/>
          <w:bCs/>
          <w:sz w:val="20"/>
          <w:szCs w:val="20"/>
        </w:rPr>
        <w:t>Remaining issues of GNSS enhancements</w:t>
      </w:r>
      <w:r>
        <w:rPr>
          <w:rFonts w:ascii="Arial" w:hAnsi="Arial" w:cs="Arial"/>
          <w:bCs/>
          <w:sz w:val="20"/>
          <w:szCs w:val="20"/>
        </w:rPr>
        <w:tab/>
      </w:r>
      <w:r>
        <w:rPr>
          <w:rFonts w:ascii="Arial" w:hAnsi="Arial" w:cs="Arial"/>
          <w:bCs/>
          <w:sz w:val="20"/>
          <w:szCs w:val="20"/>
        </w:rPr>
        <w:t>ZTE Corporation, Sanechips</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R2-2312286</w:t>
      </w:r>
      <w:r>
        <w:rPr>
          <w:rFonts w:ascii="Arial" w:hAnsi="Arial" w:cs="Arial"/>
          <w:bCs/>
          <w:sz w:val="20"/>
          <w:szCs w:val="20"/>
        </w:rPr>
        <w:tab/>
      </w:r>
      <w:r>
        <w:rPr>
          <w:rFonts w:ascii="Arial" w:hAnsi="Arial" w:cs="Arial"/>
          <w:bCs/>
          <w:sz w:val="20"/>
          <w:szCs w:val="20"/>
        </w:rPr>
        <w:t>Open issues on GNSS fix in RRC_CONNECTED</w:t>
      </w:r>
      <w:r>
        <w:rPr>
          <w:rFonts w:ascii="Arial" w:hAnsi="Arial" w:cs="Arial"/>
          <w:bCs/>
          <w:sz w:val="20"/>
          <w:szCs w:val="20"/>
        </w:rPr>
        <w:tab/>
      </w:r>
      <w:r>
        <w:rPr>
          <w:rFonts w:ascii="Arial" w:hAnsi="Arial" w:cs="Arial"/>
          <w:bCs/>
          <w:sz w:val="20"/>
          <w:szCs w:val="20"/>
        </w:rPr>
        <w:t>Qualcomm Incorporated</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R2-2312353</w:t>
      </w:r>
      <w:r>
        <w:rPr>
          <w:rFonts w:ascii="Arial" w:hAnsi="Arial" w:cs="Arial"/>
          <w:bCs/>
          <w:sz w:val="20"/>
          <w:szCs w:val="20"/>
        </w:rPr>
        <w:tab/>
      </w:r>
      <w:r>
        <w:rPr>
          <w:rFonts w:ascii="Arial" w:hAnsi="Arial" w:cs="Arial"/>
          <w:bCs/>
          <w:sz w:val="20"/>
          <w:szCs w:val="20"/>
        </w:rPr>
        <w:t>Leftover issues in improved GNSS operation</w:t>
      </w:r>
      <w:r>
        <w:rPr>
          <w:rFonts w:ascii="Arial" w:hAnsi="Arial" w:cs="Arial"/>
          <w:bCs/>
          <w:sz w:val="20"/>
          <w:szCs w:val="20"/>
        </w:rPr>
        <w:tab/>
      </w:r>
      <w:r>
        <w:rPr>
          <w:rFonts w:ascii="Arial" w:hAnsi="Arial" w:cs="Arial"/>
          <w:bCs/>
          <w:sz w:val="20"/>
          <w:szCs w:val="20"/>
        </w:rPr>
        <w:t>Apple</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R2-2312458</w:t>
      </w:r>
      <w:r>
        <w:rPr>
          <w:rFonts w:ascii="Arial" w:hAnsi="Arial" w:cs="Arial"/>
          <w:bCs/>
          <w:sz w:val="20"/>
          <w:szCs w:val="20"/>
        </w:rPr>
        <w:tab/>
      </w:r>
      <w:r>
        <w:rPr>
          <w:rFonts w:ascii="Arial" w:hAnsi="Arial" w:cs="Arial"/>
          <w:bCs/>
          <w:sz w:val="20"/>
          <w:szCs w:val="20"/>
        </w:rPr>
        <w:t>Views on timer handling during GNSS measurement gap</w:t>
      </w:r>
      <w:r>
        <w:rPr>
          <w:rFonts w:ascii="Arial" w:hAnsi="Arial" w:cs="Arial"/>
          <w:bCs/>
          <w:sz w:val="20"/>
          <w:szCs w:val="20"/>
        </w:rPr>
        <w:tab/>
      </w:r>
      <w:r>
        <w:rPr>
          <w:rFonts w:ascii="Arial" w:hAnsi="Arial" w:cs="Arial"/>
          <w:bCs/>
          <w:sz w:val="20"/>
          <w:szCs w:val="20"/>
        </w:rPr>
        <w:t>Lenovo</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R2-2312608</w:t>
      </w:r>
      <w:r>
        <w:rPr>
          <w:rFonts w:ascii="Arial" w:hAnsi="Arial" w:cs="Arial"/>
          <w:bCs/>
          <w:sz w:val="20"/>
          <w:szCs w:val="20"/>
        </w:rPr>
        <w:tab/>
      </w:r>
      <w:r>
        <w:rPr>
          <w:rFonts w:ascii="Arial" w:hAnsi="Arial" w:cs="Arial"/>
          <w:bCs/>
          <w:sz w:val="20"/>
          <w:szCs w:val="20"/>
        </w:rPr>
        <w:t>GNSS operation enhancement</w:t>
      </w:r>
      <w:r>
        <w:rPr>
          <w:rFonts w:ascii="Arial" w:hAnsi="Arial" w:cs="Arial"/>
          <w:bCs/>
          <w:sz w:val="20"/>
          <w:szCs w:val="20"/>
        </w:rPr>
        <w:tab/>
      </w:r>
      <w:r>
        <w:rPr>
          <w:rFonts w:ascii="Arial" w:hAnsi="Arial" w:cs="Arial"/>
          <w:bCs/>
          <w:sz w:val="20"/>
          <w:szCs w:val="20"/>
        </w:rPr>
        <w:t>NEC</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R2-2312673</w:t>
      </w:r>
      <w:r>
        <w:rPr>
          <w:rFonts w:ascii="Arial" w:hAnsi="Arial" w:cs="Arial"/>
          <w:bCs/>
          <w:sz w:val="20"/>
          <w:szCs w:val="20"/>
        </w:rPr>
        <w:tab/>
      </w:r>
      <w:r>
        <w:rPr>
          <w:rFonts w:ascii="Arial" w:hAnsi="Arial" w:cs="Arial"/>
          <w:bCs/>
          <w:sz w:val="20"/>
          <w:szCs w:val="20"/>
        </w:rPr>
        <w:t>Discussion on GNSS enhancement for IoT-NTN</w:t>
      </w:r>
      <w:r>
        <w:rPr>
          <w:rFonts w:ascii="Arial" w:hAnsi="Arial" w:cs="Arial"/>
          <w:bCs/>
          <w:sz w:val="20"/>
          <w:szCs w:val="20"/>
        </w:rPr>
        <w:tab/>
      </w:r>
      <w:r>
        <w:rPr>
          <w:rFonts w:ascii="Arial" w:hAnsi="Arial" w:cs="Arial"/>
          <w:bCs/>
          <w:sz w:val="20"/>
          <w:szCs w:val="20"/>
        </w:rPr>
        <w:t>CMCC</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R2-2312701</w:t>
      </w:r>
      <w:r>
        <w:rPr>
          <w:rFonts w:ascii="Arial" w:hAnsi="Arial" w:cs="Arial"/>
          <w:bCs/>
          <w:sz w:val="20"/>
          <w:szCs w:val="20"/>
        </w:rPr>
        <w:tab/>
      </w:r>
      <w:r>
        <w:rPr>
          <w:rFonts w:ascii="Arial" w:hAnsi="Arial" w:cs="Arial"/>
          <w:bCs/>
          <w:sz w:val="20"/>
          <w:szCs w:val="20"/>
        </w:rPr>
        <w:t>Remaining issues on GNSS operation enhancement for IoT NTN</w:t>
      </w:r>
      <w:r>
        <w:rPr>
          <w:rFonts w:ascii="Arial" w:hAnsi="Arial" w:cs="Arial"/>
          <w:bCs/>
          <w:sz w:val="20"/>
          <w:szCs w:val="20"/>
        </w:rPr>
        <w:tab/>
      </w:r>
      <w:r>
        <w:rPr>
          <w:rFonts w:ascii="Arial" w:hAnsi="Arial" w:cs="Arial"/>
          <w:bCs/>
          <w:sz w:val="20"/>
          <w:szCs w:val="20"/>
        </w:rPr>
        <w:t>Nokia, Nokia Shanghai Bell</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R2-2312715</w:t>
      </w:r>
      <w:r>
        <w:rPr>
          <w:rFonts w:ascii="Arial" w:hAnsi="Arial" w:cs="Arial"/>
          <w:bCs/>
          <w:sz w:val="20"/>
          <w:szCs w:val="20"/>
        </w:rPr>
        <w:tab/>
      </w:r>
      <w:r>
        <w:rPr>
          <w:rFonts w:ascii="Arial" w:hAnsi="Arial" w:cs="Arial"/>
          <w:bCs/>
          <w:sz w:val="20"/>
          <w:szCs w:val="20"/>
        </w:rPr>
        <w:t>Remaining issues on GNSS measurement</w:t>
      </w:r>
      <w:r>
        <w:rPr>
          <w:rFonts w:ascii="Arial" w:hAnsi="Arial" w:cs="Arial"/>
          <w:bCs/>
          <w:sz w:val="20"/>
          <w:szCs w:val="20"/>
        </w:rPr>
        <w:tab/>
      </w:r>
      <w:r>
        <w:rPr>
          <w:rFonts w:ascii="Arial" w:hAnsi="Arial" w:cs="Arial"/>
          <w:bCs/>
          <w:sz w:val="20"/>
          <w:szCs w:val="20"/>
        </w:rPr>
        <w:t>Huawei, Turkcell, HiSilicon</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R2-2312721</w:t>
      </w:r>
      <w:r>
        <w:rPr>
          <w:rFonts w:ascii="Arial" w:hAnsi="Arial" w:cs="Arial"/>
          <w:bCs/>
          <w:sz w:val="20"/>
          <w:szCs w:val="20"/>
        </w:rPr>
        <w:tab/>
      </w:r>
      <w:r>
        <w:rPr>
          <w:rFonts w:ascii="Arial" w:hAnsi="Arial" w:cs="Arial"/>
          <w:bCs/>
          <w:sz w:val="20"/>
          <w:szCs w:val="20"/>
        </w:rPr>
        <w:t>Discussion on GNSS operation enhancement open issues</w:t>
      </w:r>
      <w:r>
        <w:rPr>
          <w:rFonts w:ascii="Arial" w:hAnsi="Arial" w:cs="Arial"/>
          <w:bCs/>
          <w:sz w:val="20"/>
          <w:szCs w:val="20"/>
        </w:rPr>
        <w:tab/>
      </w:r>
      <w:r>
        <w:rPr>
          <w:rFonts w:ascii="Arial" w:hAnsi="Arial" w:cs="Arial"/>
          <w:bCs/>
          <w:sz w:val="20"/>
          <w:szCs w:val="20"/>
        </w:rPr>
        <w:t>Xiaomi</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R2-2312879</w:t>
      </w:r>
      <w:r>
        <w:rPr>
          <w:rFonts w:ascii="Arial" w:hAnsi="Arial" w:cs="Arial"/>
          <w:bCs/>
          <w:sz w:val="20"/>
          <w:szCs w:val="20"/>
        </w:rPr>
        <w:tab/>
      </w:r>
      <w:r>
        <w:rPr>
          <w:rFonts w:ascii="Arial" w:hAnsi="Arial" w:cs="Arial"/>
          <w:bCs/>
          <w:sz w:val="20"/>
          <w:szCs w:val="20"/>
        </w:rPr>
        <w:t>GNSS acquisition and reporting for IoT NTN</w:t>
      </w:r>
      <w:r>
        <w:rPr>
          <w:rFonts w:ascii="Arial" w:hAnsi="Arial" w:cs="Arial"/>
          <w:bCs/>
          <w:sz w:val="20"/>
          <w:szCs w:val="20"/>
        </w:rPr>
        <w:tab/>
      </w:r>
      <w:r>
        <w:rPr>
          <w:rFonts w:ascii="Arial" w:hAnsi="Arial" w:cs="Arial"/>
          <w:bCs/>
          <w:sz w:val="20"/>
          <w:szCs w:val="20"/>
        </w:rPr>
        <w:t>Interdigital, Inc.</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R2-2313010</w:t>
      </w:r>
      <w:r>
        <w:rPr>
          <w:rFonts w:ascii="Arial" w:hAnsi="Arial" w:cs="Arial"/>
          <w:bCs/>
          <w:sz w:val="20"/>
          <w:szCs w:val="20"/>
        </w:rPr>
        <w:tab/>
      </w:r>
      <w:r>
        <w:rPr>
          <w:rFonts w:ascii="Arial" w:hAnsi="Arial" w:cs="Arial"/>
          <w:bCs/>
          <w:sz w:val="20"/>
          <w:szCs w:val="20"/>
        </w:rPr>
        <w:t>GNSS measurement procedures in connected mode</w:t>
      </w:r>
      <w:r>
        <w:rPr>
          <w:rFonts w:ascii="Arial" w:hAnsi="Arial" w:cs="Arial"/>
          <w:bCs/>
          <w:sz w:val="20"/>
          <w:szCs w:val="20"/>
        </w:rPr>
        <w:tab/>
      </w:r>
      <w:r>
        <w:rPr>
          <w:rFonts w:ascii="Arial" w:hAnsi="Arial" w:cs="Arial"/>
          <w:bCs/>
          <w:sz w:val="20"/>
          <w:szCs w:val="20"/>
        </w:rPr>
        <w:t>Samsung R&amp;D Institute UK</w:t>
      </w:r>
    </w:p>
    <w:p>
      <w:pPr>
        <w:pStyle w:val="132"/>
        <w:numPr>
          <w:ilvl w:val="0"/>
          <w:numId w:val="62"/>
        </w:numPr>
        <w:tabs>
          <w:tab w:val="left" w:pos="567"/>
        </w:tabs>
        <w:snapToGrid w:val="0"/>
        <w:ind w:leftChars="0"/>
        <w:rPr>
          <w:rFonts w:ascii="Arial" w:hAnsi="Arial" w:cs="Arial"/>
          <w:bCs/>
          <w:sz w:val="20"/>
          <w:szCs w:val="20"/>
        </w:rPr>
      </w:pPr>
      <w:r>
        <w:rPr>
          <w:rFonts w:ascii="Arial" w:hAnsi="Arial" w:cs="Arial"/>
          <w:bCs/>
          <w:sz w:val="20"/>
          <w:szCs w:val="20"/>
        </w:rPr>
        <w:t>R2-2313299</w:t>
      </w:r>
      <w:r>
        <w:rPr>
          <w:rFonts w:ascii="Arial" w:hAnsi="Arial" w:cs="Arial"/>
          <w:bCs/>
          <w:sz w:val="20"/>
          <w:szCs w:val="20"/>
        </w:rPr>
        <w:tab/>
      </w:r>
      <w:r>
        <w:rPr>
          <w:rFonts w:ascii="Arial" w:hAnsi="Arial" w:cs="Arial"/>
          <w:bCs/>
          <w:sz w:val="20"/>
          <w:szCs w:val="20"/>
        </w:rPr>
        <w:t>R18 IoT NTN GNSS operation enhancements</w:t>
      </w:r>
      <w:r>
        <w:rPr>
          <w:rFonts w:ascii="Arial" w:hAnsi="Arial" w:cs="Arial"/>
          <w:bCs/>
          <w:sz w:val="20"/>
          <w:szCs w:val="20"/>
        </w:rPr>
        <w:tab/>
      </w:r>
      <w:r>
        <w:rPr>
          <w:rFonts w:ascii="Arial" w:hAnsi="Arial" w:cs="Arial"/>
          <w:bCs/>
          <w:sz w:val="20"/>
          <w:szCs w:val="20"/>
        </w:rPr>
        <w:t>Ericsson</w:t>
      </w:r>
    </w:p>
    <w:p>
      <w:pPr>
        <w:pStyle w:val="132"/>
        <w:tabs>
          <w:tab w:val="left" w:pos="567"/>
        </w:tabs>
        <w:snapToGrid w:val="0"/>
        <w:ind w:left="36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7.6.3.1</w:t>
      </w:r>
    </w:p>
    <w:p>
      <w:pPr>
        <w:pStyle w:val="132"/>
        <w:numPr>
          <w:ilvl w:val="0"/>
          <w:numId w:val="56"/>
        </w:numPr>
        <w:ind w:leftChars="0"/>
        <w:rPr>
          <w:rFonts w:ascii="Arial" w:hAnsi="Arial" w:cs="Arial"/>
          <w:bCs/>
          <w:sz w:val="20"/>
          <w:szCs w:val="20"/>
        </w:rPr>
      </w:pPr>
      <w:r>
        <w:rPr>
          <w:rFonts w:ascii="Arial" w:hAnsi="Arial" w:cs="Arial"/>
          <w:bCs/>
          <w:sz w:val="20"/>
          <w:szCs w:val="20"/>
        </w:rPr>
        <w:t>R2-2311959</w:t>
      </w:r>
      <w:r>
        <w:rPr>
          <w:rFonts w:ascii="Arial" w:hAnsi="Arial" w:cs="Arial"/>
          <w:bCs/>
          <w:sz w:val="20"/>
          <w:szCs w:val="20"/>
        </w:rPr>
        <w:tab/>
      </w:r>
      <w:r>
        <w:rPr>
          <w:rFonts w:ascii="Arial" w:hAnsi="Arial" w:cs="Arial"/>
          <w:bCs/>
          <w:sz w:val="20"/>
          <w:szCs w:val="20"/>
        </w:rPr>
        <w:t>Discussion on mobility enhancement for IoT NTN</w:t>
      </w:r>
      <w:r>
        <w:rPr>
          <w:rFonts w:ascii="Arial" w:hAnsi="Arial" w:cs="Arial"/>
          <w:bCs/>
          <w:sz w:val="20"/>
          <w:szCs w:val="20"/>
        </w:rPr>
        <w:tab/>
      </w:r>
      <w:r>
        <w:rPr>
          <w:rFonts w:ascii="Arial" w:hAnsi="Arial" w:cs="Arial"/>
          <w:bCs/>
          <w:sz w:val="20"/>
          <w:szCs w:val="20"/>
        </w:rPr>
        <w:t>OPPO</w:t>
      </w:r>
    </w:p>
    <w:p>
      <w:pPr>
        <w:pStyle w:val="132"/>
        <w:numPr>
          <w:ilvl w:val="0"/>
          <w:numId w:val="56"/>
        </w:numPr>
        <w:ind w:leftChars="0"/>
        <w:rPr>
          <w:rFonts w:ascii="Arial" w:hAnsi="Arial" w:cs="Arial"/>
          <w:bCs/>
          <w:sz w:val="20"/>
          <w:szCs w:val="20"/>
        </w:rPr>
      </w:pPr>
      <w:r>
        <w:rPr>
          <w:rFonts w:ascii="Arial" w:hAnsi="Arial" w:cs="Arial"/>
          <w:bCs/>
          <w:sz w:val="20"/>
          <w:szCs w:val="20"/>
        </w:rPr>
        <w:t>R2-2312055</w:t>
      </w:r>
      <w:r>
        <w:rPr>
          <w:rFonts w:ascii="Arial" w:hAnsi="Arial" w:cs="Arial"/>
          <w:bCs/>
          <w:sz w:val="20"/>
          <w:szCs w:val="20"/>
        </w:rPr>
        <w:tab/>
      </w:r>
      <w:r>
        <w:rPr>
          <w:rFonts w:ascii="Arial" w:hAnsi="Arial" w:cs="Arial"/>
          <w:bCs/>
          <w:sz w:val="20"/>
          <w:szCs w:val="20"/>
        </w:rPr>
        <w:t>Discussion on leftover issues of mobility enhancements</w:t>
      </w:r>
      <w:r>
        <w:rPr>
          <w:rFonts w:ascii="Arial" w:hAnsi="Arial" w:cs="Arial"/>
          <w:bCs/>
          <w:sz w:val="20"/>
          <w:szCs w:val="20"/>
        </w:rPr>
        <w:tab/>
      </w:r>
      <w:r>
        <w:rPr>
          <w:rFonts w:ascii="Arial" w:hAnsi="Arial" w:cs="Arial"/>
          <w:bCs/>
          <w:sz w:val="20"/>
          <w:szCs w:val="20"/>
        </w:rPr>
        <w:t>CATT</w:t>
      </w:r>
    </w:p>
    <w:p>
      <w:pPr>
        <w:pStyle w:val="132"/>
        <w:numPr>
          <w:ilvl w:val="0"/>
          <w:numId w:val="56"/>
        </w:numPr>
        <w:ind w:leftChars="0"/>
        <w:rPr>
          <w:rFonts w:ascii="Arial" w:hAnsi="Arial" w:cs="Arial"/>
          <w:bCs/>
          <w:sz w:val="20"/>
          <w:szCs w:val="20"/>
        </w:rPr>
      </w:pPr>
      <w:r>
        <w:rPr>
          <w:rFonts w:ascii="Arial" w:hAnsi="Arial" w:cs="Arial"/>
          <w:bCs/>
          <w:sz w:val="20"/>
          <w:szCs w:val="20"/>
        </w:rPr>
        <w:t>R2-2312247</w:t>
      </w:r>
      <w:r>
        <w:rPr>
          <w:rFonts w:ascii="Arial" w:hAnsi="Arial" w:cs="Arial"/>
          <w:bCs/>
          <w:sz w:val="20"/>
          <w:szCs w:val="20"/>
        </w:rPr>
        <w:tab/>
      </w:r>
      <w:r>
        <w:rPr>
          <w:rFonts w:ascii="Arial" w:hAnsi="Arial" w:cs="Arial"/>
          <w:bCs/>
          <w:sz w:val="20"/>
          <w:szCs w:val="20"/>
        </w:rPr>
        <w:t>Remaining issues of mobility enhancements</w:t>
      </w:r>
      <w:r>
        <w:rPr>
          <w:rFonts w:ascii="Arial" w:hAnsi="Arial" w:cs="Arial"/>
          <w:bCs/>
          <w:sz w:val="20"/>
          <w:szCs w:val="20"/>
        </w:rPr>
        <w:tab/>
      </w:r>
      <w:r>
        <w:rPr>
          <w:rFonts w:ascii="Arial" w:hAnsi="Arial" w:cs="Arial"/>
          <w:bCs/>
          <w:sz w:val="20"/>
          <w:szCs w:val="20"/>
        </w:rPr>
        <w:t>ZTE Corporation, Sanechips</w:t>
      </w:r>
    </w:p>
    <w:p>
      <w:pPr>
        <w:pStyle w:val="132"/>
        <w:numPr>
          <w:ilvl w:val="0"/>
          <w:numId w:val="56"/>
        </w:numPr>
        <w:ind w:leftChars="0"/>
        <w:rPr>
          <w:rFonts w:ascii="Arial" w:hAnsi="Arial" w:cs="Arial"/>
          <w:bCs/>
          <w:sz w:val="20"/>
          <w:szCs w:val="20"/>
        </w:rPr>
      </w:pPr>
      <w:r>
        <w:rPr>
          <w:rFonts w:ascii="Arial" w:hAnsi="Arial" w:cs="Arial"/>
          <w:bCs/>
          <w:sz w:val="20"/>
          <w:szCs w:val="20"/>
        </w:rPr>
        <w:t>R2-2312285</w:t>
      </w:r>
      <w:r>
        <w:rPr>
          <w:rFonts w:ascii="Arial" w:hAnsi="Arial" w:cs="Arial"/>
          <w:bCs/>
          <w:sz w:val="20"/>
          <w:szCs w:val="20"/>
        </w:rPr>
        <w:tab/>
      </w:r>
      <w:r>
        <w:rPr>
          <w:rFonts w:ascii="Arial" w:hAnsi="Arial" w:cs="Arial"/>
          <w:bCs/>
          <w:sz w:val="20"/>
          <w:szCs w:val="20"/>
        </w:rPr>
        <w:t>Open issues on measurement and Mobility enhancements</w:t>
      </w:r>
      <w:r>
        <w:rPr>
          <w:rFonts w:ascii="Arial" w:hAnsi="Arial" w:cs="Arial"/>
          <w:bCs/>
          <w:sz w:val="20"/>
          <w:szCs w:val="20"/>
        </w:rPr>
        <w:tab/>
      </w:r>
      <w:r>
        <w:rPr>
          <w:rFonts w:ascii="Arial" w:hAnsi="Arial" w:cs="Arial"/>
          <w:bCs/>
          <w:sz w:val="20"/>
          <w:szCs w:val="20"/>
        </w:rPr>
        <w:t>Qualcomm Incorporated</w:t>
      </w:r>
    </w:p>
    <w:p>
      <w:pPr>
        <w:pStyle w:val="132"/>
        <w:numPr>
          <w:ilvl w:val="0"/>
          <w:numId w:val="56"/>
        </w:numPr>
        <w:ind w:leftChars="0"/>
        <w:rPr>
          <w:rFonts w:ascii="Arial" w:hAnsi="Arial" w:cs="Arial"/>
          <w:bCs/>
          <w:sz w:val="20"/>
          <w:szCs w:val="20"/>
        </w:rPr>
      </w:pPr>
      <w:r>
        <w:rPr>
          <w:rFonts w:ascii="Arial" w:hAnsi="Arial" w:cs="Arial"/>
          <w:bCs/>
          <w:sz w:val="20"/>
          <w:szCs w:val="20"/>
        </w:rPr>
        <w:t>R2-2312355</w:t>
      </w:r>
      <w:r>
        <w:rPr>
          <w:rFonts w:ascii="Arial" w:hAnsi="Arial" w:cs="Arial"/>
          <w:bCs/>
          <w:sz w:val="20"/>
          <w:szCs w:val="20"/>
        </w:rPr>
        <w:tab/>
      </w:r>
      <w:r>
        <w:rPr>
          <w:rFonts w:ascii="Arial" w:hAnsi="Arial" w:cs="Arial"/>
          <w:bCs/>
          <w:sz w:val="20"/>
          <w:szCs w:val="20"/>
        </w:rPr>
        <w:t>Neighbour cell measurements before RLF for eMTC-NTN</w:t>
      </w:r>
      <w:r>
        <w:rPr>
          <w:rFonts w:ascii="Arial" w:hAnsi="Arial" w:cs="Arial"/>
          <w:bCs/>
          <w:sz w:val="20"/>
          <w:szCs w:val="20"/>
        </w:rPr>
        <w:tab/>
      </w:r>
      <w:r>
        <w:rPr>
          <w:rFonts w:ascii="Arial" w:hAnsi="Arial" w:cs="Arial"/>
          <w:bCs/>
          <w:sz w:val="20"/>
          <w:szCs w:val="20"/>
        </w:rPr>
        <w:t>Apple</w:t>
      </w:r>
    </w:p>
    <w:p>
      <w:pPr>
        <w:pStyle w:val="132"/>
        <w:numPr>
          <w:ilvl w:val="0"/>
          <w:numId w:val="56"/>
        </w:numPr>
        <w:ind w:leftChars="0"/>
        <w:rPr>
          <w:rFonts w:ascii="Arial" w:hAnsi="Arial" w:cs="Arial"/>
          <w:bCs/>
          <w:sz w:val="20"/>
          <w:szCs w:val="20"/>
        </w:rPr>
      </w:pPr>
      <w:r>
        <w:rPr>
          <w:rFonts w:ascii="Arial" w:hAnsi="Arial" w:cs="Arial"/>
          <w:bCs/>
          <w:sz w:val="20"/>
          <w:szCs w:val="20"/>
        </w:rPr>
        <w:t>R2-2312764</w:t>
      </w:r>
      <w:r>
        <w:rPr>
          <w:rFonts w:ascii="Arial" w:hAnsi="Arial" w:cs="Arial"/>
          <w:bCs/>
          <w:sz w:val="20"/>
          <w:szCs w:val="20"/>
        </w:rPr>
        <w:tab/>
      </w:r>
      <w:r>
        <w:rPr>
          <w:rFonts w:ascii="Arial" w:hAnsi="Arial" w:cs="Arial"/>
          <w:bCs/>
          <w:sz w:val="20"/>
          <w:szCs w:val="20"/>
        </w:rPr>
        <w:t>Discussion on the remaining issues for the mobility enhancements</w:t>
      </w:r>
      <w:r>
        <w:rPr>
          <w:rFonts w:ascii="Arial" w:hAnsi="Arial" w:cs="Arial"/>
          <w:bCs/>
          <w:sz w:val="20"/>
          <w:szCs w:val="20"/>
        </w:rPr>
        <w:tab/>
      </w:r>
      <w:r>
        <w:rPr>
          <w:rFonts w:ascii="Arial" w:hAnsi="Arial" w:cs="Arial"/>
          <w:bCs/>
          <w:sz w:val="20"/>
          <w:szCs w:val="20"/>
        </w:rPr>
        <w:t>Xiaomi</w:t>
      </w:r>
    </w:p>
    <w:p>
      <w:pPr>
        <w:pStyle w:val="132"/>
        <w:numPr>
          <w:ilvl w:val="0"/>
          <w:numId w:val="56"/>
        </w:numPr>
        <w:ind w:leftChars="0"/>
        <w:rPr>
          <w:rFonts w:ascii="Arial" w:hAnsi="Arial" w:cs="Arial"/>
          <w:bCs/>
          <w:sz w:val="20"/>
          <w:szCs w:val="20"/>
        </w:rPr>
      </w:pPr>
      <w:r>
        <w:rPr>
          <w:rFonts w:ascii="Arial" w:hAnsi="Arial" w:cs="Arial"/>
          <w:bCs/>
          <w:sz w:val="20"/>
          <w:szCs w:val="20"/>
        </w:rPr>
        <w:t>R2-2312860</w:t>
      </w:r>
      <w:r>
        <w:rPr>
          <w:rFonts w:ascii="Arial" w:hAnsi="Arial" w:cs="Arial"/>
          <w:bCs/>
          <w:sz w:val="20"/>
          <w:szCs w:val="20"/>
        </w:rPr>
        <w:tab/>
      </w:r>
      <w:r>
        <w:rPr>
          <w:rFonts w:ascii="Arial" w:hAnsi="Arial" w:cs="Arial"/>
          <w:bCs/>
          <w:sz w:val="20"/>
          <w:szCs w:val="20"/>
        </w:rPr>
        <w:t>Further analysis on open issues for IoT-NTN Mobility Enhancements</w:t>
      </w:r>
      <w:r>
        <w:rPr>
          <w:rFonts w:ascii="Arial" w:hAnsi="Arial" w:cs="Arial"/>
          <w:bCs/>
          <w:sz w:val="20"/>
          <w:szCs w:val="20"/>
        </w:rPr>
        <w:tab/>
      </w:r>
      <w:r>
        <w:rPr>
          <w:rFonts w:ascii="Arial" w:hAnsi="Arial" w:cs="Arial"/>
          <w:bCs/>
          <w:sz w:val="20"/>
          <w:szCs w:val="20"/>
        </w:rPr>
        <w:t>Nokia, Nokia Shanghai Bell</w:t>
      </w:r>
    </w:p>
    <w:p>
      <w:pPr>
        <w:pStyle w:val="132"/>
        <w:numPr>
          <w:ilvl w:val="0"/>
          <w:numId w:val="56"/>
        </w:numPr>
        <w:ind w:leftChars="0"/>
        <w:rPr>
          <w:rFonts w:ascii="Arial" w:hAnsi="Arial" w:cs="Arial"/>
          <w:bCs/>
          <w:sz w:val="20"/>
          <w:szCs w:val="20"/>
        </w:rPr>
      </w:pPr>
      <w:r>
        <w:rPr>
          <w:rFonts w:ascii="Arial" w:hAnsi="Arial" w:cs="Arial"/>
          <w:bCs/>
          <w:sz w:val="20"/>
          <w:szCs w:val="20"/>
        </w:rPr>
        <w:t>R2-2312880</w:t>
      </w:r>
      <w:r>
        <w:rPr>
          <w:rFonts w:ascii="Arial" w:hAnsi="Arial" w:cs="Arial"/>
          <w:bCs/>
          <w:sz w:val="20"/>
          <w:szCs w:val="20"/>
        </w:rPr>
        <w:tab/>
      </w:r>
      <w:r>
        <w:rPr>
          <w:rFonts w:ascii="Arial" w:hAnsi="Arial" w:cs="Arial"/>
          <w:bCs/>
          <w:sz w:val="20"/>
          <w:szCs w:val="20"/>
        </w:rPr>
        <w:t>Fast RLF and re-establishment in the discontinuous coverage scenario</w:t>
      </w:r>
      <w:r>
        <w:rPr>
          <w:rFonts w:ascii="Arial" w:hAnsi="Arial" w:cs="Arial"/>
          <w:bCs/>
          <w:sz w:val="20"/>
          <w:szCs w:val="20"/>
        </w:rPr>
        <w:tab/>
      </w:r>
      <w:r>
        <w:rPr>
          <w:rFonts w:ascii="Arial" w:hAnsi="Arial" w:cs="Arial"/>
          <w:bCs/>
          <w:sz w:val="20"/>
          <w:szCs w:val="20"/>
        </w:rPr>
        <w:t>Interdigital, Inc.</w:t>
      </w:r>
    </w:p>
    <w:p>
      <w:pPr>
        <w:pStyle w:val="132"/>
        <w:numPr>
          <w:ilvl w:val="0"/>
          <w:numId w:val="56"/>
        </w:numPr>
        <w:ind w:leftChars="0"/>
        <w:rPr>
          <w:rFonts w:ascii="Arial" w:hAnsi="Arial" w:cs="Arial"/>
          <w:bCs/>
          <w:sz w:val="20"/>
          <w:szCs w:val="20"/>
        </w:rPr>
      </w:pPr>
      <w:r>
        <w:rPr>
          <w:rFonts w:ascii="Arial" w:hAnsi="Arial" w:cs="Arial"/>
          <w:bCs/>
          <w:sz w:val="20"/>
          <w:szCs w:val="20"/>
        </w:rPr>
        <w:t>R2-2313011</w:t>
      </w:r>
      <w:r>
        <w:rPr>
          <w:rFonts w:ascii="Arial" w:hAnsi="Arial" w:cs="Arial"/>
          <w:bCs/>
          <w:sz w:val="20"/>
          <w:szCs w:val="20"/>
        </w:rPr>
        <w:tab/>
      </w:r>
      <w:r>
        <w:rPr>
          <w:rFonts w:ascii="Arial" w:hAnsi="Arial" w:cs="Arial"/>
          <w:bCs/>
          <w:sz w:val="20"/>
          <w:szCs w:val="20"/>
        </w:rPr>
        <w:t>Enhancements for neighbour cell measurements</w:t>
      </w:r>
      <w:r>
        <w:rPr>
          <w:rFonts w:ascii="Arial" w:hAnsi="Arial" w:cs="Arial"/>
          <w:bCs/>
          <w:sz w:val="20"/>
          <w:szCs w:val="20"/>
        </w:rPr>
        <w:tab/>
      </w:r>
      <w:r>
        <w:rPr>
          <w:rFonts w:ascii="Arial" w:hAnsi="Arial" w:cs="Arial"/>
          <w:bCs/>
          <w:sz w:val="20"/>
          <w:szCs w:val="20"/>
        </w:rPr>
        <w:t>Samsung R&amp;D Institute UK</w:t>
      </w:r>
    </w:p>
    <w:p>
      <w:pPr>
        <w:pStyle w:val="132"/>
        <w:numPr>
          <w:ilvl w:val="0"/>
          <w:numId w:val="56"/>
        </w:numPr>
        <w:ind w:leftChars="0"/>
        <w:rPr>
          <w:rFonts w:ascii="Arial" w:hAnsi="Arial" w:cs="Arial"/>
          <w:bCs/>
          <w:sz w:val="20"/>
          <w:szCs w:val="20"/>
        </w:rPr>
      </w:pPr>
      <w:r>
        <w:rPr>
          <w:rFonts w:ascii="Arial" w:hAnsi="Arial" w:cs="Arial"/>
          <w:bCs/>
          <w:sz w:val="20"/>
          <w:szCs w:val="20"/>
        </w:rPr>
        <w:t>R2-2313078</w:t>
      </w:r>
      <w:r>
        <w:rPr>
          <w:rFonts w:ascii="Arial" w:hAnsi="Arial" w:cs="Arial"/>
          <w:bCs/>
          <w:sz w:val="20"/>
          <w:szCs w:val="20"/>
        </w:rPr>
        <w:tab/>
      </w:r>
      <w:r>
        <w:rPr>
          <w:rFonts w:ascii="Arial" w:hAnsi="Arial" w:cs="Arial"/>
          <w:bCs/>
          <w:sz w:val="20"/>
          <w:szCs w:val="20"/>
        </w:rPr>
        <w:t>Remaining issues on mobility enhancements</w:t>
      </w:r>
      <w:r>
        <w:rPr>
          <w:rFonts w:ascii="Arial" w:hAnsi="Arial" w:cs="Arial"/>
          <w:bCs/>
          <w:sz w:val="20"/>
          <w:szCs w:val="20"/>
        </w:rPr>
        <w:tab/>
      </w:r>
      <w:r>
        <w:rPr>
          <w:rFonts w:ascii="Arial" w:hAnsi="Arial" w:cs="Arial"/>
          <w:bCs/>
          <w:sz w:val="20"/>
          <w:szCs w:val="20"/>
        </w:rPr>
        <w:t>Huawei, HiSilicon, Turkcell</w:t>
      </w:r>
    </w:p>
    <w:p>
      <w:pPr>
        <w:pStyle w:val="132"/>
        <w:numPr>
          <w:ilvl w:val="0"/>
          <w:numId w:val="56"/>
        </w:numPr>
        <w:ind w:leftChars="0"/>
        <w:rPr>
          <w:rFonts w:ascii="Arial" w:hAnsi="Arial" w:cs="Arial"/>
          <w:bCs/>
          <w:sz w:val="20"/>
          <w:szCs w:val="20"/>
        </w:rPr>
      </w:pPr>
      <w:r>
        <w:rPr>
          <w:rFonts w:ascii="Arial" w:hAnsi="Arial" w:cs="Arial"/>
          <w:bCs/>
          <w:sz w:val="20"/>
          <w:szCs w:val="20"/>
        </w:rPr>
        <w:t>R2-2313228</w:t>
      </w:r>
      <w:r>
        <w:rPr>
          <w:rFonts w:ascii="Arial" w:hAnsi="Arial" w:cs="Arial"/>
          <w:bCs/>
          <w:sz w:val="20"/>
          <w:szCs w:val="20"/>
        </w:rPr>
        <w:tab/>
      </w:r>
      <w:r>
        <w:rPr>
          <w:rFonts w:ascii="Arial" w:hAnsi="Arial" w:cs="Arial"/>
          <w:bCs/>
          <w:sz w:val="20"/>
          <w:szCs w:val="20"/>
        </w:rPr>
        <w:t>Neighbour cell measurements in IoT NTN</w:t>
      </w:r>
      <w:r>
        <w:rPr>
          <w:rFonts w:ascii="Arial" w:hAnsi="Arial" w:cs="Arial"/>
          <w:bCs/>
          <w:sz w:val="20"/>
          <w:szCs w:val="20"/>
        </w:rPr>
        <w:tab/>
      </w:r>
      <w:r>
        <w:rPr>
          <w:rFonts w:ascii="Arial" w:hAnsi="Arial" w:cs="Arial"/>
          <w:bCs/>
          <w:sz w:val="20"/>
          <w:szCs w:val="20"/>
        </w:rPr>
        <w:t>Ericsson</w:t>
      </w:r>
    </w:p>
    <w:p>
      <w:pPr>
        <w:pStyle w:val="132"/>
        <w:numPr>
          <w:ilvl w:val="0"/>
          <w:numId w:val="56"/>
        </w:numPr>
        <w:ind w:leftChars="0"/>
        <w:rPr>
          <w:rFonts w:ascii="Arial" w:hAnsi="Arial" w:cs="Arial"/>
          <w:bCs/>
          <w:sz w:val="20"/>
          <w:szCs w:val="20"/>
        </w:rPr>
      </w:pPr>
      <w:r>
        <w:rPr>
          <w:rFonts w:ascii="Arial" w:hAnsi="Arial" w:cs="Arial"/>
          <w:bCs/>
          <w:sz w:val="20"/>
          <w:szCs w:val="20"/>
        </w:rPr>
        <w:t>R2-2313229</w:t>
      </w:r>
      <w:r>
        <w:rPr>
          <w:rFonts w:ascii="Arial" w:hAnsi="Arial" w:cs="Arial"/>
          <w:bCs/>
          <w:sz w:val="20"/>
          <w:szCs w:val="20"/>
        </w:rPr>
        <w:tab/>
      </w:r>
      <w:r>
        <w:rPr>
          <w:rFonts w:ascii="Arial" w:hAnsi="Arial" w:cs="Arial"/>
          <w:bCs/>
          <w:sz w:val="20"/>
          <w:szCs w:val="20"/>
        </w:rPr>
        <w:t>Discussion on triggering RA for RRC connection re-establishment in IoT NTN</w:t>
      </w:r>
      <w:r>
        <w:rPr>
          <w:rFonts w:ascii="Arial" w:hAnsi="Arial" w:cs="Arial"/>
          <w:bCs/>
          <w:sz w:val="20"/>
          <w:szCs w:val="20"/>
        </w:rPr>
        <w:tab/>
      </w:r>
      <w:r>
        <w:rPr>
          <w:rFonts w:ascii="Arial" w:hAnsi="Arial" w:cs="Arial"/>
          <w:bCs/>
          <w:sz w:val="20"/>
          <w:szCs w:val="20"/>
        </w:rPr>
        <w:t>Ericsson</w:t>
      </w:r>
    </w:p>
    <w:p>
      <w:pPr>
        <w:pStyle w:val="132"/>
        <w:ind w:left="48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7.6.3.2</w:t>
      </w:r>
    </w:p>
    <w:p>
      <w:pPr>
        <w:pStyle w:val="132"/>
        <w:numPr>
          <w:ilvl w:val="0"/>
          <w:numId w:val="56"/>
        </w:numPr>
        <w:ind w:leftChars="0"/>
        <w:rPr>
          <w:rFonts w:ascii="Arial" w:hAnsi="Arial" w:cs="Arial"/>
          <w:bCs/>
          <w:sz w:val="20"/>
          <w:szCs w:val="20"/>
        </w:rPr>
      </w:pPr>
      <w:r>
        <w:rPr>
          <w:rFonts w:ascii="Arial" w:hAnsi="Arial" w:cs="Arial"/>
          <w:bCs/>
          <w:sz w:val="20"/>
          <w:szCs w:val="20"/>
        </w:rPr>
        <w:t>R2-2311840</w:t>
      </w:r>
      <w:r>
        <w:rPr>
          <w:rFonts w:ascii="Arial" w:hAnsi="Arial" w:cs="Arial"/>
          <w:bCs/>
          <w:sz w:val="20"/>
          <w:szCs w:val="20"/>
        </w:rPr>
        <w:tab/>
      </w:r>
      <w:r>
        <w:rPr>
          <w:rFonts w:ascii="Arial" w:hAnsi="Arial" w:cs="Arial"/>
          <w:bCs/>
          <w:sz w:val="20"/>
          <w:szCs w:val="20"/>
        </w:rPr>
        <w:t>Discussion on CHO Enhancement for IoT NTN</w:t>
      </w:r>
      <w:r>
        <w:rPr>
          <w:rFonts w:ascii="Arial" w:hAnsi="Arial" w:cs="Arial"/>
          <w:bCs/>
          <w:sz w:val="20"/>
          <w:szCs w:val="20"/>
        </w:rPr>
        <w:tab/>
      </w:r>
      <w:r>
        <w:rPr>
          <w:rFonts w:ascii="Arial" w:hAnsi="Arial" w:cs="Arial"/>
          <w:bCs/>
          <w:sz w:val="20"/>
          <w:szCs w:val="20"/>
        </w:rPr>
        <w:t>vivo</w:t>
      </w:r>
    </w:p>
    <w:p>
      <w:pPr>
        <w:pStyle w:val="132"/>
        <w:numPr>
          <w:ilvl w:val="0"/>
          <w:numId w:val="56"/>
        </w:numPr>
        <w:ind w:leftChars="0"/>
        <w:rPr>
          <w:rFonts w:ascii="Arial" w:hAnsi="Arial" w:cs="Arial"/>
          <w:bCs/>
          <w:sz w:val="20"/>
          <w:szCs w:val="20"/>
        </w:rPr>
      </w:pPr>
      <w:r>
        <w:rPr>
          <w:rFonts w:ascii="Arial" w:hAnsi="Arial" w:cs="Arial"/>
          <w:bCs/>
          <w:sz w:val="20"/>
          <w:szCs w:val="20"/>
        </w:rPr>
        <w:t>R2-2312354</w:t>
      </w:r>
      <w:r>
        <w:rPr>
          <w:rFonts w:ascii="Arial" w:hAnsi="Arial" w:cs="Arial"/>
          <w:bCs/>
          <w:sz w:val="20"/>
          <w:szCs w:val="20"/>
        </w:rPr>
        <w:tab/>
      </w:r>
      <w:r>
        <w:rPr>
          <w:rFonts w:ascii="Arial" w:hAnsi="Arial" w:cs="Arial"/>
          <w:bCs/>
          <w:sz w:val="20"/>
          <w:szCs w:val="20"/>
        </w:rPr>
        <w:t>Leftover issues for mobility enhancement in IoT NTN</w:t>
      </w:r>
      <w:r>
        <w:rPr>
          <w:rFonts w:ascii="Arial" w:hAnsi="Arial" w:cs="Arial"/>
          <w:bCs/>
          <w:sz w:val="20"/>
          <w:szCs w:val="20"/>
        </w:rPr>
        <w:tab/>
      </w:r>
      <w:r>
        <w:rPr>
          <w:rFonts w:ascii="Arial" w:hAnsi="Arial" w:cs="Arial"/>
          <w:bCs/>
          <w:sz w:val="20"/>
          <w:szCs w:val="20"/>
        </w:rPr>
        <w:t>Apple</w:t>
      </w:r>
    </w:p>
    <w:p>
      <w:pPr>
        <w:pStyle w:val="132"/>
        <w:numPr>
          <w:ilvl w:val="0"/>
          <w:numId w:val="56"/>
        </w:numPr>
        <w:ind w:leftChars="0"/>
        <w:rPr>
          <w:rFonts w:ascii="Arial" w:hAnsi="Arial" w:cs="Arial"/>
          <w:bCs/>
          <w:sz w:val="20"/>
          <w:szCs w:val="20"/>
        </w:rPr>
      </w:pPr>
      <w:r>
        <w:rPr>
          <w:rFonts w:ascii="Arial" w:hAnsi="Arial" w:cs="Arial"/>
          <w:bCs/>
          <w:sz w:val="20"/>
          <w:szCs w:val="20"/>
        </w:rPr>
        <w:t>R2-2312459</w:t>
      </w:r>
      <w:r>
        <w:rPr>
          <w:rFonts w:ascii="Arial" w:hAnsi="Arial" w:cs="Arial"/>
          <w:bCs/>
          <w:sz w:val="20"/>
          <w:szCs w:val="20"/>
        </w:rPr>
        <w:tab/>
      </w:r>
      <w:r>
        <w:rPr>
          <w:rFonts w:ascii="Arial" w:hAnsi="Arial" w:cs="Arial"/>
          <w:bCs/>
          <w:sz w:val="20"/>
          <w:szCs w:val="20"/>
        </w:rPr>
        <w:t>Views on providing NB-IoT UE location information</w:t>
      </w:r>
      <w:r>
        <w:rPr>
          <w:rFonts w:ascii="Arial" w:hAnsi="Arial" w:cs="Arial"/>
          <w:bCs/>
          <w:sz w:val="20"/>
          <w:szCs w:val="20"/>
        </w:rPr>
        <w:tab/>
      </w:r>
      <w:r>
        <w:rPr>
          <w:rFonts w:ascii="Arial" w:hAnsi="Arial" w:cs="Arial"/>
          <w:bCs/>
          <w:sz w:val="20"/>
          <w:szCs w:val="20"/>
        </w:rPr>
        <w:t>Lenovo</w:t>
      </w:r>
    </w:p>
    <w:p>
      <w:pPr>
        <w:pStyle w:val="132"/>
        <w:numPr>
          <w:ilvl w:val="0"/>
          <w:numId w:val="56"/>
        </w:numPr>
        <w:ind w:leftChars="0"/>
        <w:rPr>
          <w:rFonts w:ascii="Arial" w:hAnsi="Arial" w:cs="Arial"/>
          <w:bCs/>
          <w:sz w:val="20"/>
          <w:szCs w:val="20"/>
        </w:rPr>
      </w:pPr>
      <w:r>
        <w:rPr>
          <w:rFonts w:ascii="Arial" w:hAnsi="Arial" w:cs="Arial"/>
          <w:bCs/>
          <w:sz w:val="20"/>
          <w:szCs w:val="20"/>
        </w:rPr>
        <w:t>R2-2312878</w:t>
      </w:r>
      <w:r>
        <w:rPr>
          <w:rFonts w:ascii="Arial" w:hAnsi="Arial" w:cs="Arial"/>
          <w:bCs/>
          <w:sz w:val="20"/>
          <w:szCs w:val="20"/>
        </w:rPr>
        <w:tab/>
      </w:r>
      <w:r>
        <w:rPr>
          <w:rFonts w:ascii="Arial" w:hAnsi="Arial" w:cs="Arial"/>
          <w:bCs/>
          <w:sz w:val="20"/>
          <w:szCs w:val="20"/>
        </w:rPr>
        <w:t>CHO enhancement for earth-moving cells</w:t>
      </w:r>
      <w:r>
        <w:rPr>
          <w:rFonts w:ascii="Arial" w:hAnsi="Arial" w:cs="Arial"/>
          <w:bCs/>
          <w:sz w:val="20"/>
          <w:szCs w:val="20"/>
        </w:rPr>
        <w:tab/>
      </w:r>
      <w:r>
        <w:rPr>
          <w:rFonts w:ascii="Arial" w:hAnsi="Arial" w:cs="Arial"/>
          <w:bCs/>
          <w:sz w:val="20"/>
          <w:szCs w:val="20"/>
        </w:rPr>
        <w:t>Interdigital, Inc.</w:t>
      </w:r>
    </w:p>
    <w:p>
      <w:pPr>
        <w:pStyle w:val="132"/>
        <w:numPr>
          <w:ilvl w:val="0"/>
          <w:numId w:val="56"/>
        </w:numPr>
        <w:ind w:leftChars="0"/>
        <w:rPr>
          <w:rFonts w:ascii="Arial" w:hAnsi="Arial" w:cs="Arial"/>
          <w:bCs/>
          <w:sz w:val="20"/>
          <w:szCs w:val="20"/>
        </w:rPr>
      </w:pPr>
      <w:r>
        <w:rPr>
          <w:rFonts w:ascii="Arial" w:hAnsi="Arial" w:cs="Arial"/>
          <w:bCs/>
          <w:sz w:val="20"/>
          <w:szCs w:val="20"/>
        </w:rPr>
        <w:t>R2-2313012</w:t>
      </w:r>
      <w:r>
        <w:rPr>
          <w:rFonts w:ascii="Arial" w:hAnsi="Arial" w:cs="Arial"/>
          <w:bCs/>
          <w:sz w:val="20"/>
          <w:szCs w:val="20"/>
        </w:rPr>
        <w:tab/>
      </w:r>
      <w:r>
        <w:rPr>
          <w:rFonts w:ascii="Arial" w:hAnsi="Arial" w:cs="Arial"/>
          <w:bCs/>
          <w:sz w:val="20"/>
          <w:szCs w:val="20"/>
        </w:rPr>
        <w:t>On other mobility enhancements for IoT NTN</w:t>
      </w:r>
      <w:r>
        <w:rPr>
          <w:rFonts w:ascii="Arial" w:hAnsi="Arial" w:cs="Arial"/>
          <w:bCs/>
          <w:sz w:val="20"/>
          <w:szCs w:val="20"/>
        </w:rPr>
        <w:tab/>
      </w:r>
      <w:r>
        <w:rPr>
          <w:rFonts w:ascii="Arial" w:hAnsi="Arial" w:cs="Arial"/>
          <w:bCs/>
          <w:sz w:val="20"/>
          <w:szCs w:val="20"/>
        </w:rPr>
        <w:t>Samsung R&amp;D Institute UK</w:t>
      </w:r>
    </w:p>
    <w:p>
      <w:pPr>
        <w:pStyle w:val="132"/>
        <w:tabs>
          <w:tab w:val="left" w:pos="567"/>
        </w:tabs>
        <w:snapToGrid w:val="0"/>
        <w:ind w:left="360" w:leftChars="0"/>
        <w:rPr>
          <w:rFonts w:ascii="Arial" w:hAnsi="Arial" w:cs="Arial"/>
          <w:bCs/>
          <w:sz w:val="20"/>
          <w:szCs w:val="20"/>
        </w:rPr>
      </w:pPr>
    </w:p>
    <w:p>
      <w:pPr>
        <w:tabs>
          <w:tab w:val="left" w:pos="567"/>
        </w:tabs>
        <w:snapToGrid w:val="0"/>
        <w:rPr>
          <w:rFonts w:ascii="Arial" w:hAnsi="Arial" w:cs="Arial"/>
          <w:bCs/>
          <w:u w:val="single"/>
        </w:rPr>
      </w:pPr>
      <w:r>
        <w:rPr>
          <w:rFonts w:ascii="Arial" w:hAnsi="Arial" w:cs="Arial"/>
          <w:bCs/>
          <w:u w:val="single"/>
        </w:rPr>
        <w:t>Submitted TDocs to AI 7.6.4</w:t>
      </w:r>
    </w:p>
    <w:p>
      <w:pPr>
        <w:pStyle w:val="132"/>
        <w:numPr>
          <w:ilvl w:val="0"/>
          <w:numId w:val="56"/>
        </w:numPr>
        <w:ind w:leftChars="0"/>
        <w:rPr>
          <w:rFonts w:ascii="Arial" w:hAnsi="Arial" w:cs="Arial"/>
          <w:bCs/>
          <w:sz w:val="20"/>
          <w:szCs w:val="20"/>
        </w:rPr>
      </w:pPr>
      <w:r>
        <w:rPr>
          <w:rFonts w:ascii="Arial" w:hAnsi="Arial" w:cs="Arial"/>
          <w:bCs/>
          <w:sz w:val="20"/>
          <w:szCs w:val="20"/>
        </w:rPr>
        <w:t>R2-2311841</w:t>
      </w:r>
      <w:r>
        <w:rPr>
          <w:rFonts w:ascii="Arial" w:hAnsi="Arial" w:cs="Arial"/>
          <w:bCs/>
          <w:sz w:val="20"/>
          <w:szCs w:val="20"/>
        </w:rPr>
        <w:tab/>
      </w:r>
      <w:r>
        <w:rPr>
          <w:rFonts w:ascii="Arial" w:hAnsi="Arial" w:cs="Arial"/>
          <w:bCs/>
          <w:sz w:val="20"/>
          <w:szCs w:val="20"/>
        </w:rPr>
        <w:t>Discussion on Discontinuous Coverage</w:t>
      </w:r>
      <w:r>
        <w:rPr>
          <w:rFonts w:ascii="Arial" w:hAnsi="Arial" w:cs="Arial"/>
          <w:bCs/>
          <w:sz w:val="20"/>
          <w:szCs w:val="20"/>
        </w:rPr>
        <w:tab/>
      </w:r>
      <w:r>
        <w:rPr>
          <w:rFonts w:ascii="Arial" w:hAnsi="Arial" w:cs="Arial"/>
          <w:bCs/>
          <w:sz w:val="20"/>
          <w:szCs w:val="20"/>
        </w:rPr>
        <w:t>vivo</w:t>
      </w:r>
    </w:p>
    <w:p>
      <w:pPr>
        <w:pStyle w:val="132"/>
        <w:numPr>
          <w:ilvl w:val="0"/>
          <w:numId w:val="56"/>
        </w:numPr>
        <w:ind w:leftChars="0"/>
        <w:rPr>
          <w:rFonts w:ascii="Arial" w:hAnsi="Arial" w:cs="Arial"/>
          <w:bCs/>
          <w:sz w:val="20"/>
          <w:szCs w:val="20"/>
        </w:rPr>
      </w:pPr>
      <w:r>
        <w:rPr>
          <w:rFonts w:ascii="Arial" w:hAnsi="Arial" w:cs="Arial"/>
          <w:bCs/>
          <w:sz w:val="20"/>
          <w:szCs w:val="20"/>
        </w:rPr>
        <w:t>R2-2312048</w:t>
      </w:r>
      <w:r>
        <w:rPr>
          <w:rFonts w:ascii="Arial" w:hAnsi="Arial" w:cs="Arial"/>
          <w:bCs/>
          <w:sz w:val="20"/>
          <w:szCs w:val="20"/>
        </w:rPr>
        <w:tab/>
      </w:r>
      <w:r>
        <w:rPr>
          <w:rFonts w:ascii="Arial" w:hAnsi="Arial" w:cs="Arial"/>
          <w:bCs/>
          <w:sz w:val="20"/>
          <w:szCs w:val="20"/>
        </w:rPr>
        <w:t>Leftover issues on the discontinuous coverage</w:t>
      </w:r>
      <w:r>
        <w:rPr>
          <w:rFonts w:ascii="Arial" w:hAnsi="Arial" w:cs="Arial"/>
          <w:bCs/>
          <w:sz w:val="20"/>
          <w:szCs w:val="20"/>
        </w:rPr>
        <w:tab/>
      </w:r>
      <w:r>
        <w:rPr>
          <w:rFonts w:ascii="Arial" w:hAnsi="Arial" w:cs="Arial"/>
          <w:bCs/>
          <w:sz w:val="20"/>
          <w:szCs w:val="20"/>
        </w:rPr>
        <w:t>Google Inc.</w:t>
      </w:r>
    </w:p>
    <w:p>
      <w:pPr>
        <w:pStyle w:val="132"/>
        <w:numPr>
          <w:ilvl w:val="0"/>
          <w:numId w:val="56"/>
        </w:numPr>
        <w:ind w:leftChars="0"/>
        <w:rPr>
          <w:rFonts w:ascii="Arial" w:hAnsi="Arial" w:cs="Arial"/>
          <w:bCs/>
          <w:sz w:val="20"/>
          <w:szCs w:val="20"/>
        </w:rPr>
      </w:pPr>
      <w:r>
        <w:rPr>
          <w:rFonts w:ascii="Arial" w:hAnsi="Arial" w:cs="Arial"/>
          <w:bCs/>
          <w:sz w:val="20"/>
          <w:szCs w:val="20"/>
        </w:rPr>
        <w:t>R2-2312056</w:t>
      </w:r>
      <w:r>
        <w:rPr>
          <w:rFonts w:ascii="Arial" w:hAnsi="Arial" w:cs="Arial"/>
          <w:bCs/>
          <w:sz w:val="20"/>
          <w:szCs w:val="20"/>
        </w:rPr>
        <w:tab/>
      </w:r>
      <w:r>
        <w:rPr>
          <w:rFonts w:ascii="Arial" w:hAnsi="Arial" w:cs="Arial"/>
          <w:bCs/>
          <w:sz w:val="20"/>
          <w:szCs w:val="20"/>
        </w:rPr>
        <w:t>Discussion on open issues for discontinuous coverage</w:t>
      </w:r>
      <w:r>
        <w:rPr>
          <w:rFonts w:ascii="Arial" w:hAnsi="Arial" w:cs="Arial"/>
          <w:bCs/>
          <w:sz w:val="20"/>
          <w:szCs w:val="20"/>
        </w:rPr>
        <w:tab/>
      </w:r>
      <w:r>
        <w:rPr>
          <w:rFonts w:ascii="Arial" w:hAnsi="Arial" w:cs="Arial"/>
          <w:bCs/>
          <w:sz w:val="20"/>
          <w:szCs w:val="20"/>
        </w:rPr>
        <w:t>CATT</w:t>
      </w:r>
    </w:p>
    <w:p>
      <w:pPr>
        <w:pStyle w:val="132"/>
        <w:numPr>
          <w:ilvl w:val="0"/>
          <w:numId w:val="56"/>
        </w:numPr>
        <w:ind w:leftChars="0"/>
        <w:rPr>
          <w:rFonts w:ascii="Arial" w:hAnsi="Arial" w:cs="Arial"/>
          <w:bCs/>
          <w:sz w:val="20"/>
          <w:szCs w:val="20"/>
        </w:rPr>
      </w:pPr>
      <w:r>
        <w:rPr>
          <w:rFonts w:ascii="Arial" w:hAnsi="Arial" w:cs="Arial"/>
          <w:bCs/>
          <w:sz w:val="20"/>
          <w:szCs w:val="20"/>
        </w:rPr>
        <w:t>R2-2312199</w:t>
      </w:r>
      <w:r>
        <w:rPr>
          <w:rFonts w:ascii="Arial" w:hAnsi="Arial" w:cs="Arial"/>
          <w:bCs/>
          <w:sz w:val="20"/>
          <w:szCs w:val="20"/>
        </w:rPr>
        <w:tab/>
      </w:r>
      <w:r>
        <w:rPr>
          <w:rFonts w:ascii="Arial" w:hAnsi="Arial" w:cs="Arial"/>
          <w:bCs/>
          <w:sz w:val="20"/>
          <w:szCs w:val="20"/>
        </w:rPr>
        <w:t>Considerations on Supporting Discontinuous Coverage</w:t>
      </w:r>
      <w:r>
        <w:rPr>
          <w:rFonts w:ascii="Arial" w:hAnsi="Arial" w:cs="Arial"/>
          <w:bCs/>
          <w:sz w:val="20"/>
          <w:szCs w:val="20"/>
        </w:rPr>
        <w:tab/>
      </w:r>
      <w:r>
        <w:rPr>
          <w:rFonts w:ascii="Arial" w:hAnsi="Arial" w:cs="Arial"/>
          <w:bCs/>
          <w:sz w:val="20"/>
          <w:szCs w:val="20"/>
        </w:rPr>
        <w:t>NEC</w:t>
      </w:r>
    </w:p>
    <w:p>
      <w:pPr>
        <w:pStyle w:val="132"/>
        <w:numPr>
          <w:ilvl w:val="0"/>
          <w:numId w:val="56"/>
        </w:numPr>
        <w:ind w:leftChars="0"/>
        <w:rPr>
          <w:rFonts w:ascii="Arial" w:hAnsi="Arial" w:cs="Arial"/>
          <w:bCs/>
          <w:sz w:val="20"/>
          <w:szCs w:val="20"/>
        </w:rPr>
      </w:pPr>
      <w:r>
        <w:rPr>
          <w:rFonts w:ascii="Arial" w:hAnsi="Arial" w:cs="Arial"/>
          <w:bCs/>
          <w:sz w:val="20"/>
          <w:szCs w:val="20"/>
        </w:rPr>
        <w:t>R2-2312248</w:t>
      </w:r>
      <w:r>
        <w:rPr>
          <w:rFonts w:ascii="Arial" w:hAnsi="Arial" w:cs="Arial"/>
          <w:bCs/>
          <w:sz w:val="20"/>
          <w:szCs w:val="20"/>
        </w:rPr>
        <w:tab/>
      </w:r>
      <w:r>
        <w:rPr>
          <w:rFonts w:ascii="Arial" w:hAnsi="Arial" w:cs="Arial"/>
          <w:bCs/>
          <w:sz w:val="20"/>
          <w:szCs w:val="20"/>
        </w:rPr>
        <w:t>Paging window alignment in discontinuous coverage</w:t>
      </w:r>
      <w:r>
        <w:rPr>
          <w:rFonts w:ascii="Arial" w:hAnsi="Arial" w:cs="Arial"/>
          <w:bCs/>
          <w:sz w:val="20"/>
          <w:szCs w:val="20"/>
        </w:rPr>
        <w:tab/>
      </w:r>
      <w:r>
        <w:rPr>
          <w:rFonts w:ascii="Arial" w:hAnsi="Arial" w:cs="Arial"/>
          <w:bCs/>
          <w:sz w:val="20"/>
          <w:szCs w:val="20"/>
        </w:rPr>
        <w:t>ZTE Corporation, Sanechips</w:t>
      </w:r>
    </w:p>
    <w:p>
      <w:pPr>
        <w:pStyle w:val="132"/>
        <w:numPr>
          <w:ilvl w:val="0"/>
          <w:numId w:val="56"/>
        </w:numPr>
        <w:ind w:leftChars="0"/>
        <w:rPr>
          <w:rFonts w:ascii="Arial" w:hAnsi="Arial" w:cs="Arial"/>
          <w:bCs/>
          <w:sz w:val="20"/>
          <w:szCs w:val="20"/>
        </w:rPr>
      </w:pPr>
      <w:r>
        <w:rPr>
          <w:rFonts w:ascii="Arial" w:hAnsi="Arial" w:cs="Arial"/>
          <w:bCs/>
          <w:sz w:val="20"/>
          <w:szCs w:val="20"/>
        </w:rPr>
        <w:t>R2-2312284</w:t>
      </w:r>
      <w:r>
        <w:rPr>
          <w:rFonts w:ascii="Arial" w:hAnsi="Arial" w:cs="Arial"/>
          <w:bCs/>
          <w:sz w:val="20"/>
          <w:szCs w:val="20"/>
        </w:rPr>
        <w:tab/>
      </w:r>
      <w:r>
        <w:rPr>
          <w:rFonts w:ascii="Arial" w:hAnsi="Arial" w:cs="Arial"/>
          <w:bCs/>
          <w:sz w:val="20"/>
          <w:szCs w:val="20"/>
        </w:rPr>
        <w:t>UE Autonomous release in discontinuous coverage</w:t>
      </w:r>
      <w:r>
        <w:rPr>
          <w:rFonts w:ascii="Arial" w:hAnsi="Arial" w:cs="Arial"/>
          <w:bCs/>
          <w:sz w:val="20"/>
          <w:szCs w:val="20"/>
        </w:rPr>
        <w:tab/>
      </w:r>
      <w:r>
        <w:rPr>
          <w:rFonts w:ascii="Arial" w:hAnsi="Arial" w:cs="Arial"/>
          <w:bCs/>
          <w:sz w:val="20"/>
          <w:szCs w:val="20"/>
        </w:rPr>
        <w:t>Qualcomm Incorporated</w:t>
      </w:r>
    </w:p>
    <w:p>
      <w:pPr>
        <w:pStyle w:val="132"/>
        <w:numPr>
          <w:ilvl w:val="0"/>
          <w:numId w:val="56"/>
        </w:numPr>
        <w:ind w:leftChars="0"/>
        <w:rPr>
          <w:rFonts w:ascii="Arial" w:hAnsi="Arial" w:cs="Arial"/>
          <w:bCs/>
          <w:sz w:val="20"/>
          <w:szCs w:val="20"/>
        </w:rPr>
      </w:pPr>
      <w:r>
        <w:rPr>
          <w:rFonts w:ascii="Arial" w:hAnsi="Arial" w:cs="Arial"/>
          <w:bCs/>
          <w:sz w:val="20"/>
          <w:szCs w:val="20"/>
        </w:rPr>
        <w:t>R2-2312460</w:t>
      </w:r>
      <w:r>
        <w:rPr>
          <w:rFonts w:ascii="Arial" w:hAnsi="Arial" w:cs="Arial"/>
          <w:bCs/>
          <w:sz w:val="20"/>
          <w:szCs w:val="20"/>
        </w:rPr>
        <w:tab/>
      </w:r>
      <w:r>
        <w:rPr>
          <w:rFonts w:ascii="Arial" w:hAnsi="Arial" w:cs="Arial"/>
          <w:bCs/>
          <w:sz w:val="20"/>
          <w:szCs w:val="20"/>
        </w:rPr>
        <w:t>Views on some remaining issues for discontinuous coverage</w:t>
      </w:r>
      <w:r>
        <w:rPr>
          <w:rFonts w:ascii="Arial" w:hAnsi="Arial" w:cs="Arial"/>
          <w:bCs/>
          <w:sz w:val="20"/>
          <w:szCs w:val="20"/>
        </w:rPr>
        <w:tab/>
      </w:r>
      <w:r>
        <w:rPr>
          <w:rFonts w:ascii="Arial" w:hAnsi="Arial" w:cs="Arial"/>
          <w:bCs/>
          <w:sz w:val="20"/>
          <w:szCs w:val="20"/>
        </w:rPr>
        <w:t>Lenovo</w:t>
      </w:r>
    </w:p>
    <w:p>
      <w:pPr>
        <w:pStyle w:val="132"/>
        <w:numPr>
          <w:ilvl w:val="0"/>
          <w:numId w:val="56"/>
        </w:numPr>
        <w:ind w:leftChars="0"/>
        <w:rPr>
          <w:rFonts w:ascii="Arial" w:hAnsi="Arial" w:cs="Arial"/>
          <w:bCs/>
          <w:sz w:val="20"/>
          <w:szCs w:val="20"/>
        </w:rPr>
      </w:pPr>
      <w:r>
        <w:rPr>
          <w:rFonts w:ascii="Arial" w:hAnsi="Arial" w:cs="Arial"/>
          <w:bCs/>
          <w:sz w:val="20"/>
          <w:szCs w:val="20"/>
        </w:rPr>
        <w:t>R2-2312631</w:t>
      </w:r>
      <w:r>
        <w:rPr>
          <w:rFonts w:ascii="Arial" w:hAnsi="Arial" w:cs="Arial"/>
          <w:bCs/>
          <w:sz w:val="20"/>
          <w:szCs w:val="20"/>
        </w:rPr>
        <w:tab/>
      </w:r>
      <w:r>
        <w:rPr>
          <w:rFonts w:ascii="Arial" w:hAnsi="Arial" w:cs="Arial"/>
          <w:bCs/>
          <w:sz w:val="20"/>
          <w:szCs w:val="20"/>
        </w:rPr>
        <w:t>Discussion on enhancement to discontinuous coverage for IoT NTN</w:t>
      </w:r>
      <w:r>
        <w:rPr>
          <w:rFonts w:ascii="Arial" w:hAnsi="Arial" w:cs="Arial"/>
          <w:bCs/>
          <w:sz w:val="20"/>
          <w:szCs w:val="20"/>
        </w:rPr>
        <w:tab/>
      </w:r>
      <w:r>
        <w:rPr>
          <w:rFonts w:ascii="Arial" w:hAnsi="Arial" w:cs="Arial"/>
          <w:bCs/>
          <w:sz w:val="20"/>
          <w:szCs w:val="20"/>
        </w:rPr>
        <w:t>Transsion Holdings</w:t>
      </w:r>
    </w:p>
    <w:p>
      <w:pPr>
        <w:pStyle w:val="132"/>
        <w:numPr>
          <w:ilvl w:val="0"/>
          <w:numId w:val="56"/>
        </w:numPr>
        <w:ind w:leftChars="0"/>
        <w:rPr>
          <w:rFonts w:ascii="Arial" w:hAnsi="Arial" w:cs="Arial"/>
          <w:bCs/>
          <w:sz w:val="20"/>
          <w:szCs w:val="20"/>
        </w:rPr>
      </w:pPr>
      <w:r>
        <w:rPr>
          <w:rFonts w:ascii="Arial" w:hAnsi="Arial" w:cs="Arial"/>
          <w:bCs/>
          <w:sz w:val="20"/>
          <w:szCs w:val="20"/>
        </w:rPr>
        <w:t>R2-2312716</w:t>
      </w:r>
      <w:r>
        <w:rPr>
          <w:rFonts w:ascii="Arial" w:hAnsi="Arial" w:cs="Arial"/>
          <w:bCs/>
          <w:sz w:val="20"/>
          <w:szCs w:val="20"/>
        </w:rPr>
        <w:tab/>
      </w:r>
      <w:r>
        <w:rPr>
          <w:rFonts w:ascii="Arial" w:hAnsi="Arial" w:cs="Arial"/>
          <w:bCs/>
          <w:sz w:val="20"/>
          <w:szCs w:val="20"/>
        </w:rPr>
        <w:t>Remaining issues on discontinuous coverage</w:t>
      </w:r>
      <w:r>
        <w:rPr>
          <w:rFonts w:ascii="Arial" w:hAnsi="Arial" w:cs="Arial"/>
          <w:bCs/>
          <w:sz w:val="20"/>
          <w:szCs w:val="20"/>
        </w:rPr>
        <w:tab/>
      </w:r>
      <w:r>
        <w:rPr>
          <w:rFonts w:ascii="Arial" w:hAnsi="Arial" w:cs="Arial"/>
          <w:bCs/>
          <w:sz w:val="20"/>
          <w:szCs w:val="20"/>
        </w:rPr>
        <w:t>Huawei, Turkcell, HiSilicon</w:t>
      </w:r>
    </w:p>
    <w:p>
      <w:pPr>
        <w:pStyle w:val="132"/>
        <w:numPr>
          <w:ilvl w:val="0"/>
          <w:numId w:val="56"/>
        </w:numPr>
        <w:ind w:leftChars="0"/>
        <w:rPr>
          <w:rFonts w:ascii="Arial" w:hAnsi="Arial" w:cs="Arial"/>
          <w:bCs/>
          <w:sz w:val="20"/>
          <w:szCs w:val="20"/>
        </w:rPr>
      </w:pPr>
      <w:r>
        <w:rPr>
          <w:rFonts w:ascii="Arial" w:hAnsi="Arial" w:cs="Arial"/>
          <w:bCs/>
          <w:sz w:val="20"/>
          <w:szCs w:val="20"/>
        </w:rPr>
        <w:t>R2-2312723</w:t>
      </w:r>
      <w:r>
        <w:rPr>
          <w:rFonts w:ascii="Arial" w:hAnsi="Arial" w:cs="Arial"/>
          <w:bCs/>
          <w:sz w:val="20"/>
          <w:szCs w:val="20"/>
        </w:rPr>
        <w:tab/>
      </w:r>
      <w:r>
        <w:rPr>
          <w:rFonts w:ascii="Arial" w:hAnsi="Arial" w:cs="Arial"/>
          <w:bCs/>
          <w:sz w:val="20"/>
          <w:szCs w:val="20"/>
        </w:rPr>
        <w:t>Discussion on Discontinuous coverage open issues</w:t>
      </w:r>
      <w:r>
        <w:rPr>
          <w:rFonts w:ascii="Arial" w:hAnsi="Arial" w:cs="Arial"/>
          <w:bCs/>
          <w:sz w:val="20"/>
          <w:szCs w:val="20"/>
        </w:rPr>
        <w:tab/>
      </w:r>
      <w:r>
        <w:rPr>
          <w:rFonts w:ascii="Arial" w:hAnsi="Arial" w:cs="Arial"/>
          <w:bCs/>
          <w:sz w:val="20"/>
          <w:szCs w:val="20"/>
        </w:rPr>
        <w:t>Xiaomi</w:t>
      </w:r>
    </w:p>
    <w:p>
      <w:pPr>
        <w:pStyle w:val="132"/>
        <w:numPr>
          <w:ilvl w:val="0"/>
          <w:numId w:val="56"/>
        </w:numPr>
        <w:ind w:leftChars="0"/>
        <w:rPr>
          <w:rFonts w:ascii="Arial" w:hAnsi="Arial" w:cs="Arial"/>
          <w:bCs/>
          <w:sz w:val="20"/>
          <w:szCs w:val="20"/>
        </w:rPr>
      </w:pPr>
      <w:r>
        <w:rPr>
          <w:rFonts w:ascii="Arial" w:hAnsi="Arial" w:cs="Arial"/>
          <w:bCs/>
          <w:sz w:val="20"/>
          <w:szCs w:val="20"/>
        </w:rPr>
        <w:t>R2-2312861</w:t>
      </w:r>
      <w:r>
        <w:rPr>
          <w:rFonts w:ascii="Arial" w:hAnsi="Arial" w:cs="Arial"/>
          <w:bCs/>
          <w:sz w:val="20"/>
          <w:szCs w:val="20"/>
        </w:rPr>
        <w:tab/>
      </w:r>
      <w:r>
        <w:rPr>
          <w:rFonts w:ascii="Arial" w:hAnsi="Arial" w:cs="Arial"/>
          <w:bCs/>
          <w:sz w:val="20"/>
          <w:szCs w:val="20"/>
        </w:rPr>
        <w:t>Discussion on remaining issues discontinuous coverage Enhancements</w:t>
      </w:r>
      <w:r>
        <w:rPr>
          <w:rFonts w:ascii="Arial" w:hAnsi="Arial" w:cs="Arial"/>
          <w:bCs/>
          <w:sz w:val="20"/>
          <w:szCs w:val="20"/>
        </w:rPr>
        <w:tab/>
      </w:r>
      <w:r>
        <w:rPr>
          <w:rFonts w:ascii="Arial" w:hAnsi="Arial" w:cs="Arial"/>
          <w:bCs/>
          <w:sz w:val="20"/>
          <w:szCs w:val="20"/>
        </w:rPr>
        <w:t>Nokia, Nokia Shanghai Bell</w:t>
      </w:r>
    </w:p>
    <w:p>
      <w:pPr>
        <w:pStyle w:val="132"/>
        <w:numPr>
          <w:ilvl w:val="0"/>
          <w:numId w:val="56"/>
        </w:numPr>
        <w:ind w:leftChars="0"/>
        <w:rPr>
          <w:rFonts w:ascii="Arial" w:hAnsi="Arial" w:cs="Arial"/>
          <w:bCs/>
          <w:sz w:val="20"/>
          <w:szCs w:val="20"/>
        </w:rPr>
      </w:pPr>
      <w:r>
        <w:rPr>
          <w:rFonts w:ascii="Arial" w:hAnsi="Arial" w:cs="Arial"/>
          <w:bCs/>
          <w:sz w:val="20"/>
          <w:szCs w:val="20"/>
        </w:rPr>
        <w:t>R2-2312881</w:t>
      </w:r>
      <w:r>
        <w:rPr>
          <w:rFonts w:ascii="Arial" w:hAnsi="Arial" w:cs="Arial"/>
          <w:bCs/>
          <w:sz w:val="20"/>
          <w:szCs w:val="20"/>
        </w:rPr>
        <w:tab/>
      </w:r>
      <w:r>
        <w:rPr>
          <w:rFonts w:ascii="Arial" w:hAnsi="Arial" w:cs="Arial"/>
          <w:bCs/>
          <w:sz w:val="20"/>
          <w:szCs w:val="20"/>
        </w:rPr>
        <w:t>RRC Release in discontinuous coverage</w:t>
      </w:r>
      <w:r>
        <w:rPr>
          <w:rFonts w:ascii="Arial" w:hAnsi="Arial" w:cs="Arial"/>
          <w:bCs/>
          <w:sz w:val="20"/>
          <w:szCs w:val="20"/>
        </w:rPr>
        <w:tab/>
      </w:r>
      <w:r>
        <w:rPr>
          <w:rFonts w:ascii="Arial" w:hAnsi="Arial" w:cs="Arial"/>
          <w:bCs/>
          <w:sz w:val="20"/>
          <w:szCs w:val="20"/>
        </w:rPr>
        <w:t>Interdigital, Inc.</w:t>
      </w:r>
    </w:p>
    <w:p>
      <w:pPr>
        <w:pStyle w:val="132"/>
        <w:numPr>
          <w:ilvl w:val="0"/>
          <w:numId w:val="56"/>
        </w:numPr>
        <w:ind w:leftChars="0"/>
        <w:rPr>
          <w:rFonts w:ascii="Arial" w:hAnsi="Arial" w:cs="Arial"/>
          <w:bCs/>
          <w:sz w:val="20"/>
          <w:szCs w:val="20"/>
        </w:rPr>
      </w:pPr>
      <w:r>
        <w:rPr>
          <w:rFonts w:ascii="Arial" w:hAnsi="Arial" w:cs="Arial"/>
          <w:bCs/>
          <w:sz w:val="20"/>
          <w:szCs w:val="20"/>
        </w:rPr>
        <w:t>R2-2313296</w:t>
      </w:r>
      <w:r>
        <w:rPr>
          <w:rFonts w:ascii="Arial" w:hAnsi="Arial" w:cs="Arial"/>
          <w:bCs/>
          <w:sz w:val="20"/>
          <w:szCs w:val="20"/>
        </w:rPr>
        <w:tab/>
      </w:r>
      <w:r>
        <w:rPr>
          <w:rFonts w:ascii="Arial" w:hAnsi="Arial" w:cs="Arial"/>
          <w:bCs/>
          <w:sz w:val="20"/>
          <w:szCs w:val="20"/>
        </w:rPr>
        <w:t>Enhancements to Discontinuous Coverage</w:t>
      </w:r>
      <w:r>
        <w:rPr>
          <w:rFonts w:ascii="Arial" w:hAnsi="Arial" w:cs="Arial"/>
          <w:bCs/>
          <w:sz w:val="20"/>
          <w:szCs w:val="20"/>
        </w:rPr>
        <w:tab/>
      </w:r>
      <w:r>
        <w:rPr>
          <w:rFonts w:ascii="Arial" w:hAnsi="Arial" w:cs="Arial"/>
          <w:bCs/>
          <w:sz w:val="20"/>
          <w:szCs w:val="20"/>
        </w:rPr>
        <w:t>SHARP Corporation</w:t>
      </w:r>
    </w:p>
    <w:p>
      <w:pPr>
        <w:pStyle w:val="132"/>
        <w:numPr>
          <w:ilvl w:val="0"/>
          <w:numId w:val="56"/>
        </w:numPr>
        <w:ind w:leftChars="0"/>
        <w:rPr>
          <w:rFonts w:ascii="Arial" w:hAnsi="Arial" w:cs="Arial"/>
          <w:bCs/>
          <w:sz w:val="20"/>
          <w:szCs w:val="20"/>
        </w:rPr>
      </w:pPr>
      <w:r>
        <w:rPr>
          <w:rFonts w:ascii="Arial" w:hAnsi="Arial" w:cs="Arial"/>
          <w:bCs/>
          <w:sz w:val="20"/>
          <w:szCs w:val="20"/>
        </w:rPr>
        <w:t>R2-2313397</w:t>
      </w:r>
      <w:r>
        <w:rPr>
          <w:rFonts w:ascii="Arial" w:hAnsi="Arial" w:cs="Arial"/>
          <w:bCs/>
          <w:sz w:val="20"/>
          <w:szCs w:val="20"/>
        </w:rPr>
        <w:tab/>
      </w:r>
      <w:r>
        <w:rPr>
          <w:rFonts w:ascii="Arial" w:hAnsi="Arial" w:cs="Arial"/>
          <w:bCs/>
          <w:sz w:val="20"/>
          <w:szCs w:val="20"/>
        </w:rPr>
        <w:t>Enhancements to discontinuous coverage</w:t>
      </w:r>
      <w:r>
        <w:rPr>
          <w:rFonts w:ascii="Arial" w:hAnsi="Arial" w:cs="Arial"/>
          <w:bCs/>
          <w:sz w:val="20"/>
          <w:szCs w:val="20"/>
        </w:rPr>
        <w:tab/>
      </w:r>
      <w:r>
        <w:rPr>
          <w:rFonts w:ascii="Arial" w:hAnsi="Arial" w:cs="Arial"/>
          <w:bCs/>
          <w:sz w:val="20"/>
          <w:szCs w:val="20"/>
        </w:rPr>
        <w:t>Samsung</w:t>
      </w:r>
    </w:p>
    <w:p>
      <w:pPr>
        <w:overflowPunct/>
        <w:autoSpaceDE/>
        <w:autoSpaceDN/>
        <w:snapToGrid w:val="0"/>
        <w:spacing w:after="0"/>
        <w:rPr>
          <w:rFonts w:ascii="Arial" w:hAnsi="Arial" w:cs="Arial"/>
          <w:b/>
          <w:bCs/>
          <w:lang w:eastAsia="ja-JP"/>
        </w:rPr>
      </w:pPr>
    </w:p>
    <w:p>
      <w:pPr>
        <w:pStyle w:val="3"/>
        <w:rPr>
          <w:lang w:eastAsia="ja-JP"/>
        </w:rPr>
      </w:pPr>
      <w:r>
        <w:rPr>
          <w:lang w:eastAsia="ja-JP"/>
        </w:rPr>
        <w:t>4.3</w:t>
      </w:r>
      <w:r>
        <w:rPr>
          <w:lang w:eastAsia="ja-JP"/>
        </w:rPr>
        <w:tab/>
      </w:r>
      <w:r>
        <w:rPr>
          <w:lang w:eastAsia="ja-JP"/>
        </w:rPr>
        <w:t>RAN3</w:t>
      </w:r>
    </w:p>
    <w:p>
      <w:pPr>
        <w:rPr>
          <w:rFonts w:ascii="Arial" w:hAnsi="Arial" w:cs="Arial"/>
          <w:b/>
          <w:lang w:val="en-US" w:eastAsia="zh-CN"/>
        </w:rPr>
      </w:pPr>
      <w:r>
        <w:rPr>
          <w:rFonts w:ascii="Arial" w:hAnsi="Arial" w:cs="Arial"/>
          <w:b/>
          <w:lang w:eastAsia="en-US"/>
        </w:rPr>
        <w:t>RAN</w:t>
      </w:r>
      <w:r>
        <w:rPr>
          <w:rFonts w:hint="eastAsia" w:ascii="Arial" w:hAnsi="Arial" w:cs="Arial"/>
          <w:b/>
          <w:lang w:val="en-US" w:eastAsia="zh-CN"/>
        </w:rPr>
        <w:t>3</w:t>
      </w:r>
      <w:r>
        <w:rPr>
          <w:rFonts w:ascii="Arial" w:hAnsi="Arial" w:cs="Arial"/>
          <w:b/>
          <w:lang w:eastAsia="en-US"/>
        </w:rPr>
        <w:t>#12</w:t>
      </w:r>
      <w:r>
        <w:rPr>
          <w:rFonts w:ascii="Arial" w:hAnsi="Arial" w:cs="Arial"/>
          <w:b/>
          <w:lang w:val="en-US" w:eastAsia="zh-CN"/>
        </w:rPr>
        <w:t>1</w:t>
      </w:r>
      <w:r>
        <w:rPr>
          <w:rFonts w:hint="eastAsia" w:ascii="Arial" w:hAnsi="Arial" w:cs="Arial"/>
          <w:b/>
          <w:lang w:val="en-US" w:eastAsia="zh-CN"/>
        </w:rPr>
        <w:t>bis</w:t>
      </w:r>
      <w:r>
        <w:rPr>
          <w:rFonts w:ascii="Arial" w:hAnsi="Arial" w:cs="Arial"/>
          <w:b/>
          <w:lang w:eastAsia="en-US"/>
        </w:rPr>
        <w:t xml:space="preserve">, </w:t>
      </w:r>
      <w:r>
        <w:rPr>
          <w:rFonts w:hint="eastAsia" w:ascii="Arial" w:hAnsi="Arial" w:cs="Arial"/>
          <w:b/>
          <w:lang w:val="en-US" w:eastAsia="zh-CN"/>
        </w:rPr>
        <w:t>October</w:t>
      </w:r>
      <w:r>
        <w:rPr>
          <w:rFonts w:ascii="Arial" w:hAnsi="Arial" w:cs="Arial"/>
          <w:b/>
          <w:lang w:eastAsia="en-US"/>
        </w:rPr>
        <w:t xml:space="preserve"> </w:t>
      </w:r>
      <w:r>
        <w:rPr>
          <w:rFonts w:hint="eastAsia" w:ascii="Arial" w:hAnsi="Arial" w:cs="Arial"/>
          <w:b/>
          <w:lang w:val="en-US" w:eastAsia="zh-CN"/>
        </w:rPr>
        <w:t>9th</w:t>
      </w:r>
      <w:r>
        <w:rPr>
          <w:rFonts w:ascii="Arial" w:hAnsi="Arial" w:cs="Arial"/>
          <w:b/>
          <w:lang w:eastAsia="en-US"/>
        </w:rPr>
        <w:t xml:space="preserve"> – </w:t>
      </w:r>
      <w:r>
        <w:rPr>
          <w:rFonts w:hint="eastAsia" w:ascii="Arial" w:hAnsi="Arial" w:cs="Arial"/>
          <w:b/>
          <w:lang w:val="en-US" w:eastAsia="zh-CN"/>
        </w:rPr>
        <w:t>October</w:t>
      </w:r>
      <w:r>
        <w:rPr>
          <w:rFonts w:ascii="Arial" w:hAnsi="Arial" w:cs="Arial"/>
          <w:b/>
          <w:lang w:eastAsia="en-US"/>
        </w:rPr>
        <w:t xml:space="preserve"> </w:t>
      </w:r>
      <w:r>
        <w:rPr>
          <w:rFonts w:hint="eastAsia" w:ascii="Arial" w:hAnsi="Arial" w:cs="Arial"/>
          <w:b/>
          <w:lang w:val="en-US" w:eastAsia="zh-CN"/>
        </w:rPr>
        <w:t>13</w:t>
      </w:r>
      <w:r>
        <w:rPr>
          <w:rFonts w:ascii="Arial" w:hAnsi="Arial" w:cs="Arial"/>
          <w:b/>
          <w:lang w:eastAsia="en-US"/>
        </w:rPr>
        <w:t>th, 2023, Xiamen, China</w:t>
      </w:r>
    </w:p>
    <w:p>
      <w:pPr>
        <w:pStyle w:val="132"/>
        <w:numPr>
          <w:ilvl w:val="0"/>
          <w:numId w:val="63"/>
        </w:numPr>
        <w:tabs>
          <w:tab w:val="left" w:pos="567"/>
        </w:tabs>
        <w:snapToGrid w:val="0"/>
        <w:ind w:leftChars="0"/>
        <w:rPr>
          <w:rFonts w:ascii="Arial" w:hAnsi="Arial" w:cs="Arial"/>
          <w:bCs/>
          <w:sz w:val="20"/>
          <w:szCs w:val="20"/>
          <w:highlight w:val="none"/>
          <w:lang w:eastAsia="en-US"/>
        </w:rPr>
      </w:pPr>
      <w:r>
        <w:rPr>
          <w:rFonts w:ascii="Arial" w:hAnsi="Arial" w:cs="Arial"/>
          <w:bCs/>
          <w:sz w:val="20"/>
          <w:szCs w:val="20"/>
          <w:highlight w:val="none"/>
          <w:lang w:eastAsia="en-US"/>
        </w:rPr>
        <w:t>R</w:t>
      </w:r>
      <w:r>
        <w:rPr>
          <w:rFonts w:hint="eastAsia" w:ascii="Arial" w:hAnsi="Arial" w:eastAsia="宋体" w:cs="Arial"/>
          <w:bCs/>
          <w:sz w:val="20"/>
          <w:szCs w:val="20"/>
          <w:highlight w:val="none"/>
          <w:lang w:eastAsia="zh-CN"/>
        </w:rPr>
        <w:t>3-23</w:t>
      </w:r>
      <w:r>
        <w:rPr>
          <w:rFonts w:hint="eastAsia" w:ascii="Arial" w:hAnsi="Arial" w:eastAsia="宋体" w:cs="Arial"/>
          <w:bCs/>
          <w:sz w:val="20"/>
          <w:szCs w:val="20"/>
          <w:highlight w:val="none"/>
          <w:lang w:val="en-US" w:eastAsia="zh-CN"/>
        </w:rPr>
        <w:t>5143</w:t>
      </w:r>
      <w:r>
        <w:rPr>
          <w:rFonts w:hint="eastAsia" w:ascii="Arial" w:hAnsi="Arial" w:eastAsia="宋体" w:cs="Arial"/>
          <w:bCs/>
          <w:sz w:val="20"/>
          <w:szCs w:val="20"/>
          <w:highlight w:val="none"/>
          <w:lang w:eastAsia="en-US"/>
        </w:rPr>
        <w:t>, (TP to BL CR for TS 36.455, 36.300, 36.305) supporting of E-CID</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val="en-US" w:eastAsia="zh-CN"/>
        </w:rPr>
        <w:t>CATT</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ascii="Arial" w:hAnsi="Arial" w:cs="Arial"/>
          <w:bCs/>
          <w:sz w:val="20"/>
          <w:szCs w:val="20"/>
          <w:highlight w:val="none"/>
          <w:lang w:eastAsia="en-US"/>
        </w:rPr>
        <w:t>R</w:t>
      </w:r>
      <w:r>
        <w:rPr>
          <w:rFonts w:hint="eastAsia" w:ascii="Arial" w:hAnsi="Arial" w:cs="Arial"/>
          <w:bCs/>
          <w:sz w:val="20"/>
          <w:szCs w:val="20"/>
          <w:highlight w:val="none"/>
          <w:lang w:eastAsia="zh-CN"/>
        </w:rPr>
        <w:t>3</w:t>
      </w:r>
      <w:r>
        <w:rPr>
          <w:rFonts w:ascii="Arial" w:hAnsi="Arial" w:cs="Arial"/>
          <w:bCs/>
          <w:sz w:val="20"/>
          <w:szCs w:val="20"/>
          <w:highlight w:val="none"/>
          <w:lang w:eastAsia="en-US"/>
        </w:rPr>
        <w:t>-23</w:t>
      </w:r>
      <w:r>
        <w:rPr>
          <w:rFonts w:hint="eastAsia" w:ascii="Arial" w:hAnsi="Arial" w:cs="Arial"/>
          <w:bCs/>
          <w:sz w:val="20"/>
          <w:szCs w:val="20"/>
          <w:highlight w:val="none"/>
          <w:lang w:val="en-US" w:eastAsia="zh-CN"/>
        </w:rPr>
        <w:t>5327</w:t>
      </w:r>
      <w:r>
        <w:rPr>
          <w:rFonts w:hint="eastAsia" w:ascii="Arial" w:hAnsi="Arial" w:eastAsia="宋体" w:cs="Arial"/>
          <w:bCs/>
          <w:sz w:val="20"/>
          <w:szCs w:val="20"/>
          <w:highlight w:val="none"/>
          <w:lang w:eastAsia="en-US"/>
        </w:rPr>
        <w:t>, (TP for IoT NTN BL CR 36.423) Location-Triggered CHO for IoT NTN</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ZTE, Ericsson, ESA, Thales</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5493</w:t>
      </w:r>
      <w:r>
        <w:rPr>
          <w:rFonts w:hint="eastAsia" w:ascii="Arial" w:hAnsi="Arial" w:eastAsia="宋体" w:cs="Arial"/>
          <w:bCs/>
          <w:sz w:val="20"/>
          <w:szCs w:val="20"/>
          <w:highlight w:val="none"/>
          <w:lang w:eastAsia="en-US"/>
        </w:rPr>
        <w:t>, Mapped Cell ID Introduction for E-CID and IoT NTN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 Huawei, Thales</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5494</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NTN Access Point Position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 Huawei, Thales</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5495</w:t>
      </w:r>
      <w:r>
        <w:rPr>
          <w:rFonts w:hint="eastAsia" w:ascii="Arial" w:hAnsi="Arial" w:eastAsia="宋体" w:cs="Arial"/>
          <w:bCs/>
          <w:sz w:val="20"/>
          <w:szCs w:val="20"/>
          <w:highlight w:val="none"/>
          <w:lang w:eastAsia="en-US"/>
        </w:rPr>
        <w:t>, Time Margin for CHO in IoT NTN – X2AP Impact</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 Inmarsat, ESA</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5509</w:t>
      </w:r>
      <w:r>
        <w:rPr>
          <w:rFonts w:hint="eastAsia" w:ascii="Arial" w:hAnsi="Arial" w:eastAsia="宋体" w:cs="Arial"/>
          <w:bCs/>
          <w:sz w:val="20"/>
          <w:szCs w:val="20"/>
          <w:highlight w:val="none"/>
          <w:lang w:eastAsia="en-US"/>
        </w:rPr>
        <w:t>, E-CID for Network UE location Verification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Huawei, Thales, Ericsson</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5518</w:t>
      </w:r>
      <w:r>
        <w:rPr>
          <w:rFonts w:hint="eastAsia" w:ascii="Arial" w:hAnsi="Arial" w:eastAsia="宋体" w:cs="Arial"/>
          <w:bCs/>
          <w:sz w:val="20"/>
          <w:szCs w:val="20"/>
          <w:highlight w:val="none"/>
          <w:lang w:eastAsia="en-US"/>
        </w:rPr>
        <w:t>, (TP for TS36.413 BL CR and TS36.423 BL CR) miscellaneous Correction on the BL CRs</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Nokia, Nokia Shanghai Bell</w:t>
      </w:r>
    </w:p>
    <w:p>
      <w:pPr>
        <w:bidi w:val="0"/>
        <w:rPr>
          <w:lang w:val="en-US" w:eastAsia="ja-JP"/>
        </w:rPr>
      </w:pPr>
    </w:p>
    <w:p>
      <w:pPr>
        <w:rPr>
          <w:rFonts w:hint="default" w:ascii="Arial" w:hAnsi="Arial" w:cs="Arial"/>
          <w:b/>
          <w:lang w:val="en-US" w:eastAsia="zh-CN"/>
        </w:rPr>
      </w:pPr>
      <w:r>
        <w:rPr>
          <w:rFonts w:ascii="Arial" w:hAnsi="Arial" w:cs="Arial"/>
          <w:b/>
          <w:lang w:eastAsia="en-US"/>
        </w:rPr>
        <w:t>RAN</w:t>
      </w:r>
      <w:r>
        <w:rPr>
          <w:rFonts w:hint="eastAsia" w:ascii="Arial" w:hAnsi="Arial" w:cs="Arial"/>
          <w:b/>
          <w:lang w:val="en-US" w:eastAsia="zh-CN"/>
        </w:rPr>
        <w:t>3</w:t>
      </w:r>
      <w:r>
        <w:rPr>
          <w:rFonts w:ascii="Arial" w:hAnsi="Arial" w:cs="Arial"/>
          <w:b/>
          <w:lang w:eastAsia="en-US"/>
        </w:rPr>
        <w:t>#12</w:t>
      </w:r>
      <w:r>
        <w:rPr>
          <w:rFonts w:hint="eastAsia" w:ascii="Arial" w:hAnsi="Arial" w:cs="Arial"/>
          <w:b/>
          <w:lang w:val="en-US" w:eastAsia="zh-CN"/>
        </w:rPr>
        <w:t>2</w:t>
      </w:r>
      <w:r>
        <w:rPr>
          <w:rFonts w:ascii="Arial" w:hAnsi="Arial" w:cs="Arial"/>
          <w:b/>
          <w:lang w:eastAsia="en-US"/>
        </w:rPr>
        <w:t xml:space="preserve">, </w:t>
      </w:r>
      <w:r>
        <w:rPr>
          <w:rFonts w:hint="eastAsia" w:ascii="Arial" w:hAnsi="Arial" w:cs="Arial"/>
          <w:b/>
          <w:lang w:val="en-US" w:eastAsia="zh-CN"/>
        </w:rPr>
        <w:t>November</w:t>
      </w:r>
      <w:r>
        <w:rPr>
          <w:rFonts w:ascii="Arial" w:hAnsi="Arial" w:cs="Arial"/>
          <w:b/>
          <w:lang w:eastAsia="en-US"/>
        </w:rPr>
        <w:t xml:space="preserve"> </w:t>
      </w:r>
      <w:r>
        <w:rPr>
          <w:rFonts w:hint="eastAsia" w:ascii="Arial" w:hAnsi="Arial" w:cs="Arial"/>
          <w:b/>
          <w:lang w:val="en-US" w:eastAsia="zh-CN"/>
        </w:rPr>
        <w:t>13th</w:t>
      </w:r>
      <w:r>
        <w:rPr>
          <w:rFonts w:ascii="Arial" w:hAnsi="Arial" w:cs="Arial"/>
          <w:b/>
          <w:lang w:eastAsia="en-US"/>
        </w:rPr>
        <w:t xml:space="preserve"> – </w:t>
      </w:r>
      <w:r>
        <w:rPr>
          <w:rFonts w:hint="eastAsia" w:ascii="Arial" w:hAnsi="Arial" w:cs="Arial"/>
          <w:b/>
          <w:lang w:val="en-US" w:eastAsia="zh-CN"/>
        </w:rPr>
        <w:t>November</w:t>
      </w:r>
      <w:r>
        <w:rPr>
          <w:rFonts w:ascii="Arial" w:hAnsi="Arial" w:cs="Arial"/>
          <w:b/>
          <w:lang w:eastAsia="en-US"/>
        </w:rPr>
        <w:t xml:space="preserve"> </w:t>
      </w:r>
      <w:r>
        <w:rPr>
          <w:rFonts w:hint="eastAsia" w:ascii="Arial" w:hAnsi="Arial" w:cs="Arial"/>
          <w:b/>
          <w:lang w:val="en-US" w:eastAsia="zh-CN"/>
        </w:rPr>
        <w:t>17</w:t>
      </w:r>
      <w:r>
        <w:rPr>
          <w:rFonts w:ascii="Arial" w:hAnsi="Arial" w:cs="Arial"/>
          <w:b/>
          <w:lang w:eastAsia="en-US"/>
        </w:rPr>
        <w:t xml:space="preserve">th, 2023, </w:t>
      </w:r>
      <w:r>
        <w:rPr>
          <w:rFonts w:hint="eastAsia" w:ascii="Arial" w:hAnsi="Arial" w:cs="Arial"/>
          <w:b/>
          <w:lang w:val="en-US" w:eastAsia="zh-CN"/>
        </w:rPr>
        <w:t>Chicago</w:t>
      </w:r>
      <w:r>
        <w:rPr>
          <w:rFonts w:ascii="Arial" w:hAnsi="Arial" w:cs="Arial"/>
          <w:b/>
          <w:lang w:val="en-US" w:eastAsia="zh-CN"/>
        </w:rPr>
        <w:t xml:space="preserve">, </w:t>
      </w:r>
      <w:r>
        <w:rPr>
          <w:rFonts w:hint="eastAsia" w:ascii="Arial" w:hAnsi="Arial" w:cs="Arial"/>
          <w:b/>
          <w:lang w:val="en-US" w:eastAsia="zh-CN"/>
        </w:rPr>
        <w:t>USA</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3-23</w:t>
      </w:r>
      <w:r>
        <w:rPr>
          <w:rFonts w:hint="eastAsia" w:ascii="Arial" w:hAnsi="Arial" w:eastAsia="宋体" w:cs="Arial"/>
          <w:bCs/>
          <w:sz w:val="20"/>
          <w:szCs w:val="20"/>
          <w:highlight w:val="none"/>
          <w:lang w:val="en-US" w:eastAsia="zh-CN"/>
        </w:rPr>
        <w:t>7166</w:t>
      </w:r>
      <w:r>
        <w:rPr>
          <w:rFonts w:hint="eastAsia" w:ascii="Arial" w:hAnsi="Arial" w:eastAsia="宋体" w:cs="Arial"/>
          <w:bCs/>
          <w:sz w:val="20"/>
          <w:szCs w:val="20"/>
          <w:highlight w:val="none"/>
          <w:lang w:eastAsia="en-US"/>
        </w:rPr>
        <w:t>, LS on UE Location Information for NB-IoT NTN</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RAN2(Inmarsat)</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ascii="Arial" w:hAnsi="Arial" w:cs="Arial"/>
          <w:bCs/>
          <w:sz w:val="20"/>
          <w:szCs w:val="20"/>
          <w:highlight w:val="none"/>
          <w:lang w:eastAsia="en-US"/>
        </w:rPr>
        <w:t>R</w:t>
      </w:r>
      <w:r>
        <w:rPr>
          <w:rFonts w:hint="eastAsia" w:ascii="Arial" w:hAnsi="Arial" w:cs="Arial"/>
          <w:bCs/>
          <w:sz w:val="20"/>
          <w:szCs w:val="20"/>
          <w:highlight w:val="none"/>
          <w:lang w:eastAsia="zh-CN"/>
        </w:rPr>
        <w:t>3</w:t>
      </w:r>
      <w:r>
        <w:rPr>
          <w:rFonts w:ascii="Arial" w:hAnsi="Arial" w:cs="Arial"/>
          <w:bCs/>
          <w:sz w:val="20"/>
          <w:szCs w:val="20"/>
          <w:highlight w:val="none"/>
          <w:lang w:eastAsia="en-US"/>
        </w:rPr>
        <w:t>-23</w:t>
      </w:r>
      <w:r>
        <w:rPr>
          <w:rFonts w:hint="eastAsia" w:ascii="Arial" w:hAnsi="Arial" w:cs="Arial"/>
          <w:bCs/>
          <w:sz w:val="20"/>
          <w:szCs w:val="20"/>
          <w:highlight w:val="none"/>
          <w:lang w:val="en-US" w:eastAsia="zh-CN"/>
        </w:rPr>
        <w:t>71</w:t>
      </w:r>
      <w:r>
        <w:rPr>
          <w:rFonts w:hint="eastAsia" w:ascii="Arial" w:hAnsi="Arial" w:eastAsia="宋体" w:cs="Arial"/>
          <w:bCs/>
          <w:sz w:val="20"/>
          <w:szCs w:val="20"/>
          <w:highlight w:val="none"/>
          <w:lang w:val="en-US" w:eastAsia="zh-CN"/>
        </w:rPr>
        <w:t>76</w:t>
      </w:r>
      <w:r>
        <w:rPr>
          <w:rFonts w:hint="eastAsia" w:ascii="Arial" w:hAnsi="Arial" w:eastAsia="宋体" w:cs="Arial"/>
          <w:bCs/>
          <w:sz w:val="20"/>
          <w:szCs w:val="20"/>
          <w:highlight w:val="none"/>
          <w:lang w:eastAsia="en-US"/>
        </w:rPr>
        <w:t>, (TP to BL CR for TS 36.455, 36.300, 36.305) supporting of E-CID</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CATT</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7339</w:t>
      </w:r>
      <w:r>
        <w:rPr>
          <w:rFonts w:hint="eastAsia" w:ascii="Arial" w:hAnsi="Arial" w:eastAsia="宋体" w:cs="Arial"/>
          <w:bCs/>
          <w:sz w:val="20"/>
          <w:szCs w:val="20"/>
          <w:highlight w:val="none"/>
          <w:lang w:eastAsia="en-US"/>
        </w:rPr>
        <w:t>, Discussion on remaining issue for IoT NTN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w:t>
      </w:r>
      <w:r>
        <w:rPr>
          <w:rFonts w:hint="eastAsia" w:ascii="Arial" w:hAnsi="Arial" w:eastAsia="宋体" w:cs="Arial"/>
          <w:bCs/>
          <w:sz w:val="20"/>
          <w:szCs w:val="20"/>
          <w:highlight w:val="none"/>
          <w:lang w:val="en-US" w:eastAsia="zh-CN"/>
        </w:rPr>
        <w:t>ZTE</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7374</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E-CID for Network UE location Verification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w:t>
      </w:r>
      <w:r>
        <w:rPr>
          <w:rFonts w:hint="eastAsia" w:ascii="Arial" w:hAnsi="Arial" w:eastAsia="宋体" w:cs="Arial"/>
          <w:bCs/>
          <w:sz w:val="20"/>
          <w:szCs w:val="20"/>
          <w:highlight w:val="none"/>
          <w:lang w:val="en-US" w:eastAsia="zh-CN"/>
        </w:rPr>
        <w:t>Huawei</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7426</w:t>
      </w:r>
      <w:r>
        <w:rPr>
          <w:rFonts w:hint="eastAsia" w:ascii="Arial" w:hAnsi="Arial" w:eastAsia="宋体" w:cs="Arial"/>
          <w:bCs/>
          <w:sz w:val="20"/>
          <w:szCs w:val="20"/>
          <w:highlight w:val="none"/>
          <w:lang w:eastAsia="en-US"/>
        </w:rPr>
        <w:t>, Mapped Cell ID Introduction for E-CID and IoT NTN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 Huawei, Thales</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7427</w:t>
      </w:r>
      <w:r>
        <w:rPr>
          <w:rFonts w:hint="eastAsia" w:ascii="Arial" w:hAnsi="Arial" w:eastAsia="宋体" w:cs="Arial"/>
          <w:bCs/>
          <w:sz w:val="20"/>
          <w:szCs w:val="20"/>
          <w:highlight w:val="none"/>
          <w:lang w:eastAsia="en-US"/>
        </w:rPr>
        <w:t>, (TP to BL CR for TS 36.455) NTN Access Point Position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 Huawei, Thales</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w:t>
      </w:r>
      <w:r>
        <w:rPr>
          <w:rFonts w:hint="eastAsia" w:ascii="Arial" w:hAnsi="Arial" w:eastAsia="宋体" w:cs="Arial"/>
          <w:bCs/>
          <w:sz w:val="20"/>
          <w:szCs w:val="20"/>
          <w:highlight w:val="none"/>
          <w:lang w:eastAsia="en-US"/>
        </w:rPr>
        <w:t>-23</w:t>
      </w:r>
      <w:r>
        <w:rPr>
          <w:rFonts w:hint="eastAsia" w:ascii="Arial" w:hAnsi="Arial" w:eastAsia="宋体" w:cs="Arial"/>
          <w:bCs/>
          <w:sz w:val="20"/>
          <w:szCs w:val="20"/>
          <w:highlight w:val="none"/>
          <w:lang w:val="en-US" w:eastAsia="zh-CN"/>
        </w:rPr>
        <w:t>7429</w:t>
      </w:r>
      <w:r>
        <w:rPr>
          <w:rFonts w:hint="eastAsia" w:ascii="Arial" w:hAnsi="Arial" w:eastAsia="宋体" w:cs="Arial"/>
          <w:bCs/>
          <w:sz w:val="20"/>
          <w:szCs w:val="20"/>
          <w:highlight w:val="none"/>
          <w:lang w:eastAsia="en-US"/>
        </w:rPr>
        <w:t>, UE Location Verification and IoT NTN</w:t>
      </w:r>
      <w:r>
        <w:rPr>
          <w:rFonts w:hint="eastAsia" w:ascii="Arial" w:hAnsi="Arial" w:eastAsia="宋体" w:cs="Arial"/>
          <w:bCs/>
          <w:sz w:val="20"/>
          <w:szCs w:val="20"/>
          <w:highlight w:val="none"/>
          <w:lang w:eastAsia="zh-CN"/>
        </w:rPr>
        <w:t>,</w:t>
      </w:r>
      <w:r>
        <w:rPr>
          <w:rFonts w:hint="eastAsia" w:ascii="Arial" w:hAnsi="Arial" w:eastAsia="宋体" w:cs="Arial"/>
          <w:bCs/>
          <w:sz w:val="20"/>
          <w:szCs w:val="20"/>
          <w:highlight w:val="none"/>
          <w:lang w:eastAsia="en-US"/>
        </w:rPr>
        <w:t xml:space="preserve"> Ericsson</w:t>
      </w:r>
    </w:p>
    <w:p>
      <w:pPr>
        <w:pStyle w:val="132"/>
        <w:numPr>
          <w:ilvl w:val="0"/>
          <w:numId w:val="63"/>
        </w:numPr>
        <w:tabs>
          <w:tab w:val="left" w:pos="567"/>
        </w:tabs>
        <w:snapToGrid w:val="0"/>
        <w:ind w:leftChars="0"/>
        <w:rPr>
          <w:rFonts w:hint="eastAsia" w:ascii="Arial" w:hAnsi="Arial" w:eastAsia="宋体" w:cs="Arial"/>
          <w:bCs/>
          <w:sz w:val="20"/>
          <w:szCs w:val="20"/>
          <w:highlight w:val="none"/>
          <w:lang w:eastAsia="en-US"/>
        </w:rPr>
      </w:pPr>
      <w:r>
        <w:rPr>
          <w:rFonts w:hint="eastAsia" w:ascii="Arial" w:hAnsi="Arial" w:eastAsia="宋体" w:cs="Arial"/>
          <w:bCs/>
          <w:sz w:val="20"/>
          <w:szCs w:val="20"/>
          <w:highlight w:val="none"/>
          <w:lang w:eastAsia="en-US"/>
        </w:rPr>
        <w:t>R</w:t>
      </w:r>
      <w:r>
        <w:rPr>
          <w:rFonts w:hint="eastAsia" w:ascii="Arial" w:hAnsi="Arial" w:eastAsia="宋体" w:cs="Arial"/>
          <w:bCs/>
          <w:sz w:val="20"/>
          <w:szCs w:val="20"/>
          <w:highlight w:val="none"/>
          <w:lang w:eastAsia="zh-CN"/>
        </w:rPr>
        <w:t>3-23</w:t>
      </w:r>
      <w:r>
        <w:rPr>
          <w:rFonts w:hint="eastAsia" w:ascii="Arial" w:hAnsi="Arial" w:eastAsia="宋体" w:cs="Arial"/>
          <w:bCs/>
          <w:sz w:val="20"/>
          <w:szCs w:val="20"/>
          <w:highlight w:val="none"/>
          <w:lang w:val="en-US" w:eastAsia="zh-CN"/>
        </w:rPr>
        <w:t>7437</w:t>
      </w:r>
      <w:r>
        <w:rPr>
          <w:rFonts w:hint="eastAsia" w:ascii="Arial" w:hAnsi="Arial" w:eastAsia="宋体" w:cs="Arial"/>
          <w:bCs/>
          <w:sz w:val="20"/>
          <w:szCs w:val="20"/>
          <w:highlight w:val="none"/>
          <w:lang w:eastAsia="en-US"/>
        </w:rPr>
        <w:t>, (TP for TS 36.413 BL CR) Discussion on remaining issues to support IoT NTN</w:t>
      </w:r>
      <w:r>
        <w:rPr>
          <w:rFonts w:hint="eastAsia" w:ascii="Arial" w:hAnsi="Arial" w:eastAsia="宋体" w:cs="Arial"/>
          <w:bCs/>
          <w:sz w:val="20"/>
          <w:szCs w:val="20"/>
          <w:highlight w:val="none"/>
          <w:lang w:eastAsia="zh-CN"/>
        </w:rPr>
        <w:t xml:space="preserve">, </w:t>
      </w:r>
      <w:r>
        <w:rPr>
          <w:rFonts w:hint="eastAsia" w:ascii="Arial" w:hAnsi="Arial" w:eastAsia="宋体" w:cs="Arial"/>
          <w:bCs/>
          <w:sz w:val="20"/>
          <w:szCs w:val="20"/>
          <w:highlight w:val="none"/>
          <w:lang w:eastAsia="en-US"/>
        </w:rPr>
        <w:t>Nokia, Nokia Shanghai Bell</w:t>
      </w:r>
    </w:p>
    <w:p>
      <w:pPr>
        <w:overflowPunct/>
        <w:autoSpaceDE/>
        <w:autoSpaceDN/>
        <w:snapToGrid w:val="0"/>
        <w:spacing w:after="0"/>
        <w:rPr>
          <w:rFonts w:ascii="Arial" w:hAnsi="Arial" w:cs="Arial"/>
          <w:b/>
          <w:bCs/>
          <w:lang w:val="en-US" w:eastAsia="ja-JP"/>
        </w:rPr>
      </w:pPr>
    </w:p>
    <w:p>
      <w:pPr>
        <w:overflowPunct/>
        <w:autoSpaceDE/>
        <w:autoSpaceDN/>
        <w:snapToGrid w:val="0"/>
        <w:spacing w:after="0"/>
        <w:rPr>
          <w:rFonts w:ascii="Arial" w:hAnsi="Arial" w:cs="Arial"/>
          <w:b/>
          <w:bCs/>
          <w:lang w:eastAsia="ja-JP"/>
        </w:rPr>
      </w:pPr>
    </w:p>
    <w:p>
      <w:pPr>
        <w:pStyle w:val="3"/>
        <w:rPr>
          <w:lang w:eastAsia="ja-JP"/>
        </w:rPr>
      </w:pPr>
      <w:r>
        <w:rPr>
          <w:lang w:eastAsia="ja-JP"/>
        </w:rPr>
        <w:t>4.4</w:t>
      </w:r>
      <w:r>
        <w:rPr>
          <w:lang w:eastAsia="ja-JP"/>
        </w:rPr>
        <w:tab/>
      </w:r>
      <w:r>
        <w:rPr>
          <w:lang w:eastAsia="ja-JP"/>
        </w:rPr>
        <w:t>RAN4</w:t>
      </w:r>
    </w:p>
    <w:p>
      <w:pPr>
        <w:rPr>
          <w:rFonts w:ascii="Arial" w:hAnsi="Arial" w:cs="Arial"/>
          <w:b/>
          <w:highlight w:val="lightGray"/>
          <w:lang w:eastAsia="en-US"/>
        </w:rPr>
      </w:pPr>
      <w:r>
        <w:rPr>
          <w:rFonts w:ascii="Arial" w:hAnsi="Arial" w:cs="Arial"/>
          <w:b/>
          <w:lang w:eastAsia="en-US"/>
        </w:rPr>
        <w:t>RAN</w:t>
      </w:r>
      <w:r>
        <w:rPr>
          <w:rFonts w:hint="eastAsia" w:ascii="Arial" w:hAnsi="Arial" w:cs="Arial"/>
          <w:b/>
          <w:lang w:eastAsia="en-US"/>
        </w:rPr>
        <w:t>4</w:t>
      </w:r>
      <w:r>
        <w:rPr>
          <w:rFonts w:ascii="Arial" w:hAnsi="Arial" w:cs="Arial"/>
          <w:b/>
          <w:lang w:eastAsia="en-US"/>
        </w:rPr>
        <w:t>#1</w:t>
      </w:r>
      <w:r>
        <w:rPr>
          <w:rFonts w:hint="eastAsia" w:ascii="Arial" w:hAnsi="Arial" w:cs="Arial"/>
          <w:b/>
          <w:lang w:eastAsia="en-US"/>
        </w:rPr>
        <w:t>08</w:t>
      </w:r>
      <w:r>
        <w:rPr>
          <w:rFonts w:ascii="Arial" w:hAnsi="Arial" w:cs="Arial"/>
          <w:b/>
          <w:lang w:eastAsia="en-US"/>
        </w:rPr>
        <w:t>-bis, October 9</w:t>
      </w:r>
      <w:r>
        <w:rPr>
          <w:rFonts w:ascii="Arial" w:hAnsi="Arial" w:cs="Arial"/>
          <w:b/>
          <w:vertAlign w:val="superscript"/>
          <w:lang w:eastAsia="en-US"/>
        </w:rPr>
        <w:t>th</w:t>
      </w:r>
      <w:r>
        <w:rPr>
          <w:rFonts w:ascii="Arial" w:hAnsi="Arial" w:cs="Arial"/>
          <w:b/>
          <w:lang w:eastAsia="en-US"/>
        </w:rPr>
        <w:t xml:space="preserve"> – October 13</w:t>
      </w:r>
      <w:r>
        <w:rPr>
          <w:rFonts w:ascii="Arial" w:hAnsi="Arial" w:cs="Arial"/>
          <w:b/>
          <w:vertAlign w:val="superscript"/>
          <w:lang w:eastAsia="en-US"/>
        </w:rPr>
        <w:t>th</w:t>
      </w:r>
      <w:r>
        <w:rPr>
          <w:rFonts w:ascii="Arial" w:hAnsi="Arial" w:cs="Arial"/>
          <w:b/>
          <w:lang w:eastAsia="en-US"/>
        </w:rPr>
        <w:t>, 2023, Xiamen, China</w:t>
      </w:r>
    </w:p>
    <w:p>
      <w:pPr>
        <w:tabs>
          <w:tab w:val="left" w:pos="567"/>
        </w:tabs>
        <w:snapToGrid w:val="0"/>
        <w:rPr>
          <w:rFonts w:ascii="Arial" w:hAnsi="Arial" w:cs="Arial"/>
          <w:bCs/>
          <w:u w:val="single"/>
        </w:rPr>
      </w:pPr>
      <w:r>
        <w:rPr>
          <w:rFonts w:ascii="Arial" w:hAnsi="Arial" w:cs="Arial"/>
          <w:bCs/>
          <w:u w:val="single"/>
        </w:rPr>
        <w:t>RRM</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R4-2317395 WF on R18 IoT NTN RRM requirements Moderator (MediaTek)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R4-2317223 Topic summary for [108bis][231] IoT_NTN_enh Moderator (MediaTek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R4-2315176 Discussion on RRM core requirements for IOT NTN enhancement</w:t>
      </w:r>
      <w:r>
        <w:rPr>
          <w:rFonts w:ascii="Arial" w:hAnsi="Arial" w:cs="Arial"/>
          <w:bCs/>
          <w:sz w:val="20"/>
          <w:szCs w:val="20"/>
        </w:rPr>
        <w:tab/>
      </w:r>
      <w:r>
        <w:rPr>
          <w:rFonts w:ascii="Arial" w:hAnsi="Arial" w:cs="Arial"/>
          <w:bCs/>
          <w:sz w:val="20"/>
          <w:szCs w:val="20"/>
        </w:rPr>
        <w:t>CMCC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R4-2315253 Discussion on RRM requirements for IoT NTN enhancement 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R4-2315631 Discussion on RRM requirements for IoT NTN enhancement 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R4-2316261 Discussion on mobility requirements for IoT NTN enhancements 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R4-2316351 Discussions on RRM requirements for IoT NTN enhancements 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R4-2315254 Introduction of location based cell re-selection requirement for  IoT NTN enhancement for UE category NB-IoT 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R4-2315632 Draft CR on RRM impact of GNSS re-acquisition for NB-IoT</w:t>
      </w:r>
      <w:r>
        <w:rPr>
          <w:rFonts w:ascii="Arial" w:hAnsi="Arial" w:cs="Arial"/>
          <w:bCs/>
          <w:sz w:val="20"/>
          <w:szCs w:val="20"/>
        </w:rPr>
        <w:tab/>
      </w:r>
      <w:r>
        <w:rPr>
          <w:rFonts w:ascii="Arial" w:hAnsi="Arial" w:cs="Arial"/>
          <w:bCs/>
          <w:sz w:val="20"/>
          <w:szCs w:val="20"/>
        </w:rPr>
        <w:t xml:space="preserve"> 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R4-2316066 draftCR on IDLE mode requirements for eMTC over NTN 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R4-2316262 DraftCR on NB-IoT  Neighbor Cell Measurements in RRC_Connected (36.133)</w:t>
      </w:r>
      <w:r>
        <w:rPr>
          <w:rFonts w:ascii="Arial" w:hAnsi="Arial" w:cs="Arial"/>
          <w:bCs/>
          <w:sz w:val="20"/>
          <w:szCs w:val="20"/>
        </w:rPr>
        <w:tab/>
      </w:r>
      <w:r>
        <w:rPr>
          <w:rFonts w:ascii="Arial" w:hAnsi="Arial" w:cs="Arial"/>
          <w:bCs/>
          <w:sz w:val="20"/>
          <w:szCs w:val="20"/>
        </w:rPr>
        <w:t>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R4-2316263 DraftCR on eMTC Connected Mode Measurements (36.133) Nokia, Nokia Shanghai Bell</w:t>
      </w:r>
    </w:p>
    <w:p>
      <w:pPr>
        <w:rPr>
          <w:rFonts w:ascii="Arial" w:hAnsi="Arial" w:cs="Arial"/>
          <w:b/>
          <w:highlight w:val="lightGray"/>
          <w:lang w:eastAsia="en-US"/>
        </w:rPr>
      </w:pPr>
    </w:p>
    <w:p>
      <w:pPr>
        <w:overflowPunct/>
        <w:autoSpaceDE/>
        <w:autoSpaceDN/>
        <w:snapToGrid w:val="0"/>
        <w:spacing w:after="0"/>
        <w:rPr>
          <w:rFonts w:ascii="Arial" w:hAnsi="Arial" w:cs="Arial"/>
          <w:b/>
          <w:lang w:eastAsia="en-US"/>
        </w:rPr>
      </w:pPr>
      <w:r>
        <w:rPr>
          <w:rFonts w:ascii="Arial" w:hAnsi="Arial" w:cs="Arial"/>
          <w:b/>
          <w:lang w:eastAsia="en-US"/>
        </w:rPr>
        <w:t>RAN4#1</w:t>
      </w:r>
      <w:r>
        <w:rPr>
          <w:rFonts w:hint="eastAsia" w:ascii="Arial" w:hAnsi="Arial" w:cs="Arial"/>
          <w:b/>
          <w:lang w:eastAsia="en-US"/>
        </w:rPr>
        <w:t>09</w:t>
      </w:r>
      <w:r>
        <w:rPr>
          <w:rFonts w:ascii="Arial" w:hAnsi="Arial" w:cs="Arial"/>
          <w:b/>
          <w:lang w:eastAsia="en-US"/>
        </w:rPr>
        <w:t>, November 13th – November 17th, 2023, Chicago, USA</w:t>
      </w:r>
    </w:p>
    <w:p>
      <w:pPr>
        <w:tabs>
          <w:tab w:val="left" w:pos="567"/>
        </w:tabs>
        <w:snapToGrid w:val="0"/>
        <w:rPr>
          <w:rFonts w:ascii="Arial" w:hAnsi="Arial" w:cs="Arial"/>
          <w:bCs/>
          <w:u w:val="single"/>
        </w:rPr>
      </w:pPr>
      <w:r>
        <w:rPr>
          <w:rFonts w:ascii="Arial" w:hAnsi="Arial" w:cs="Arial"/>
          <w:bCs/>
          <w:u w:val="single"/>
        </w:rPr>
        <w:t>RRM</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R4-2321646 Big CR to TS 38.133 on RRM requirements for IoT NTN enhancements</w:t>
      </w:r>
      <w:r>
        <w:rPr>
          <w:rFonts w:hint="eastAsia" w:ascii="PMingLiU" w:hAnsi="PMingLiU" w:eastAsia="PMingLiU" w:cs="Arial"/>
          <w:bCs/>
          <w:sz w:val="20"/>
          <w:szCs w:val="20"/>
          <w:lang w:eastAsia="zh-TW"/>
        </w:rPr>
        <w:t xml:space="preserve"> </w:t>
      </w:r>
      <w:r>
        <w:rPr>
          <w:rFonts w:ascii="Arial" w:hAnsi="Arial" w:cs="Arial"/>
          <w:bCs/>
          <w:sz w:val="20"/>
          <w:szCs w:val="20"/>
        </w:rPr>
        <w:t>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R4-2321577 WF on R18 IoT NTN RRM requirements Moderator (MediaTek)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R4-2321339 Ad-hoc minutes on IoT_NTN_enh WI</w:t>
      </w:r>
      <w:r>
        <w:rPr>
          <w:rFonts w:hint="eastAsia" w:ascii="PMingLiU" w:hAnsi="PMingLiU" w:eastAsia="PMingLiU" w:cs="Arial"/>
          <w:bCs/>
          <w:sz w:val="20"/>
          <w:szCs w:val="20"/>
          <w:lang w:eastAsia="zh-TW"/>
        </w:rPr>
        <w:t xml:space="preserve"> </w:t>
      </w:r>
      <w:r>
        <w:rPr>
          <w:rFonts w:ascii="Arial" w:hAnsi="Arial" w:cs="Arial"/>
          <w:bCs/>
          <w:sz w:val="20"/>
          <w:szCs w:val="20"/>
        </w:rPr>
        <w:t>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R4-2318075 Work Plan on RRM performance part for IoT NTN enhancements</w:t>
      </w:r>
      <w:r>
        <w:rPr>
          <w:rFonts w:hint="eastAsia" w:ascii="PMingLiU" w:hAnsi="PMingLiU" w:eastAsia="PMingLiU" w:cs="Arial"/>
          <w:bCs/>
          <w:sz w:val="20"/>
          <w:szCs w:val="20"/>
          <w:lang w:eastAsia="zh-TW"/>
        </w:rPr>
        <w:t xml:space="preserve"> </w:t>
      </w:r>
      <w:r>
        <w:rPr>
          <w:rFonts w:ascii="Arial" w:hAnsi="Arial" w:cs="Arial"/>
          <w:bCs/>
          <w:sz w:val="20"/>
          <w:szCs w:val="20"/>
        </w:rPr>
        <w:t>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R4-2318191 Topic summary for [109][235] IoT_NTN_enh Moderator (MediaTek)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R4-2318073 </w:t>
      </w:r>
      <w:r>
        <w:rPr>
          <w:rFonts w:ascii="Arial" w:hAnsi="Arial" w:cs="Arial"/>
          <w:bCs/>
        </w:rPr>
        <w:t>Discussion on RRM core requirements for IoT NTN enhancement</w:t>
      </w:r>
      <w:r>
        <w:rPr>
          <w:rFonts w:hint="eastAsia" w:ascii="PMingLiU" w:hAnsi="PMingLiU" w:eastAsia="PMingLiU" w:cs="Arial"/>
          <w:bCs/>
          <w:lang w:eastAsia="zh-TW"/>
        </w:rPr>
        <w:t xml:space="preserve"> </w:t>
      </w:r>
      <w:r>
        <w:rPr>
          <w:rFonts w:ascii="Arial" w:hAnsi="Arial" w:cs="Arial"/>
          <w:bCs/>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R4-2318074 </w:t>
      </w:r>
      <w:r>
        <w:rPr>
          <w:rFonts w:ascii="Arial" w:hAnsi="Arial" w:cs="Arial"/>
          <w:bCs/>
        </w:rPr>
        <w:t>CR on cell re-selection requirement for IoT NTN enhancement for UE category NB-IoT</w:t>
      </w:r>
      <w:r>
        <w:rPr>
          <w:rFonts w:hint="eastAsia" w:ascii="PMingLiU" w:hAnsi="PMingLiU" w:eastAsia="PMingLiU" w:cs="Arial"/>
          <w:bCs/>
          <w:lang w:eastAsia="zh-TW"/>
        </w:rPr>
        <w:t xml:space="preserve"> </w:t>
      </w:r>
      <w:r>
        <w:rPr>
          <w:rFonts w:ascii="Arial" w:hAnsi="Arial" w:cs="Arial"/>
          <w:bCs/>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R4-2318912 </w:t>
      </w:r>
      <w:r>
        <w:rPr>
          <w:rFonts w:ascii="Arial" w:hAnsi="Arial" w:cs="Arial"/>
          <w:bCs/>
        </w:rPr>
        <w:t>Discussion on RRM core requirements for IOT NTN enhancement</w:t>
      </w:r>
      <w:r>
        <w:rPr>
          <w:rFonts w:ascii="Arial" w:hAnsi="Arial" w:cs="Arial"/>
          <w:bCs/>
        </w:rPr>
        <w:tab/>
      </w:r>
      <w:r>
        <w:rPr>
          <w:rFonts w:ascii="Arial" w:hAnsi="Arial" w:cs="Arial"/>
          <w:bCs/>
        </w:rPr>
        <w:t>CMCC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R4-2318913 </w:t>
      </w:r>
      <w:r>
        <w:rPr>
          <w:rFonts w:ascii="Arial" w:hAnsi="Arial" w:cs="Arial"/>
          <w:bCs/>
        </w:rPr>
        <w:t>Draft CR to TS 36.133: Conditional HO for Cat-M1 for IOT-NTN</w:t>
      </w:r>
      <w:r>
        <w:rPr>
          <w:rFonts w:ascii="Arial" w:hAnsi="Arial" w:cs="Arial"/>
          <w:bCs/>
        </w:rPr>
        <w:tab/>
      </w:r>
      <w:r>
        <w:rPr>
          <w:rFonts w:ascii="Arial" w:hAnsi="Arial" w:cs="Arial"/>
          <w:bCs/>
        </w:rPr>
        <w:t>CMCC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R4-2319352 </w:t>
      </w:r>
      <w:r>
        <w:rPr>
          <w:rFonts w:ascii="Arial" w:hAnsi="Arial" w:cs="Arial"/>
          <w:bCs/>
        </w:rPr>
        <w:t>Discussion on RRM requirements for IoT NTN enhancement</w:t>
      </w:r>
      <w:r>
        <w:rPr>
          <w:rFonts w:ascii="Arial" w:hAnsi="Arial" w:cs="Arial"/>
          <w:bCs/>
        </w:rPr>
        <w:tab/>
      </w:r>
      <w:r>
        <w:rPr>
          <w:rFonts w:ascii="Arial" w:hAnsi="Arial" w:cs="Arial"/>
          <w:bCs/>
        </w:rPr>
        <w:t>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R4-2319353 </w:t>
      </w:r>
      <w:r>
        <w:rPr>
          <w:rFonts w:ascii="Arial" w:hAnsi="Arial" w:cs="Arial"/>
          <w:bCs/>
        </w:rPr>
        <w:t>Draft CR on RRM impact of GNSS re-acquisition for NB-IoT</w:t>
      </w:r>
      <w:r>
        <w:rPr>
          <w:rFonts w:ascii="Arial" w:hAnsi="Arial" w:cs="Arial"/>
          <w:bCs/>
        </w:rPr>
        <w:tab/>
      </w:r>
      <w:r>
        <w:rPr>
          <w:rFonts w:ascii="Arial" w:hAnsi="Arial" w:cs="Arial"/>
          <w:bCs/>
        </w:rPr>
        <w:t>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R4-2320015 </w:t>
      </w:r>
      <w:r>
        <w:rPr>
          <w:rFonts w:ascii="Arial" w:hAnsi="Arial" w:cs="Arial"/>
          <w:bCs/>
        </w:rPr>
        <w:t>draftCR on IDLE mode requirements for eMTC over NTN</w:t>
      </w:r>
      <w:r>
        <w:rPr>
          <w:rFonts w:ascii="Arial" w:hAnsi="Arial" w:cs="Arial"/>
          <w:bCs/>
        </w:rPr>
        <w:tab/>
      </w:r>
      <w:r>
        <w:rPr>
          <w:rFonts w:ascii="Arial" w:hAnsi="Arial" w:cs="Arial"/>
          <w:bCs/>
        </w:rPr>
        <w:t>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R4-2320140 </w:t>
      </w:r>
      <w:r>
        <w:rPr>
          <w:rFonts w:ascii="Arial" w:hAnsi="Arial" w:cs="Arial"/>
          <w:bCs/>
        </w:rPr>
        <w:t>Discussions on RRM requirements for IoT NTN enhancements</w:t>
      </w:r>
      <w:r>
        <w:rPr>
          <w:rFonts w:ascii="Arial" w:hAnsi="Arial" w:cs="Arial"/>
          <w:bCs/>
        </w:rPr>
        <w:tab/>
      </w:r>
      <w:r>
        <w:rPr>
          <w:rFonts w:ascii="Arial" w:hAnsi="Arial" w:cs="Arial"/>
          <w:bCs/>
        </w:rPr>
        <w:t>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R4-2320141 </w:t>
      </w:r>
      <w:r>
        <w:rPr>
          <w:rFonts w:ascii="Arial" w:hAnsi="Arial" w:cs="Arial"/>
          <w:bCs/>
        </w:rPr>
        <w:t>IoT NTN RRM requirements during GNSS reacquisition</w:t>
      </w:r>
      <w:r>
        <w:rPr>
          <w:rFonts w:ascii="Arial" w:hAnsi="Arial" w:cs="Arial"/>
          <w:bCs/>
        </w:rPr>
        <w:tab/>
      </w:r>
      <w:r>
        <w:rPr>
          <w:rFonts w:ascii="Arial" w:hAnsi="Arial" w:cs="Arial"/>
          <w:bCs/>
        </w:rPr>
        <w:t>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R4-2320142 </w:t>
      </w:r>
      <w:r>
        <w:rPr>
          <w:rFonts w:ascii="Arial" w:hAnsi="Arial" w:cs="Arial"/>
          <w:bCs/>
        </w:rPr>
        <w:t>IoT NTN RRC re-establishment requirements during discontinuous coverage</w:t>
      </w:r>
      <w:r>
        <w:rPr>
          <w:rFonts w:hint="eastAsia" w:ascii="PMingLiU" w:hAnsi="PMingLiU" w:eastAsia="PMingLiU" w:cs="Arial"/>
          <w:bCs/>
          <w:lang w:eastAsia="zh-TW"/>
        </w:rPr>
        <w:t xml:space="preserve"> </w:t>
      </w:r>
      <w:r>
        <w:rPr>
          <w:rFonts w:ascii="Arial" w:hAnsi="Arial" w:cs="Arial"/>
          <w:bCs/>
        </w:rPr>
        <w:t>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R4-2320741 </w:t>
      </w:r>
      <w:r>
        <w:rPr>
          <w:rFonts w:ascii="Arial" w:hAnsi="Arial" w:cs="Arial"/>
          <w:bCs/>
        </w:rPr>
        <w:t>Discussion on open issues for IoT NTN enh</w:t>
      </w:r>
      <w:r>
        <w:rPr>
          <w:rFonts w:ascii="Arial" w:hAnsi="Arial" w:cs="Arial"/>
          <w:bCs/>
        </w:rPr>
        <w:tab/>
      </w:r>
      <w:r>
        <w:rPr>
          <w:rFonts w:ascii="Arial" w:hAnsi="Arial" w:cs="Arial"/>
          <w:bCs/>
        </w:rPr>
        <w:t>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R4-2320742 </w:t>
      </w:r>
      <w:r>
        <w:rPr>
          <w:rFonts w:ascii="Arial" w:hAnsi="Arial" w:cs="Arial"/>
          <w:bCs/>
        </w:rPr>
        <w:t>DraftCR to 36.133 on Connected Mode Mobility for IoT NTN</w:t>
      </w:r>
      <w:r>
        <w:rPr>
          <w:rFonts w:ascii="Arial" w:hAnsi="Arial" w:cs="Arial"/>
          <w:bCs/>
        </w:rPr>
        <w:tab/>
      </w:r>
      <w:r>
        <w:rPr>
          <w:rFonts w:ascii="Arial" w:hAnsi="Arial" w:cs="Arial"/>
          <w:bCs/>
        </w:rPr>
        <w:t>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R4-2320743 </w:t>
      </w:r>
      <w:r>
        <w:rPr>
          <w:rFonts w:ascii="Arial" w:hAnsi="Arial" w:cs="Arial"/>
          <w:bCs/>
        </w:rPr>
        <w:t>DraftCR to 36.133 on Connected Mode Mobility for Emtc NTN</w:t>
      </w:r>
      <w:r>
        <w:rPr>
          <w:rFonts w:ascii="Arial" w:hAnsi="Arial" w:cs="Arial"/>
          <w:bCs/>
        </w:rPr>
        <w:tab/>
      </w:r>
      <w:r>
        <w:rPr>
          <w:rFonts w:ascii="Arial" w:hAnsi="Arial" w:cs="Arial"/>
          <w:bCs/>
        </w:rPr>
        <w:t>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R4-2318075 </w:t>
      </w:r>
      <w:r>
        <w:rPr>
          <w:rFonts w:ascii="Arial" w:hAnsi="Arial" w:cs="Arial"/>
          <w:bCs/>
        </w:rPr>
        <w:t>Work Plan on RRM performance part for IoT NTN enhancements</w:t>
      </w:r>
      <w:r>
        <w:rPr>
          <w:rFonts w:ascii="Arial" w:hAnsi="Arial" w:cs="Arial"/>
          <w:bCs/>
        </w:rPr>
        <w:tab/>
      </w:r>
      <w:r>
        <w:rPr>
          <w:rFonts w:ascii="Arial" w:hAnsi="Arial" w:cs="Arial"/>
          <w:bCs/>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R4-2318076 </w:t>
      </w:r>
      <w:r>
        <w:rPr>
          <w:rFonts w:ascii="Arial" w:hAnsi="Arial" w:cs="Arial"/>
          <w:bCs/>
        </w:rPr>
        <w:t>Discussion on RRM performance requirements for IoT NTN enhancement</w:t>
      </w:r>
      <w:r>
        <w:rPr>
          <w:rFonts w:ascii="Arial" w:hAnsi="Arial" w:cs="Arial"/>
          <w:bCs/>
        </w:rPr>
        <w:tab/>
      </w:r>
      <w:r>
        <w:rPr>
          <w:rFonts w:ascii="Arial" w:hAnsi="Arial" w:cs="Arial"/>
          <w:bCs/>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R4-2319354 </w:t>
      </w:r>
      <w:r>
        <w:rPr>
          <w:rFonts w:ascii="Arial" w:hAnsi="Arial" w:cs="Arial"/>
          <w:bCs/>
        </w:rPr>
        <w:t>Discussion on performance requirements for IoT NTN enhancement</w:t>
      </w:r>
      <w:r>
        <w:rPr>
          <w:rFonts w:ascii="Arial" w:hAnsi="Arial" w:cs="Arial"/>
          <w:bCs/>
        </w:rPr>
        <w:tab/>
      </w:r>
      <w:r>
        <w:rPr>
          <w:rFonts w:ascii="Arial" w:hAnsi="Arial" w:cs="Arial"/>
          <w:bCs/>
        </w:rPr>
        <w:t>Huawei, HiSilicon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R4-2320143 </w:t>
      </w:r>
      <w:r>
        <w:rPr>
          <w:rFonts w:ascii="Arial" w:hAnsi="Arial" w:cs="Arial"/>
          <w:bCs/>
        </w:rPr>
        <w:t>Discussions on RRM performance requirements for IoT NTN enhancements</w:t>
      </w:r>
      <w:r>
        <w:rPr>
          <w:rFonts w:ascii="Arial" w:hAnsi="Arial" w:cs="Arial"/>
          <w:bCs/>
        </w:rPr>
        <w:tab/>
      </w:r>
      <w:r>
        <w:rPr>
          <w:rFonts w:ascii="Arial" w:hAnsi="Arial" w:cs="Arial"/>
          <w:bCs/>
        </w:rPr>
        <w:t>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 xml:space="preserve">R4-2320744 </w:t>
      </w:r>
      <w:r>
        <w:rPr>
          <w:rFonts w:ascii="Arial" w:hAnsi="Arial" w:cs="Arial"/>
          <w:bCs/>
        </w:rPr>
        <w:t>Performance Considerations for IoT NTN enhancements</w:t>
      </w:r>
      <w:r>
        <w:rPr>
          <w:rFonts w:ascii="Arial" w:hAnsi="Arial" w:cs="Arial"/>
          <w:bCs/>
        </w:rPr>
        <w:tab/>
      </w:r>
      <w:r>
        <w:rPr>
          <w:rFonts w:ascii="Arial" w:hAnsi="Arial" w:cs="Arial"/>
          <w:bCs/>
        </w:rPr>
        <w:t>Nokia, Nokia Shanghai Bell</w:t>
      </w:r>
    </w:p>
    <w:p>
      <w:pPr>
        <w:rPr>
          <w:rFonts w:ascii="Arial" w:hAnsi="Arial" w:cs="Arial"/>
          <w:b/>
          <w:highlight w:val="lightGray"/>
          <w:lang w:val="en-US" w:eastAsia="en-US"/>
        </w:rPr>
      </w:pPr>
    </w:p>
    <w:p>
      <w:pPr>
        <w:tabs>
          <w:tab w:val="left" w:pos="567"/>
        </w:tabs>
        <w:snapToGrid w:val="0"/>
        <w:rPr>
          <w:rFonts w:ascii="Arial" w:hAnsi="Arial" w:cs="Arial"/>
          <w:bCs/>
          <w:u w:val="single"/>
        </w:rPr>
      </w:pPr>
      <w:r>
        <w:rPr>
          <w:rFonts w:hint="eastAsia" w:ascii="Arial" w:hAnsi="Arial" w:cs="Arial"/>
          <w:bCs/>
          <w:u w:val="single"/>
        </w:rPr>
        <w:t>De</w:t>
      </w:r>
      <w:r>
        <w:rPr>
          <w:rFonts w:ascii="Arial" w:hAnsi="Arial" w:cs="Arial"/>
          <w:bCs/>
          <w:u w:val="single"/>
        </w:rPr>
        <w:t>mod</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R4-2321145 WF on [109][332] IoT_NTN_Demod Moderator (MediaTek)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R4-2318224 Topic summary for [109][332] IoT_NTN_Demod Moderator (MediaTek)</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R4-2318232 Discussion on IoT NTN</w:t>
      </w:r>
      <w:r>
        <w:rPr>
          <w:rFonts w:ascii="Arial" w:hAnsi="Arial" w:cs="Arial"/>
          <w:bCs/>
          <w:sz w:val="20"/>
          <w:szCs w:val="20"/>
        </w:rPr>
        <w:tab/>
      </w:r>
      <w:r>
        <w:rPr>
          <w:rFonts w:ascii="Arial" w:hAnsi="Arial" w:cs="Arial"/>
          <w:bCs/>
          <w:sz w:val="20"/>
          <w:szCs w:val="20"/>
        </w:rPr>
        <w:t>Nokia, Nokia Shanghai Bell</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R4-2318666 Workplan on demodulation requirements for IoT-NTN enhancement</w:t>
      </w:r>
      <w:r>
        <w:rPr>
          <w:rFonts w:ascii="Arial" w:hAnsi="Arial" w:cs="Arial"/>
          <w:bCs/>
          <w:sz w:val="20"/>
          <w:szCs w:val="20"/>
        </w:rPr>
        <w:tab/>
      </w:r>
      <w:r>
        <w:rPr>
          <w:rFonts w:ascii="Arial" w:hAnsi="Arial" w:cs="Arial"/>
          <w:bCs/>
          <w:sz w:val="20"/>
          <w:szCs w:val="20"/>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R4-2318667 Discussion on UE requirements for IoT-NTN enhancement</w:t>
      </w:r>
      <w:r>
        <w:rPr>
          <w:rFonts w:ascii="Arial" w:hAnsi="Arial" w:cs="Arial"/>
          <w:bCs/>
          <w:sz w:val="20"/>
          <w:szCs w:val="20"/>
        </w:rPr>
        <w:tab/>
      </w:r>
      <w:r>
        <w:rPr>
          <w:rFonts w:ascii="Arial" w:hAnsi="Arial" w:cs="Arial"/>
          <w:bCs/>
          <w:sz w:val="20"/>
          <w:szCs w:val="20"/>
        </w:rPr>
        <w:t>MediaTek inc.</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R4-2318734 Discussion on the performance requirements for IoT NTN enhancements</w:t>
      </w:r>
      <w:r>
        <w:rPr>
          <w:rFonts w:ascii="Arial" w:hAnsi="Arial" w:cs="Arial"/>
          <w:bCs/>
          <w:sz w:val="20"/>
          <w:szCs w:val="20"/>
        </w:rPr>
        <w:tab/>
      </w:r>
      <w:r>
        <w:rPr>
          <w:rFonts w:ascii="Arial" w:hAnsi="Arial" w:cs="Arial"/>
          <w:bCs/>
          <w:sz w:val="20"/>
          <w:szCs w:val="20"/>
        </w:rPr>
        <w:t>Qualcomm India Pvt Ltd</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R4-2319749 Discussion on demodulation requirements for IoT-NTN enhancements</w:t>
      </w:r>
      <w:r>
        <w:rPr>
          <w:rFonts w:ascii="Arial" w:hAnsi="Arial" w:cs="Arial"/>
          <w:bCs/>
          <w:sz w:val="20"/>
          <w:szCs w:val="20"/>
        </w:rPr>
        <w:tab/>
      </w:r>
      <w:r>
        <w:rPr>
          <w:rFonts w:ascii="Arial" w:hAnsi="Arial" w:cs="Arial"/>
          <w:bCs/>
          <w:sz w:val="20"/>
          <w:szCs w:val="20"/>
        </w:rPr>
        <w:t>Ericsson</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R4-2319847 View on SAN demodulation requirement for Rel-18 IoT over NTN</w:t>
      </w:r>
      <w:r>
        <w:rPr>
          <w:rFonts w:ascii="Arial" w:hAnsi="Arial" w:cs="Arial"/>
          <w:bCs/>
          <w:sz w:val="20"/>
          <w:szCs w:val="20"/>
        </w:rPr>
        <w:tab/>
      </w:r>
      <w:r>
        <w:rPr>
          <w:rFonts w:ascii="Arial" w:hAnsi="Arial" w:cs="Arial"/>
          <w:bCs/>
          <w:sz w:val="20"/>
          <w:szCs w:val="20"/>
        </w:rPr>
        <w:t>Samsung</w:t>
      </w:r>
    </w:p>
    <w:p>
      <w:pPr>
        <w:pStyle w:val="132"/>
        <w:numPr>
          <w:ilvl w:val="0"/>
          <w:numId w:val="63"/>
        </w:numPr>
        <w:tabs>
          <w:tab w:val="left" w:pos="567"/>
        </w:tabs>
        <w:snapToGrid w:val="0"/>
        <w:ind w:leftChars="0"/>
        <w:rPr>
          <w:rFonts w:ascii="Arial" w:hAnsi="Arial" w:cs="Arial"/>
          <w:bCs/>
          <w:sz w:val="20"/>
          <w:szCs w:val="20"/>
        </w:rPr>
      </w:pPr>
      <w:r>
        <w:rPr>
          <w:rFonts w:ascii="Arial" w:hAnsi="Arial" w:cs="Arial"/>
          <w:bCs/>
          <w:sz w:val="20"/>
          <w:szCs w:val="20"/>
        </w:rPr>
        <w:t>R4-2320229</w:t>
      </w:r>
      <w:r>
        <w:rPr>
          <w:rFonts w:hint="eastAsia" w:ascii="PMingLiU" w:hAnsi="PMingLiU" w:eastAsia="PMingLiU" w:cs="Arial"/>
          <w:bCs/>
          <w:sz w:val="20"/>
          <w:szCs w:val="20"/>
          <w:lang w:eastAsia="zh-TW"/>
        </w:rPr>
        <w:t xml:space="preserve"> </w:t>
      </w:r>
      <w:r>
        <w:rPr>
          <w:rFonts w:ascii="Arial" w:hAnsi="Arial" w:cs="Arial"/>
          <w:bCs/>
          <w:sz w:val="20"/>
          <w:szCs w:val="20"/>
        </w:rPr>
        <w:t>Discussion on demodulation performance requirements for IoT NTN enhancement</w:t>
      </w:r>
      <w:r>
        <w:rPr>
          <w:rFonts w:ascii="Arial" w:hAnsi="Arial" w:cs="Arial"/>
          <w:bCs/>
          <w:sz w:val="20"/>
          <w:szCs w:val="20"/>
        </w:rPr>
        <w:tab/>
      </w:r>
      <w:r>
        <w:rPr>
          <w:rFonts w:ascii="Arial" w:hAnsi="Arial" w:cs="Arial"/>
          <w:bCs/>
          <w:sz w:val="20"/>
          <w:szCs w:val="20"/>
        </w:rPr>
        <w:t>Huawei,HiSilicon</w:t>
      </w:r>
    </w:p>
    <w:p>
      <w:pPr>
        <w:pStyle w:val="2"/>
        <w:rPr>
          <w:lang w:eastAsia="ja-JP"/>
        </w:rPr>
      </w:pPr>
      <w:r>
        <w:rPr>
          <w:lang w:eastAsia="ja-JP"/>
        </w:rPr>
        <w:t>5</w:t>
      </w:r>
      <w:r>
        <w:rPr>
          <w:lang w:eastAsia="ja-JP"/>
        </w:rPr>
        <w:tab/>
      </w:r>
      <w:r>
        <w:rPr>
          <w:lang w:eastAsia="ja-JP"/>
        </w:rPr>
        <w:t>Others</w:t>
      </w:r>
    </w:p>
    <w:p>
      <w:pPr>
        <w:tabs>
          <w:tab w:val="left" w:pos="567"/>
        </w:tabs>
        <w:snapToGrid w:val="0"/>
        <w:rPr>
          <w:rFonts w:ascii="Arial" w:hAnsi="Arial" w:cs="Arial"/>
          <w:bCs/>
        </w:rPr>
      </w:pPr>
    </w:p>
    <w:p>
      <w:pPr>
        <w:tabs>
          <w:tab w:val="left" w:pos="567"/>
        </w:tabs>
        <w:snapToGrid w:val="0"/>
        <w:rPr>
          <w:rFonts w:ascii="Arial" w:hAnsi="Arial" w:cs="Arial"/>
          <w:bCs/>
        </w:rPr>
      </w:pPr>
    </w:p>
    <w:p>
      <w:pPr>
        <w:tabs>
          <w:tab w:val="left" w:pos="567"/>
        </w:tabs>
        <w:snapToGrid w:val="0"/>
        <w:jc w:val="center"/>
        <w:rPr>
          <w:rFonts w:ascii="Arial" w:hAnsi="Arial" w:cs="Arial"/>
          <w:b/>
          <w:bCs/>
          <w:i/>
          <w:sz w:val="32"/>
        </w:rPr>
      </w:pPr>
      <w:r>
        <w:rPr>
          <w:rFonts w:ascii="Arial" w:hAnsi="Arial" w:cs="Arial"/>
          <w:b/>
          <w:bCs/>
          <w:i/>
          <w:sz w:val="32"/>
        </w:rPr>
        <w:t>END</w:t>
      </w:r>
    </w:p>
    <w:sectPr>
      <w:footerReference r:id="rId5" w:type="default"/>
      <w:pgSz w:w="11906" w:h="16838"/>
      <w:pgMar w:top="851" w:right="851" w:bottom="851" w:left="85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rStyle w:val="55"/>
      </w:rPr>
      <w:fldChar w:fldCharType="begin"/>
    </w:r>
    <w:r>
      <w:rPr>
        <w:rStyle w:val="55"/>
      </w:rPr>
      <w:instrText xml:space="preserve"> PAGE </w:instrText>
    </w:r>
    <w:r>
      <w:rPr>
        <w:rStyle w:val="55"/>
      </w:rPr>
      <w:fldChar w:fldCharType="separate"/>
    </w:r>
    <w:r>
      <w:rPr>
        <w:rStyle w:val="55"/>
      </w:rPr>
      <w:t>1</w:t>
    </w:r>
    <w:r>
      <w:rPr>
        <w:rStyle w:val="55"/>
      </w:rPr>
      <w:fldChar w:fldCharType="end"/>
    </w:r>
    <w:r>
      <w:rPr>
        <w:rStyle w:val="55"/>
      </w:rPr>
      <w:t xml:space="preserve"> / </w:t>
    </w:r>
    <w:r>
      <w:rPr>
        <w:rStyle w:val="55"/>
      </w:rPr>
      <w:fldChar w:fldCharType="begin"/>
    </w:r>
    <w:r>
      <w:rPr>
        <w:rStyle w:val="55"/>
      </w:rPr>
      <w:instrText xml:space="preserve"> NUMPAGES </w:instrText>
    </w:r>
    <w:r>
      <w:rPr>
        <w:rStyle w:val="55"/>
      </w:rPr>
      <w:fldChar w:fldCharType="separate"/>
    </w:r>
    <w:r>
      <w:rPr>
        <w:rStyle w:val="55"/>
      </w:rPr>
      <w:t>19</w:t>
    </w:r>
    <w:r>
      <w:rPr>
        <w:rStyle w:val="5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8529E"/>
    <w:multiLevelType w:val="multilevel"/>
    <w:tmpl w:val="00F852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12B70F1"/>
    <w:multiLevelType w:val="multilevel"/>
    <w:tmpl w:val="012B70F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C0548A"/>
    <w:multiLevelType w:val="multilevel"/>
    <w:tmpl w:val="01C0548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03AF0888"/>
    <w:multiLevelType w:val="multilevel"/>
    <w:tmpl w:val="03AF08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FF29DC"/>
    <w:multiLevelType w:val="multilevel"/>
    <w:tmpl w:val="05FF29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6F21A7D"/>
    <w:multiLevelType w:val="multilevel"/>
    <w:tmpl w:val="06F21A7D"/>
    <w:lvl w:ilvl="0" w:tentative="0">
      <w:start w:val="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E032BCA"/>
    <w:multiLevelType w:val="multilevel"/>
    <w:tmpl w:val="0E032B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F752FE2"/>
    <w:multiLevelType w:val="multilevel"/>
    <w:tmpl w:val="0F752F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F7704BA"/>
    <w:multiLevelType w:val="multilevel"/>
    <w:tmpl w:val="0F7704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0955B0A"/>
    <w:multiLevelType w:val="multilevel"/>
    <w:tmpl w:val="10955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19B2872"/>
    <w:multiLevelType w:val="multilevel"/>
    <w:tmpl w:val="119B28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DF1CA4"/>
    <w:multiLevelType w:val="multilevel"/>
    <w:tmpl w:val="12DF1C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3D32788"/>
    <w:multiLevelType w:val="multilevel"/>
    <w:tmpl w:val="13D3278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81F23F2"/>
    <w:multiLevelType w:val="multilevel"/>
    <w:tmpl w:val="181F23F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CF17810"/>
    <w:multiLevelType w:val="multilevel"/>
    <w:tmpl w:val="1CF1781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1E7400B4"/>
    <w:multiLevelType w:val="multilevel"/>
    <w:tmpl w:val="1E7400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09F3D73"/>
    <w:multiLevelType w:val="multilevel"/>
    <w:tmpl w:val="209F3D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7581F2A"/>
    <w:multiLevelType w:val="multilevel"/>
    <w:tmpl w:val="27581F2A"/>
    <w:lvl w:ilvl="0" w:tentative="0">
      <w:start w:val="0"/>
      <w:numFmt w:val="bullet"/>
      <w:lvlText w:val="-"/>
      <w:lvlJc w:val="left"/>
      <w:pPr>
        <w:ind w:left="924" w:hanging="360"/>
      </w:pPr>
      <w:rPr>
        <w:rFonts w:hint="default" w:ascii="Arial" w:hAnsi="Arial" w:eastAsia="MS Mincho" w:cs="Arial"/>
      </w:rPr>
    </w:lvl>
    <w:lvl w:ilvl="1" w:tentative="0">
      <w:start w:val="1"/>
      <w:numFmt w:val="bullet"/>
      <w:lvlText w:val="o"/>
      <w:lvlJc w:val="left"/>
      <w:pPr>
        <w:ind w:left="1644" w:hanging="360"/>
      </w:pPr>
      <w:rPr>
        <w:rFonts w:hint="default" w:ascii="Courier New" w:hAnsi="Courier New" w:cs="Courier New"/>
      </w:rPr>
    </w:lvl>
    <w:lvl w:ilvl="2" w:tentative="0">
      <w:start w:val="1"/>
      <w:numFmt w:val="bullet"/>
      <w:lvlText w:val=""/>
      <w:lvlJc w:val="left"/>
      <w:pPr>
        <w:ind w:left="2364" w:hanging="360"/>
      </w:pPr>
      <w:rPr>
        <w:rFonts w:hint="default" w:ascii="Wingdings" w:hAnsi="Wingdings"/>
      </w:rPr>
    </w:lvl>
    <w:lvl w:ilvl="3" w:tentative="0">
      <w:start w:val="1"/>
      <w:numFmt w:val="bullet"/>
      <w:lvlText w:val=""/>
      <w:lvlJc w:val="left"/>
      <w:pPr>
        <w:ind w:left="3084" w:hanging="360"/>
      </w:pPr>
      <w:rPr>
        <w:rFonts w:hint="default" w:ascii="Symbol" w:hAnsi="Symbol"/>
      </w:rPr>
    </w:lvl>
    <w:lvl w:ilvl="4" w:tentative="0">
      <w:start w:val="1"/>
      <w:numFmt w:val="bullet"/>
      <w:lvlText w:val="o"/>
      <w:lvlJc w:val="left"/>
      <w:pPr>
        <w:ind w:left="3804" w:hanging="360"/>
      </w:pPr>
      <w:rPr>
        <w:rFonts w:hint="default" w:ascii="Courier New" w:hAnsi="Courier New" w:cs="Courier New"/>
      </w:rPr>
    </w:lvl>
    <w:lvl w:ilvl="5" w:tentative="0">
      <w:start w:val="1"/>
      <w:numFmt w:val="bullet"/>
      <w:lvlText w:val=""/>
      <w:lvlJc w:val="left"/>
      <w:pPr>
        <w:ind w:left="4524" w:hanging="360"/>
      </w:pPr>
      <w:rPr>
        <w:rFonts w:hint="default" w:ascii="Wingdings" w:hAnsi="Wingdings"/>
      </w:rPr>
    </w:lvl>
    <w:lvl w:ilvl="6" w:tentative="0">
      <w:start w:val="1"/>
      <w:numFmt w:val="bullet"/>
      <w:lvlText w:val=""/>
      <w:lvlJc w:val="left"/>
      <w:pPr>
        <w:ind w:left="5244" w:hanging="360"/>
      </w:pPr>
      <w:rPr>
        <w:rFonts w:hint="default" w:ascii="Symbol" w:hAnsi="Symbol"/>
      </w:rPr>
    </w:lvl>
    <w:lvl w:ilvl="7" w:tentative="0">
      <w:start w:val="1"/>
      <w:numFmt w:val="bullet"/>
      <w:lvlText w:val="o"/>
      <w:lvlJc w:val="left"/>
      <w:pPr>
        <w:ind w:left="5964" w:hanging="360"/>
      </w:pPr>
      <w:rPr>
        <w:rFonts w:hint="default" w:ascii="Courier New" w:hAnsi="Courier New" w:cs="Courier New"/>
      </w:rPr>
    </w:lvl>
    <w:lvl w:ilvl="8" w:tentative="0">
      <w:start w:val="1"/>
      <w:numFmt w:val="bullet"/>
      <w:lvlText w:val=""/>
      <w:lvlJc w:val="left"/>
      <w:pPr>
        <w:ind w:left="6684" w:hanging="360"/>
      </w:pPr>
      <w:rPr>
        <w:rFonts w:hint="default" w:ascii="Wingdings" w:hAnsi="Wingdings"/>
      </w:rPr>
    </w:lvl>
  </w:abstractNum>
  <w:abstractNum w:abstractNumId="18">
    <w:nsid w:val="2AD84D76"/>
    <w:multiLevelType w:val="multilevel"/>
    <w:tmpl w:val="2AD84D76"/>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640" w:hanging="560"/>
      </w:pPr>
      <w:rPr>
        <w:rFonts w:hint="default" w:ascii="Arial" w:hAnsi="Arial" w:eastAsia="Times New Roman" w:cs="Aria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E6641CC"/>
    <w:multiLevelType w:val="multilevel"/>
    <w:tmpl w:val="2E6641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F1042F7"/>
    <w:multiLevelType w:val="multilevel"/>
    <w:tmpl w:val="2F1042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78241A"/>
    <w:multiLevelType w:val="multilevel"/>
    <w:tmpl w:val="307824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11374BA"/>
    <w:multiLevelType w:val="multilevel"/>
    <w:tmpl w:val="311374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311947EF"/>
    <w:multiLevelType w:val="multilevel"/>
    <w:tmpl w:val="311947E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4">
    <w:nsid w:val="34473D34"/>
    <w:multiLevelType w:val="multilevel"/>
    <w:tmpl w:val="34473D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4D5045A"/>
    <w:multiLevelType w:val="singleLevel"/>
    <w:tmpl w:val="34D5045A"/>
    <w:lvl w:ilvl="0" w:tentative="0">
      <w:start w:val="1"/>
      <w:numFmt w:val="bullet"/>
      <w:pStyle w:val="100"/>
      <w:lvlText w:val=""/>
      <w:lvlJc w:val="left"/>
      <w:pPr>
        <w:tabs>
          <w:tab w:val="left" w:pos="360"/>
        </w:tabs>
        <w:ind w:left="340" w:hanging="340"/>
      </w:pPr>
      <w:rPr>
        <w:rFonts w:hint="default" w:ascii="Symbol" w:hAnsi="Symbol" w:eastAsia="Times New Roman"/>
        <w:color w:val="auto"/>
      </w:rPr>
    </w:lvl>
  </w:abstractNum>
  <w:abstractNum w:abstractNumId="26">
    <w:nsid w:val="37B430C7"/>
    <w:multiLevelType w:val="multilevel"/>
    <w:tmpl w:val="37B430C7"/>
    <w:lvl w:ilvl="0" w:tentative="0">
      <w:start w:val="0"/>
      <w:numFmt w:val="bullet"/>
      <w:lvlText w:val="-"/>
      <w:lvlJc w:val="left"/>
      <w:pPr>
        <w:ind w:left="420" w:hanging="420"/>
      </w:pPr>
      <w:rPr>
        <w:rFonts w:hint="default" w:ascii="Times" w:hAnsi="Times" w:eastAsia="Batang" w:cs="Times"/>
      </w:rPr>
    </w:lvl>
    <w:lvl w:ilvl="1" w:tentative="0">
      <w:start w:val="8"/>
      <w:numFmt w:val="bullet"/>
      <w:lvlText w:val="-"/>
      <w:lvlJc w:val="left"/>
      <w:pPr>
        <w:ind w:left="1129" w:hanging="420"/>
      </w:pPr>
      <w:rPr>
        <w:rFonts w:hint="default" w:ascii="Times New Roman" w:hAnsi="Times New Roman" w:eastAsia="宋体"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381241AE"/>
    <w:multiLevelType w:val="multilevel"/>
    <w:tmpl w:val="381241A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3AA46647"/>
    <w:multiLevelType w:val="multilevel"/>
    <w:tmpl w:val="3AA46647"/>
    <w:lvl w:ilvl="0" w:tentative="0">
      <w:start w:val="1"/>
      <w:numFmt w:val="decimal"/>
      <w:pStyle w:val="159"/>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B5B520B"/>
    <w:multiLevelType w:val="multilevel"/>
    <w:tmpl w:val="3B5B520B"/>
    <w:lvl w:ilvl="0" w:tentative="0">
      <w:start w:val="2"/>
      <w:numFmt w:val="decimal"/>
      <w:lvlText w:val="%1"/>
      <w:lvlJc w:val="left"/>
      <w:pPr>
        <w:ind w:left="525" w:hanging="525"/>
      </w:pPr>
      <w:rPr>
        <w:rFonts w:hint="default"/>
      </w:rPr>
    </w:lvl>
    <w:lvl w:ilvl="1" w:tentative="0">
      <w:start w:val="1"/>
      <w:numFmt w:val="decimal"/>
      <w:lvlText w:val="%1.%2"/>
      <w:lvlJc w:val="left"/>
      <w:pPr>
        <w:ind w:left="525" w:hanging="525"/>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30">
    <w:nsid w:val="3BCA698B"/>
    <w:multiLevelType w:val="multilevel"/>
    <w:tmpl w:val="3BCA69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C901B8D"/>
    <w:multiLevelType w:val="multilevel"/>
    <w:tmpl w:val="3C901B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40B359BC"/>
    <w:multiLevelType w:val="multilevel"/>
    <w:tmpl w:val="40B359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0E25D8F"/>
    <w:multiLevelType w:val="multilevel"/>
    <w:tmpl w:val="40E25D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41481771"/>
    <w:multiLevelType w:val="multilevel"/>
    <w:tmpl w:val="4148177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780" w:hanging="360"/>
      </w:pPr>
      <w:rPr>
        <w:rFonts w:hint="default" w:ascii="Arial" w:hAnsi="Arial"/>
      </w:rPr>
    </w:lvl>
    <w:lvl w:ilvl="2" w:tentative="0">
      <w:start w:val="1"/>
      <w:numFmt w:val="bullet"/>
      <w:lvlText w:val="•"/>
      <w:lvlJc w:val="left"/>
      <w:pPr>
        <w:ind w:left="1200" w:hanging="360"/>
      </w:pPr>
      <w:rPr>
        <w:rFonts w:hint="default" w:ascii="Arial" w:hAnsi="Arial"/>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44BF1972"/>
    <w:multiLevelType w:val="multilevel"/>
    <w:tmpl w:val="44BF19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C325623"/>
    <w:multiLevelType w:val="multilevel"/>
    <w:tmpl w:val="4C32562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8">
    <w:nsid w:val="51E03D7B"/>
    <w:multiLevelType w:val="multilevel"/>
    <w:tmpl w:val="51E03D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21F44A7"/>
    <w:multiLevelType w:val="multilevel"/>
    <w:tmpl w:val="521F44A7"/>
    <w:lvl w:ilvl="0" w:tentative="0">
      <w:start w:val="1"/>
      <w:numFmt w:val="bullet"/>
      <w:pStyle w:val="15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Symbol" w:hAnsi="Symbol"/>
      </w:rPr>
    </w:lvl>
    <w:lvl w:ilvl="3" w:tentative="0">
      <w:start w:val="1"/>
      <w:numFmt w:val="decimal"/>
      <w:lvlText w:val="%4)"/>
      <w:lvlJc w:val="left"/>
      <w:pPr>
        <w:ind w:left="3096" w:hanging="360"/>
      </w:pPr>
      <w:rPr>
        <w:rFonts w:hint="default"/>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41">
    <w:nsid w:val="5AC327E9"/>
    <w:multiLevelType w:val="multilevel"/>
    <w:tmpl w:val="5AC327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BBE5C3F"/>
    <w:multiLevelType w:val="multilevel"/>
    <w:tmpl w:val="5BBE5C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148505B"/>
    <w:multiLevelType w:val="multilevel"/>
    <w:tmpl w:val="6148505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4">
    <w:nsid w:val="61CE686E"/>
    <w:multiLevelType w:val="multilevel"/>
    <w:tmpl w:val="61CE68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4AE27F1"/>
    <w:multiLevelType w:val="singleLevel"/>
    <w:tmpl w:val="64AE27F1"/>
    <w:lvl w:ilvl="0" w:tentative="0">
      <w:start w:val="1"/>
      <w:numFmt w:val="bullet"/>
      <w:pStyle w:val="108"/>
      <w:lvlText w:val=""/>
      <w:lvlJc w:val="left"/>
      <w:pPr>
        <w:tabs>
          <w:tab w:val="left" w:pos="992"/>
        </w:tabs>
        <w:ind w:left="992" w:hanging="425"/>
      </w:pPr>
      <w:rPr>
        <w:rFonts w:hint="default" w:ascii="Symbol" w:hAnsi="Symbol" w:eastAsia="Times New Roman"/>
      </w:rPr>
    </w:lvl>
  </w:abstractNum>
  <w:abstractNum w:abstractNumId="46">
    <w:nsid w:val="68AF5623"/>
    <w:multiLevelType w:val="multilevel"/>
    <w:tmpl w:val="68AF56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BC71198"/>
    <w:multiLevelType w:val="multilevel"/>
    <w:tmpl w:val="6BC711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FB66EE6"/>
    <w:multiLevelType w:val="multilevel"/>
    <w:tmpl w:val="6FB66E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0146DC0"/>
    <w:multiLevelType w:val="multilevel"/>
    <w:tmpl w:val="70146DC0"/>
    <w:lvl w:ilvl="0" w:tentative="0">
      <w:start w:val="1"/>
      <w:numFmt w:val="bullet"/>
      <w:pStyle w:val="150"/>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50">
    <w:nsid w:val="702D48C0"/>
    <w:multiLevelType w:val="multilevel"/>
    <w:tmpl w:val="702D48C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1">
    <w:nsid w:val="72C70659"/>
    <w:multiLevelType w:val="multilevel"/>
    <w:tmpl w:val="72C706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3060BBA"/>
    <w:multiLevelType w:val="multilevel"/>
    <w:tmpl w:val="73060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365456D"/>
    <w:multiLevelType w:val="multilevel"/>
    <w:tmpl w:val="736545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4FD5745"/>
    <w:multiLevelType w:val="multilevel"/>
    <w:tmpl w:val="74FD5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7473FA1"/>
    <w:multiLevelType w:val="multilevel"/>
    <w:tmpl w:val="77473FA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6">
    <w:nsid w:val="78F3568E"/>
    <w:multiLevelType w:val="multilevel"/>
    <w:tmpl w:val="78F3568E"/>
    <w:lvl w:ilvl="0" w:tentative="0">
      <w:start w:val="1"/>
      <w:numFmt w:val="bullet"/>
      <w:lvlText w:val="•"/>
      <w:lvlJc w:val="left"/>
      <w:pPr>
        <w:ind w:left="420" w:hanging="420"/>
      </w:pPr>
      <w:rPr>
        <w:rFonts w:hint="default" w:ascii="Arial" w:hAnsi="Arial"/>
      </w:rPr>
    </w:lvl>
    <w:lvl w:ilvl="1" w:tentative="0">
      <w:start w:val="0"/>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7A7D6A7A"/>
    <w:multiLevelType w:val="multilevel"/>
    <w:tmpl w:val="7A7D6A7A"/>
    <w:lvl w:ilvl="0" w:tentative="0">
      <w:start w:val="1"/>
      <w:numFmt w:val="bullet"/>
      <w:lvlText w:val=""/>
      <w:lvlJc w:val="left"/>
      <w:pPr>
        <w:ind w:left="480" w:hanging="480"/>
      </w:pPr>
      <w:rPr>
        <w:rFonts w:hint="default" w:ascii="Symbol" w:hAnsi="Symbol"/>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58">
    <w:nsid w:val="7BC330F5"/>
    <w:multiLevelType w:val="multilevel"/>
    <w:tmpl w:val="7BC330F5"/>
    <w:lvl w:ilvl="0" w:tentative="0">
      <w:start w:val="1"/>
      <w:numFmt w:val="bullet"/>
      <w:pStyle w:val="1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7C29051B"/>
    <w:multiLevelType w:val="multilevel"/>
    <w:tmpl w:val="7C2905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CE81717"/>
    <w:multiLevelType w:val="multilevel"/>
    <w:tmpl w:val="7CE81717"/>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1647" w:hanging="360"/>
      </w:pPr>
      <w:rPr>
        <w:rFonts w:hint="default" w:ascii="Courier New" w:hAnsi="Courier New" w:cs="Courier New"/>
      </w:rPr>
    </w:lvl>
    <w:lvl w:ilvl="2" w:tentative="0">
      <w:start w:val="1"/>
      <w:numFmt w:val="bullet"/>
      <w:lvlText w:val=""/>
      <w:lvlJc w:val="left"/>
      <w:pPr>
        <w:ind w:left="2367" w:hanging="360"/>
      </w:pPr>
      <w:rPr>
        <w:rFonts w:hint="default" w:ascii="Wingdings" w:hAnsi="Wingdings"/>
      </w:rPr>
    </w:lvl>
    <w:lvl w:ilvl="3" w:tentative="0">
      <w:start w:val="1"/>
      <w:numFmt w:val="bullet"/>
      <w:lvlText w:val=""/>
      <w:lvlJc w:val="left"/>
      <w:pPr>
        <w:ind w:left="3087" w:hanging="360"/>
      </w:pPr>
      <w:rPr>
        <w:rFonts w:hint="default" w:ascii="Symbol" w:hAnsi="Symbol"/>
      </w:rPr>
    </w:lvl>
    <w:lvl w:ilvl="4" w:tentative="0">
      <w:start w:val="1"/>
      <w:numFmt w:val="bullet"/>
      <w:lvlText w:val="o"/>
      <w:lvlJc w:val="left"/>
      <w:pPr>
        <w:ind w:left="3807" w:hanging="360"/>
      </w:pPr>
      <w:rPr>
        <w:rFonts w:hint="default" w:ascii="Courier New" w:hAnsi="Courier New" w:cs="Courier New"/>
      </w:rPr>
    </w:lvl>
    <w:lvl w:ilvl="5" w:tentative="0">
      <w:start w:val="1"/>
      <w:numFmt w:val="bullet"/>
      <w:lvlText w:val=""/>
      <w:lvlJc w:val="left"/>
      <w:pPr>
        <w:ind w:left="4527" w:hanging="360"/>
      </w:pPr>
      <w:rPr>
        <w:rFonts w:hint="default" w:ascii="Wingdings" w:hAnsi="Wingdings"/>
      </w:rPr>
    </w:lvl>
    <w:lvl w:ilvl="6" w:tentative="0">
      <w:start w:val="1"/>
      <w:numFmt w:val="bullet"/>
      <w:lvlText w:val=""/>
      <w:lvlJc w:val="left"/>
      <w:pPr>
        <w:ind w:left="5247" w:hanging="360"/>
      </w:pPr>
      <w:rPr>
        <w:rFonts w:hint="default" w:ascii="Symbol" w:hAnsi="Symbol"/>
      </w:rPr>
    </w:lvl>
    <w:lvl w:ilvl="7" w:tentative="0">
      <w:start w:val="1"/>
      <w:numFmt w:val="bullet"/>
      <w:lvlText w:val="o"/>
      <w:lvlJc w:val="left"/>
      <w:pPr>
        <w:ind w:left="5967" w:hanging="360"/>
      </w:pPr>
      <w:rPr>
        <w:rFonts w:hint="default" w:ascii="Courier New" w:hAnsi="Courier New" w:cs="Courier New"/>
      </w:rPr>
    </w:lvl>
    <w:lvl w:ilvl="8" w:tentative="0">
      <w:start w:val="1"/>
      <w:numFmt w:val="bullet"/>
      <w:lvlText w:val=""/>
      <w:lvlJc w:val="left"/>
      <w:pPr>
        <w:ind w:left="6687" w:hanging="360"/>
      </w:pPr>
      <w:rPr>
        <w:rFonts w:hint="default" w:ascii="Wingdings" w:hAnsi="Wingdings"/>
      </w:rPr>
    </w:lvl>
  </w:abstractNum>
  <w:abstractNum w:abstractNumId="61">
    <w:nsid w:val="7D6426DC"/>
    <w:multiLevelType w:val="multilevel"/>
    <w:tmpl w:val="7D6426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DC11CFC"/>
    <w:multiLevelType w:val="multilevel"/>
    <w:tmpl w:val="7DC11C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5"/>
  </w:num>
  <w:num w:numId="2">
    <w:abstractNumId w:val="45"/>
  </w:num>
  <w:num w:numId="3">
    <w:abstractNumId w:val="58"/>
  </w:num>
  <w:num w:numId="4">
    <w:abstractNumId w:val="49"/>
  </w:num>
  <w:num w:numId="5">
    <w:abstractNumId w:val="39"/>
  </w:num>
  <w:num w:numId="6">
    <w:abstractNumId w:val="28"/>
  </w:num>
  <w:num w:numId="7">
    <w:abstractNumId w:val="17"/>
  </w:num>
  <w:num w:numId="8">
    <w:abstractNumId w:val="36"/>
  </w:num>
  <w:num w:numId="9">
    <w:abstractNumId w:val="32"/>
  </w:num>
  <w:num w:numId="10">
    <w:abstractNumId w:val="44"/>
  </w:num>
  <w:num w:numId="11">
    <w:abstractNumId w:val="26"/>
  </w:num>
  <w:num w:numId="12">
    <w:abstractNumId w:val="13"/>
  </w:num>
  <w:num w:numId="13">
    <w:abstractNumId w:val="29"/>
  </w:num>
  <w:num w:numId="14">
    <w:abstractNumId w:val="18"/>
  </w:num>
  <w:num w:numId="15">
    <w:abstractNumId w:val="42"/>
  </w:num>
  <w:num w:numId="16">
    <w:abstractNumId w:val="3"/>
  </w:num>
  <w:num w:numId="17">
    <w:abstractNumId w:val="46"/>
  </w:num>
  <w:num w:numId="18">
    <w:abstractNumId w:val="50"/>
  </w:num>
  <w:num w:numId="19">
    <w:abstractNumId w:val="5"/>
  </w:num>
  <w:num w:numId="20">
    <w:abstractNumId w:val="2"/>
  </w:num>
  <w:num w:numId="21">
    <w:abstractNumId w:val="41"/>
  </w:num>
  <w:num w:numId="22">
    <w:abstractNumId w:val="0"/>
  </w:num>
  <w:num w:numId="23">
    <w:abstractNumId w:val="59"/>
  </w:num>
  <w:num w:numId="24">
    <w:abstractNumId w:val="31"/>
  </w:num>
  <w:num w:numId="25">
    <w:abstractNumId w:val="15"/>
  </w:num>
  <w:num w:numId="26">
    <w:abstractNumId w:val="38"/>
  </w:num>
  <w:num w:numId="27">
    <w:abstractNumId w:val="30"/>
  </w:num>
  <w:num w:numId="28">
    <w:abstractNumId w:val="47"/>
  </w:num>
  <w:num w:numId="29">
    <w:abstractNumId w:val="20"/>
  </w:num>
  <w:num w:numId="30">
    <w:abstractNumId w:val="55"/>
  </w:num>
  <w:num w:numId="31">
    <w:abstractNumId w:val="33"/>
  </w:num>
  <w:num w:numId="32">
    <w:abstractNumId w:val="11"/>
  </w:num>
  <w:num w:numId="33">
    <w:abstractNumId w:val="54"/>
  </w:num>
  <w:num w:numId="34">
    <w:abstractNumId w:val="16"/>
  </w:num>
  <w:num w:numId="35">
    <w:abstractNumId w:val="6"/>
  </w:num>
  <w:num w:numId="36">
    <w:abstractNumId w:val="60"/>
  </w:num>
  <w:num w:numId="37">
    <w:abstractNumId w:val="51"/>
  </w:num>
  <w:num w:numId="38">
    <w:abstractNumId w:val="24"/>
  </w:num>
  <w:num w:numId="39">
    <w:abstractNumId w:val="19"/>
  </w:num>
  <w:num w:numId="40">
    <w:abstractNumId w:val="9"/>
  </w:num>
  <w:num w:numId="41">
    <w:abstractNumId w:val="21"/>
  </w:num>
  <w:num w:numId="42">
    <w:abstractNumId w:val="10"/>
  </w:num>
  <w:num w:numId="43">
    <w:abstractNumId w:val="1"/>
  </w:num>
  <w:num w:numId="44">
    <w:abstractNumId w:val="52"/>
  </w:num>
  <w:num w:numId="45">
    <w:abstractNumId w:val="12"/>
  </w:num>
  <w:num w:numId="46">
    <w:abstractNumId w:val="48"/>
  </w:num>
  <w:num w:numId="47">
    <w:abstractNumId w:val="7"/>
  </w:num>
  <w:num w:numId="48">
    <w:abstractNumId w:val="14"/>
  </w:num>
  <w:num w:numId="49">
    <w:abstractNumId w:val="43"/>
  </w:num>
  <w:num w:numId="50">
    <w:abstractNumId w:val="53"/>
  </w:num>
  <w:num w:numId="51">
    <w:abstractNumId w:val="23"/>
  </w:num>
  <w:num w:numId="52">
    <w:abstractNumId w:val="40"/>
  </w:num>
  <w:num w:numId="53">
    <w:abstractNumId w:val="56"/>
  </w:num>
  <w:num w:numId="54">
    <w:abstractNumId w:val="34"/>
  </w:num>
  <w:num w:numId="55">
    <w:abstractNumId w:val="37"/>
  </w:num>
  <w:num w:numId="56">
    <w:abstractNumId w:val="57"/>
  </w:num>
  <w:num w:numId="57">
    <w:abstractNumId w:val="4"/>
  </w:num>
  <w:num w:numId="58">
    <w:abstractNumId w:val="8"/>
  </w:num>
  <w:num w:numId="59">
    <w:abstractNumId w:val="62"/>
  </w:num>
  <w:num w:numId="60">
    <w:abstractNumId w:val="61"/>
  </w:num>
  <w:num w:numId="61">
    <w:abstractNumId w:val="35"/>
  </w:num>
  <w:num w:numId="62">
    <w:abstractNumId w:val="27"/>
  </w:num>
  <w:num w:numId="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567"/>
  <w:hyphenationZone w:val="425"/>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0ACD"/>
    <w:rsid w:val="0000518C"/>
    <w:rsid w:val="00007BD0"/>
    <w:rsid w:val="00010165"/>
    <w:rsid w:val="00011C3B"/>
    <w:rsid w:val="000227D8"/>
    <w:rsid w:val="000233A4"/>
    <w:rsid w:val="00025616"/>
    <w:rsid w:val="000276C5"/>
    <w:rsid w:val="00032276"/>
    <w:rsid w:val="0004437C"/>
    <w:rsid w:val="0004456C"/>
    <w:rsid w:val="00044990"/>
    <w:rsid w:val="0005259B"/>
    <w:rsid w:val="00053E44"/>
    <w:rsid w:val="00053FEE"/>
    <w:rsid w:val="00054140"/>
    <w:rsid w:val="00054170"/>
    <w:rsid w:val="00054B31"/>
    <w:rsid w:val="00055429"/>
    <w:rsid w:val="00057A43"/>
    <w:rsid w:val="00060AE4"/>
    <w:rsid w:val="00063097"/>
    <w:rsid w:val="0006660A"/>
    <w:rsid w:val="00067313"/>
    <w:rsid w:val="000706D7"/>
    <w:rsid w:val="00070BC8"/>
    <w:rsid w:val="000746A7"/>
    <w:rsid w:val="00075875"/>
    <w:rsid w:val="00075FD2"/>
    <w:rsid w:val="000910BB"/>
    <w:rsid w:val="000926AF"/>
    <w:rsid w:val="00096458"/>
    <w:rsid w:val="00097A69"/>
    <w:rsid w:val="000A3ED2"/>
    <w:rsid w:val="000A417A"/>
    <w:rsid w:val="000A611E"/>
    <w:rsid w:val="000B18B9"/>
    <w:rsid w:val="000B3303"/>
    <w:rsid w:val="000B7E96"/>
    <w:rsid w:val="000C00FA"/>
    <w:rsid w:val="000C51AA"/>
    <w:rsid w:val="000D04BD"/>
    <w:rsid w:val="000D17BC"/>
    <w:rsid w:val="000D18C0"/>
    <w:rsid w:val="000D2186"/>
    <w:rsid w:val="000D779C"/>
    <w:rsid w:val="000E1540"/>
    <w:rsid w:val="000E32FC"/>
    <w:rsid w:val="000E44B3"/>
    <w:rsid w:val="000E4F35"/>
    <w:rsid w:val="000E7171"/>
    <w:rsid w:val="000E79FE"/>
    <w:rsid w:val="000F0CF1"/>
    <w:rsid w:val="000F0E72"/>
    <w:rsid w:val="000F6C1C"/>
    <w:rsid w:val="001008D8"/>
    <w:rsid w:val="00101346"/>
    <w:rsid w:val="001035BC"/>
    <w:rsid w:val="00106136"/>
    <w:rsid w:val="00106C66"/>
    <w:rsid w:val="0011319C"/>
    <w:rsid w:val="00114611"/>
    <w:rsid w:val="00116A44"/>
    <w:rsid w:val="00116D37"/>
    <w:rsid w:val="00116F4B"/>
    <w:rsid w:val="001229F4"/>
    <w:rsid w:val="00127970"/>
    <w:rsid w:val="00130488"/>
    <w:rsid w:val="00130D7E"/>
    <w:rsid w:val="00131357"/>
    <w:rsid w:val="001365AC"/>
    <w:rsid w:val="001371CC"/>
    <w:rsid w:val="00137471"/>
    <w:rsid w:val="00137AE9"/>
    <w:rsid w:val="00142417"/>
    <w:rsid w:val="00142BC3"/>
    <w:rsid w:val="001437B5"/>
    <w:rsid w:val="00144FE5"/>
    <w:rsid w:val="00146F4B"/>
    <w:rsid w:val="00150FD3"/>
    <w:rsid w:val="001544F9"/>
    <w:rsid w:val="00155C9C"/>
    <w:rsid w:val="00160464"/>
    <w:rsid w:val="001648EF"/>
    <w:rsid w:val="001656ED"/>
    <w:rsid w:val="00165B5E"/>
    <w:rsid w:val="00166E4F"/>
    <w:rsid w:val="00170CDD"/>
    <w:rsid w:val="00170E00"/>
    <w:rsid w:val="00170E0E"/>
    <w:rsid w:val="00177AB2"/>
    <w:rsid w:val="00180162"/>
    <w:rsid w:val="00180B46"/>
    <w:rsid w:val="00183993"/>
    <w:rsid w:val="00184428"/>
    <w:rsid w:val="001917C3"/>
    <w:rsid w:val="0019256E"/>
    <w:rsid w:val="00193357"/>
    <w:rsid w:val="00193717"/>
    <w:rsid w:val="00193DB7"/>
    <w:rsid w:val="00194738"/>
    <w:rsid w:val="0019496A"/>
    <w:rsid w:val="00195D4B"/>
    <w:rsid w:val="001A1865"/>
    <w:rsid w:val="001A248F"/>
    <w:rsid w:val="001A3B5F"/>
    <w:rsid w:val="001A5805"/>
    <w:rsid w:val="001A659D"/>
    <w:rsid w:val="001A67E2"/>
    <w:rsid w:val="001B05A4"/>
    <w:rsid w:val="001B0F72"/>
    <w:rsid w:val="001B51AB"/>
    <w:rsid w:val="001B5CA8"/>
    <w:rsid w:val="001C0C7D"/>
    <w:rsid w:val="001C1915"/>
    <w:rsid w:val="001C1C16"/>
    <w:rsid w:val="001C1D9A"/>
    <w:rsid w:val="001C4490"/>
    <w:rsid w:val="001C4EC1"/>
    <w:rsid w:val="001C4F3A"/>
    <w:rsid w:val="001C531A"/>
    <w:rsid w:val="001C6E8B"/>
    <w:rsid w:val="001D0E5A"/>
    <w:rsid w:val="001D2C1A"/>
    <w:rsid w:val="001D3BA2"/>
    <w:rsid w:val="001D44B7"/>
    <w:rsid w:val="001D589D"/>
    <w:rsid w:val="001E0075"/>
    <w:rsid w:val="001E0EBC"/>
    <w:rsid w:val="001E4E22"/>
    <w:rsid w:val="001E500A"/>
    <w:rsid w:val="001F139D"/>
    <w:rsid w:val="001F1B1F"/>
    <w:rsid w:val="001F2A20"/>
    <w:rsid w:val="001F3583"/>
    <w:rsid w:val="001F486F"/>
    <w:rsid w:val="001F5D44"/>
    <w:rsid w:val="0020314C"/>
    <w:rsid w:val="00205593"/>
    <w:rsid w:val="0020783F"/>
    <w:rsid w:val="00207DC4"/>
    <w:rsid w:val="00210091"/>
    <w:rsid w:val="00211E74"/>
    <w:rsid w:val="002126EC"/>
    <w:rsid w:val="002138A0"/>
    <w:rsid w:val="0021508D"/>
    <w:rsid w:val="00215C90"/>
    <w:rsid w:val="00216B0E"/>
    <w:rsid w:val="00223EB5"/>
    <w:rsid w:val="0022485E"/>
    <w:rsid w:val="00225EF6"/>
    <w:rsid w:val="002262F6"/>
    <w:rsid w:val="002270CF"/>
    <w:rsid w:val="00230D1B"/>
    <w:rsid w:val="00231DD8"/>
    <w:rsid w:val="00232344"/>
    <w:rsid w:val="00235DB7"/>
    <w:rsid w:val="0023797B"/>
    <w:rsid w:val="002406AA"/>
    <w:rsid w:val="002410B1"/>
    <w:rsid w:val="0024125E"/>
    <w:rsid w:val="00243A99"/>
    <w:rsid w:val="002467FB"/>
    <w:rsid w:val="00254B3E"/>
    <w:rsid w:val="00254DF1"/>
    <w:rsid w:val="0025644B"/>
    <w:rsid w:val="002620CB"/>
    <w:rsid w:val="0026685C"/>
    <w:rsid w:val="00274156"/>
    <w:rsid w:val="0027734B"/>
    <w:rsid w:val="0029166D"/>
    <w:rsid w:val="00292B11"/>
    <w:rsid w:val="0029567C"/>
    <w:rsid w:val="00295F13"/>
    <w:rsid w:val="002A1167"/>
    <w:rsid w:val="002A256B"/>
    <w:rsid w:val="002A4229"/>
    <w:rsid w:val="002B5115"/>
    <w:rsid w:val="002C0B82"/>
    <w:rsid w:val="002C2508"/>
    <w:rsid w:val="002C6C17"/>
    <w:rsid w:val="002C7D3B"/>
    <w:rsid w:val="002D1487"/>
    <w:rsid w:val="002D4DAB"/>
    <w:rsid w:val="002D6692"/>
    <w:rsid w:val="002E46BD"/>
    <w:rsid w:val="002E4E15"/>
    <w:rsid w:val="002F032A"/>
    <w:rsid w:val="002F166C"/>
    <w:rsid w:val="002F1ED8"/>
    <w:rsid w:val="002F2C27"/>
    <w:rsid w:val="002F310F"/>
    <w:rsid w:val="002F484F"/>
    <w:rsid w:val="00301761"/>
    <w:rsid w:val="00301B7A"/>
    <w:rsid w:val="003030FD"/>
    <w:rsid w:val="00305069"/>
    <w:rsid w:val="00306D59"/>
    <w:rsid w:val="00311D5A"/>
    <w:rsid w:val="00314648"/>
    <w:rsid w:val="00316D46"/>
    <w:rsid w:val="00323B6A"/>
    <w:rsid w:val="00323E9F"/>
    <w:rsid w:val="0032503A"/>
    <w:rsid w:val="00325EE1"/>
    <w:rsid w:val="00331363"/>
    <w:rsid w:val="003318A7"/>
    <w:rsid w:val="003348A0"/>
    <w:rsid w:val="00334980"/>
    <w:rsid w:val="003357C0"/>
    <w:rsid w:val="0033622D"/>
    <w:rsid w:val="0034037B"/>
    <w:rsid w:val="00344D60"/>
    <w:rsid w:val="00346477"/>
    <w:rsid w:val="00347CB0"/>
    <w:rsid w:val="0035200D"/>
    <w:rsid w:val="00353832"/>
    <w:rsid w:val="00356DE9"/>
    <w:rsid w:val="0036248C"/>
    <w:rsid w:val="00365D1A"/>
    <w:rsid w:val="003664FE"/>
    <w:rsid w:val="003666A8"/>
    <w:rsid w:val="00367401"/>
    <w:rsid w:val="00373093"/>
    <w:rsid w:val="00373BC6"/>
    <w:rsid w:val="00375678"/>
    <w:rsid w:val="00375E31"/>
    <w:rsid w:val="00380184"/>
    <w:rsid w:val="003803B5"/>
    <w:rsid w:val="003804B5"/>
    <w:rsid w:val="00380E11"/>
    <w:rsid w:val="00383370"/>
    <w:rsid w:val="00383537"/>
    <w:rsid w:val="00386E7C"/>
    <w:rsid w:val="0039089F"/>
    <w:rsid w:val="0039139F"/>
    <w:rsid w:val="003923A5"/>
    <w:rsid w:val="003929A4"/>
    <w:rsid w:val="0039390A"/>
    <w:rsid w:val="00394AB0"/>
    <w:rsid w:val="00396252"/>
    <w:rsid w:val="00397AE8"/>
    <w:rsid w:val="00397C1F"/>
    <w:rsid w:val="003A3E00"/>
    <w:rsid w:val="003A4B47"/>
    <w:rsid w:val="003A5D38"/>
    <w:rsid w:val="003B24AF"/>
    <w:rsid w:val="003B7182"/>
    <w:rsid w:val="003C2435"/>
    <w:rsid w:val="003C462B"/>
    <w:rsid w:val="003C5A26"/>
    <w:rsid w:val="003D2F70"/>
    <w:rsid w:val="003D5036"/>
    <w:rsid w:val="003D6240"/>
    <w:rsid w:val="003D764D"/>
    <w:rsid w:val="003E3A1A"/>
    <w:rsid w:val="003E655B"/>
    <w:rsid w:val="003E6E49"/>
    <w:rsid w:val="003F00BF"/>
    <w:rsid w:val="003F1B9F"/>
    <w:rsid w:val="003F3131"/>
    <w:rsid w:val="003F38F7"/>
    <w:rsid w:val="003F6D69"/>
    <w:rsid w:val="003F7A65"/>
    <w:rsid w:val="004002D4"/>
    <w:rsid w:val="0040091C"/>
    <w:rsid w:val="00403C50"/>
    <w:rsid w:val="00406D7A"/>
    <w:rsid w:val="00410CFC"/>
    <w:rsid w:val="00410E69"/>
    <w:rsid w:val="00413406"/>
    <w:rsid w:val="00420FA7"/>
    <w:rsid w:val="004214E1"/>
    <w:rsid w:val="004224FC"/>
    <w:rsid w:val="004258BA"/>
    <w:rsid w:val="0043666F"/>
    <w:rsid w:val="00441015"/>
    <w:rsid w:val="00441262"/>
    <w:rsid w:val="004464B9"/>
    <w:rsid w:val="00447EB1"/>
    <w:rsid w:val="0045042E"/>
    <w:rsid w:val="00450DD0"/>
    <w:rsid w:val="00450F8F"/>
    <w:rsid w:val="00451AA2"/>
    <w:rsid w:val="00451DA1"/>
    <w:rsid w:val="004531C9"/>
    <w:rsid w:val="00453DA7"/>
    <w:rsid w:val="00454C58"/>
    <w:rsid w:val="004553C6"/>
    <w:rsid w:val="00455C1E"/>
    <w:rsid w:val="004561BA"/>
    <w:rsid w:val="00457D91"/>
    <w:rsid w:val="004604FD"/>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3297"/>
    <w:rsid w:val="00497F9A"/>
    <w:rsid w:val="004A057F"/>
    <w:rsid w:val="004A140B"/>
    <w:rsid w:val="004A2111"/>
    <w:rsid w:val="004A3CF4"/>
    <w:rsid w:val="004A465C"/>
    <w:rsid w:val="004A4FD8"/>
    <w:rsid w:val="004A6A46"/>
    <w:rsid w:val="004A7E8D"/>
    <w:rsid w:val="004B15B8"/>
    <w:rsid w:val="004B4922"/>
    <w:rsid w:val="004B566C"/>
    <w:rsid w:val="004B7B48"/>
    <w:rsid w:val="004C1F8D"/>
    <w:rsid w:val="004C2931"/>
    <w:rsid w:val="004C3D4E"/>
    <w:rsid w:val="004C7960"/>
    <w:rsid w:val="004D1F2A"/>
    <w:rsid w:val="004D3E7F"/>
    <w:rsid w:val="004D4057"/>
    <w:rsid w:val="004D4AB1"/>
    <w:rsid w:val="004D7CB2"/>
    <w:rsid w:val="004E0823"/>
    <w:rsid w:val="004E152E"/>
    <w:rsid w:val="004E2F3B"/>
    <w:rsid w:val="004E6072"/>
    <w:rsid w:val="004E67A9"/>
    <w:rsid w:val="004F218A"/>
    <w:rsid w:val="004F3D40"/>
    <w:rsid w:val="004F418D"/>
    <w:rsid w:val="004F4FEA"/>
    <w:rsid w:val="004F533E"/>
    <w:rsid w:val="004F6814"/>
    <w:rsid w:val="004F74E7"/>
    <w:rsid w:val="00502041"/>
    <w:rsid w:val="00502706"/>
    <w:rsid w:val="0050334E"/>
    <w:rsid w:val="0050413A"/>
    <w:rsid w:val="00505387"/>
    <w:rsid w:val="0050576E"/>
    <w:rsid w:val="005076AA"/>
    <w:rsid w:val="00512DF7"/>
    <w:rsid w:val="005141E7"/>
    <w:rsid w:val="00517E63"/>
    <w:rsid w:val="005250D0"/>
    <w:rsid w:val="00525331"/>
    <w:rsid w:val="00526B0D"/>
    <w:rsid w:val="00532F76"/>
    <w:rsid w:val="005414F4"/>
    <w:rsid w:val="00543029"/>
    <w:rsid w:val="00543067"/>
    <w:rsid w:val="005446DE"/>
    <w:rsid w:val="00544EA6"/>
    <w:rsid w:val="00545284"/>
    <w:rsid w:val="00547443"/>
    <w:rsid w:val="0055346F"/>
    <w:rsid w:val="00556B77"/>
    <w:rsid w:val="00557169"/>
    <w:rsid w:val="005578F6"/>
    <w:rsid w:val="005579FF"/>
    <w:rsid w:val="00565962"/>
    <w:rsid w:val="0056766A"/>
    <w:rsid w:val="00567C3C"/>
    <w:rsid w:val="00573161"/>
    <w:rsid w:val="005776DD"/>
    <w:rsid w:val="00577DBF"/>
    <w:rsid w:val="00582117"/>
    <w:rsid w:val="0058478F"/>
    <w:rsid w:val="00584EC3"/>
    <w:rsid w:val="005904F9"/>
    <w:rsid w:val="00590606"/>
    <w:rsid w:val="00591694"/>
    <w:rsid w:val="00591FC0"/>
    <w:rsid w:val="00593315"/>
    <w:rsid w:val="005938C8"/>
    <w:rsid w:val="005969AD"/>
    <w:rsid w:val="005973EE"/>
    <w:rsid w:val="005A170D"/>
    <w:rsid w:val="005A2596"/>
    <w:rsid w:val="005A6C96"/>
    <w:rsid w:val="005B534B"/>
    <w:rsid w:val="005B7697"/>
    <w:rsid w:val="005C1F20"/>
    <w:rsid w:val="005C374E"/>
    <w:rsid w:val="005C73F1"/>
    <w:rsid w:val="005D0418"/>
    <w:rsid w:val="005D1657"/>
    <w:rsid w:val="005D4501"/>
    <w:rsid w:val="005D5789"/>
    <w:rsid w:val="005E1D58"/>
    <w:rsid w:val="005E43A7"/>
    <w:rsid w:val="005F5B38"/>
    <w:rsid w:val="005F6226"/>
    <w:rsid w:val="00602B18"/>
    <w:rsid w:val="00603F0C"/>
    <w:rsid w:val="00610E37"/>
    <w:rsid w:val="006119D2"/>
    <w:rsid w:val="00614068"/>
    <w:rsid w:val="006142F9"/>
    <w:rsid w:val="00617EB6"/>
    <w:rsid w:val="00620098"/>
    <w:rsid w:val="006207ED"/>
    <w:rsid w:val="006225F8"/>
    <w:rsid w:val="0062274E"/>
    <w:rsid w:val="00623BA8"/>
    <w:rsid w:val="006250FA"/>
    <w:rsid w:val="00625CCC"/>
    <w:rsid w:val="00626BC9"/>
    <w:rsid w:val="006270B4"/>
    <w:rsid w:val="00633BCA"/>
    <w:rsid w:val="0063444E"/>
    <w:rsid w:val="0063469B"/>
    <w:rsid w:val="00634A78"/>
    <w:rsid w:val="006458DF"/>
    <w:rsid w:val="0064670A"/>
    <w:rsid w:val="00650D52"/>
    <w:rsid w:val="00650FDD"/>
    <w:rsid w:val="00651B79"/>
    <w:rsid w:val="006615B2"/>
    <w:rsid w:val="006616EA"/>
    <w:rsid w:val="00662313"/>
    <w:rsid w:val="00665D45"/>
    <w:rsid w:val="00667267"/>
    <w:rsid w:val="00670AD9"/>
    <w:rsid w:val="00673911"/>
    <w:rsid w:val="00676F0C"/>
    <w:rsid w:val="006817DF"/>
    <w:rsid w:val="0068503D"/>
    <w:rsid w:val="00686B3A"/>
    <w:rsid w:val="006870C9"/>
    <w:rsid w:val="00690F67"/>
    <w:rsid w:val="0069416E"/>
    <w:rsid w:val="00696076"/>
    <w:rsid w:val="006A147E"/>
    <w:rsid w:val="006A3ADF"/>
    <w:rsid w:val="006A429C"/>
    <w:rsid w:val="006A62A3"/>
    <w:rsid w:val="006A7BCB"/>
    <w:rsid w:val="006B162B"/>
    <w:rsid w:val="006B1F26"/>
    <w:rsid w:val="006B3672"/>
    <w:rsid w:val="006B4C1E"/>
    <w:rsid w:val="006B66DB"/>
    <w:rsid w:val="006C090F"/>
    <w:rsid w:val="006C4E32"/>
    <w:rsid w:val="006C56D8"/>
    <w:rsid w:val="006C7F19"/>
    <w:rsid w:val="006D07AE"/>
    <w:rsid w:val="006D0F3E"/>
    <w:rsid w:val="006D1C93"/>
    <w:rsid w:val="006D7965"/>
    <w:rsid w:val="006D7CA6"/>
    <w:rsid w:val="006E19A6"/>
    <w:rsid w:val="006E284C"/>
    <w:rsid w:val="006E2852"/>
    <w:rsid w:val="006E3A8A"/>
    <w:rsid w:val="006E3F11"/>
    <w:rsid w:val="006E6D9E"/>
    <w:rsid w:val="006F051E"/>
    <w:rsid w:val="006F2F62"/>
    <w:rsid w:val="006F5546"/>
    <w:rsid w:val="006F59D9"/>
    <w:rsid w:val="00701410"/>
    <w:rsid w:val="007029AD"/>
    <w:rsid w:val="0070625B"/>
    <w:rsid w:val="007113A1"/>
    <w:rsid w:val="00713C0A"/>
    <w:rsid w:val="00717C34"/>
    <w:rsid w:val="0072080B"/>
    <w:rsid w:val="00721CF6"/>
    <w:rsid w:val="00723E46"/>
    <w:rsid w:val="0072705A"/>
    <w:rsid w:val="00727C4F"/>
    <w:rsid w:val="00727C55"/>
    <w:rsid w:val="00730A40"/>
    <w:rsid w:val="00732E55"/>
    <w:rsid w:val="00733826"/>
    <w:rsid w:val="0074084C"/>
    <w:rsid w:val="00740C5B"/>
    <w:rsid w:val="00741710"/>
    <w:rsid w:val="00742BBD"/>
    <w:rsid w:val="00761E02"/>
    <w:rsid w:val="0076207A"/>
    <w:rsid w:val="00763E7E"/>
    <w:rsid w:val="00764296"/>
    <w:rsid w:val="00765D7C"/>
    <w:rsid w:val="00766CFB"/>
    <w:rsid w:val="007712EC"/>
    <w:rsid w:val="0077331E"/>
    <w:rsid w:val="007766E9"/>
    <w:rsid w:val="007768DD"/>
    <w:rsid w:val="007816FF"/>
    <w:rsid w:val="00781ABD"/>
    <w:rsid w:val="00783B44"/>
    <w:rsid w:val="00783EE5"/>
    <w:rsid w:val="00785028"/>
    <w:rsid w:val="00786C9C"/>
    <w:rsid w:val="00791E7A"/>
    <w:rsid w:val="007925F5"/>
    <w:rsid w:val="0079541B"/>
    <w:rsid w:val="007958DD"/>
    <w:rsid w:val="00795F3C"/>
    <w:rsid w:val="007A29A6"/>
    <w:rsid w:val="007A2E19"/>
    <w:rsid w:val="007A3A5A"/>
    <w:rsid w:val="007A4370"/>
    <w:rsid w:val="007A560B"/>
    <w:rsid w:val="007A5A1D"/>
    <w:rsid w:val="007C4F0C"/>
    <w:rsid w:val="007C5B59"/>
    <w:rsid w:val="007C6776"/>
    <w:rsid w:val="007D42EB"/>
    <w:rsid w:val="007D575D"/>
    <w:rsid w:val="007D59FA"/>
    <w:rsid w:val="007D7098"/>
    <w:rsid w:val="007D7FD4"/>
    <w:rsid w:val="007E1D15"/>
    <w:rsid w:val="007E1DEA"/>
    <w:rsid w:val="007E2202"/>
    <w:rsid w:val="007E2EBA"/>
    <w:rsid w:val="007F0E62"/>
    <w:rsid w:val="007F1B74"/>
    <w:rsid w:val="008027AA"/>
    <w:rsid w:val="008033EA"/>
    <w:rsid w:val="00803F40"/>
    <w:rsid w:val="0080508F"/>
    <w:rsid w:val="00806713"/>
    <w:rsid w:val="0081059C"/>
    <w:rsid w:val="00812C01"/>
    <w:rsid w:val="008145EA"/>
    <w:rsid w:val="00815869"/>
    <w:rsid w:val="0081592E"/>
    <w:rsid w:val="00815B48"/>
    <w:rsid w:val="00815EA7"/>
    <w:rsid w:val="00816B81"/>
    <w:rsid w:val="00823B90"/>
    <w:rsid w:val="00823EAA"/>
    <w:rsid w:val="00827744"/>
    <w:rsid w:val="0083266E"/>
    <w:rsid w:val="00837076"/>
    <w:rsid w:val="00837A32"/>
    <w:rsid w:val="00842F9D"/>
    <w:rsid w:val="00847D52"/>
    <w:rsid w:val="00851ED4"/>
    <w:rsid w:val="00853A90"/>
    <w:rsid w:val="008546E5"/>
    <w:rsid w:val="00854A10"/>
    <w:rsid w:val="008555BA"/>
    <w:rsid w:val="008569C7"/>
    <w:rsid w:val="0086374E"/>
    <w:rsid w:val="00865711"/>
    <w:rsid w:val="00865EA8"/>
    <w:rsid w:val="00871653"/>
    <w:rsid w:val="008768FB"/>
    <w:rsid w:val="00880375"/>
    <w:rsid w:val="00880684"/>
    <w:rsid w:val="00881D74"/>
    <w:rsid w:val="00881E7B"/>
    <w:rsid w:val="00882025"/>
    <w:rsid w:val="008836AC"/>
    <w:rsid w:val="008839A8"/>
    <w:rsid w:val="00884FA0"/>
    <w:rsid w:val="00885BD9"/>
    <w:rsid w:val="00887422"/>
    <w:rsid w:val="0089166C"/>
    <w:rsid w:val="00893204"/>
    <w:rsid w:val="00894A98"/>
    <w:rsid w:val="008960DE"/>
    <w:rsid w:val="00896CBF"/>
    <w:rsid w:val="008A36DF"/>
    <w:rsid w:val="008B131F"/>
    <w:rsid w:val="008B2D27"/>
    <w:rsid w:val="008B5862"/>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95C"/>
    <w:rsid w:val="00900AE8"/>
    <w:rsid w:val="00900DAD"/>
    <w:rsid w:val="00903FA8"/>
    <w:rsid w:val="00905977"/>
    <w:rsid w:val="0091008B"/>
    <w:rsid w:val="00911676"/>
    <w:rsid w:val="009129C9"/>
    <w:rsid w:val="0091390B"/>
    <w:rsid w:val="0091408E"/>
    <w:rsid w:val="009162F9"/>
    <w:rsid w:val="00917957"/>
    <w:rsid w:val="009228AF"/>
    <w:rsid w:val="00923EE8"/>
    <w:rsid w:val="00925C77"/>
    <w:rsid w:val="00926CD7"/>
    <w:rsid w:val="00932249"/>
    <w:rsid w:val="0093421D"/>
    <w:rsid w:val="009378CA"/>
    <w:rsid w:val="00944ABD"/>
    <w:rsid w:val="00945422"/>
    <w:rsid w:val="00945F44"/>
    <w:rsid w:val="0095025E"/>
    <w:rsid w:val="00950E06"/>
    <w:rsid w:val="009527BA"/>
    <w:rsid w:val="00953F69"/>
    <w:rsid w:val="00954AA4"/>
    <w:rsid w:val="00955C4C"/>
    <w:rsid w:val="00961C29"/>
    <w:rsid w:val="00962C1F"/>
    <w:rsid w:val="009636FD"/>
    <w:rsid w:val="00963B76"/>
    <w:rsid w:val="00965384"/>
    <w:rsid w:val="00967C91"/>
    <w:rsid w:val="00973B75"/>
    <w:rsid w:val="00973C35"/>
    <w:rsid w:val="00975B10"/>
    <w:rsid w:val="00976CF4"/>
    <w:rsid w:val="00976F8A"/>
    <w:rsid w:val="00985195"/>
    <w:rsid w:val="009863B9"/>
    <w:rsid w:val="0098733C"/>
    <w:rsid w:val="009907BD"/>
    <w:rsid w:val="00991830"/>
    <w:rsid w:val="009948A1"/>
    <w:rsid w:val="00995338"/>
    <w:rsid w:val="00996777"/>
    <w:rsid w:val="00997E19"/>
    <w:rsid w:val="009A0C60"/>
    <w:rsid w:val="009A17C8"/>
    <w:rsid w:val="009A23FC"/>
    <w:rsid w:val="009A2425"/>
    <w:rsid w:val="009A6C7B"/>
    <w:rsid w:val="009B107D"/>
    <w:rsid w:val="009B3E80"/>
    <w:rsid w:val="009B4C1D"/>
    <w:rsid w:val="009C0BC7"/>
    <w:rsid w:val="009C151A"/>
    <w:rsid w:val="009C6592"/>
    <w:rsid w:val="009C7915"/>
    <w:rsid w:val="009D6626"/>
    <w:rsid w:val="009D69A8"/>
    <w:rsid w:val="009E209B"/>
    <w:rsid w:val="009E3B92"/>
    <w:rsid w:val="009E4261"/>
    <w:rsid w:val="009E6050"/>
    <w:rsid w:val="009F0747"/>
    <w:rsid w:val="009F3E92"/>
    <w:rsid w:val="009F44E4"/>
    <w:rsid w:val="009F50E1"/>
    <w:rsid w:val="00A013E8"/>
    <w:rsid w:val="00A03514"/>
    <w:rsid w:val="00A07AB1"/>
    <w:rsid w:val="00A13F87"/>
    <w:rsid w:val="00A1647A"/>
    <w:rsid w:val="00A17079"/>
    <w:rsid w:val="00A238C5"/>
    <w:rsid w:val="00A26BFC"/>
    <w:rsid w:val="00A30038"/>
    <w:rsid w:val="00A3077C"/>
    <w:rsid w:val="00A429FE"/>
    <w:rsid w:val="00A448C3"/>
    <w:rsid w:val="00A44B62"/>
    <w:rsid w:val="00A458D4"/>
    <w:rsid w:val="00A46F14"/>
    <w:rsid w:val="00A46FB7"/>
    <w:rsid w:val="00A470A0"/>
    <w:rsid w:val="00A50560"/>
    <w:rsid w:val="00A53118"/>
    <w:rsid w:val="00A53E96"/>
    <w:rsid w:val="00A5445A"/>
    <w:rsid w:val="00A54765"/>
    <w:rsid w:val="00A54F02"/>
    <w:rsid w:val="00A60388"/>
    <w:rsid w:val="00A60F39"/>
    <w:rsid w:val="00A61B5D"/>
    <w:rsid w:val="00A649F8"/>
    <w:rsid w:val="00A657F7"/>
    <w:rsid w:val="00A66DA6"/>
    <w:rsid w:val="00A677FF"/>
    <w:rsid w:val="00A7042A"/>
    <w:rsid w:val="00A714CA"/>
    <w:rsid w:val="00A758BC"/>
    <w:rsid w:val="00A76157"/>
    <w:rsid w:val="00A769CC"/>
    <w:rsid w:val="00A84693"/>
    <w:rsid w:val="00A84CFD"/>
    <w:rsid w:val="00A86AB5"/>
    <w:rsid w:val="00A90426"/>
    <w:rsid w:val="00A914CE"/>
    <w:rsid w:val="00A96B89"/>
    <w:rsid w:val="00A97226"/>
    <w:rsid w:val="00AA0E64"/>
    <w:rsid w:val="00AA142F"/>
    <w:rsid w:val="00AA1ECF"/>
    <w:rsid w:val="00AA3E2D"/>
    <w:rsid w:val="00AA53DB"/>
    <w:rsid w:val="00AA5BB6"/>
    <w:rsid w:val="00AA65BF"/>
    <w:rsid w:val="00AA7103"/>
    <w:rsid w:val="00AA741F"/>
    <w:rsid w:val="00AB239A"/>
    <w:rsid w:val="00AB354E"/>
    <w:rsid w:val="00AB47BB"/>
    <w:rsid w:val="00AB56CF"/>
    <w:rsid w:val="00AB5838"/>
    <w:rsid w:val="00AB735C"/>
    <w:rsid w:val="00AC39FB"/>
    <w:rsid w:val="00AC4BF5"/>
    <w:rsid w:val="00AC4D8E"/>
    <w:rsid w:val="00AD108C"/>
    <w:rsid w:val="00AD12BB"/>
    <w:rsid w:val="00AD3122"/>
    <w:rsid w:val="00AD33C1"/>
    <w:rsid w:val="00AD53C7"/>
    <w:rsid w:val="00AD5A56"/>
    <w:rsid w:val="00AD7059"/>
    <w:rsid w:val="00AD7ADC"/>
    <w:rsid w:val="00AE08EB"/>
    <w:rsid w:val="00AE427E"/>
    <w:rsid w:val="00AE4D26"/>
    <w:rsid w:val="00AE7EBE"/>
    <w:rsid w:val="00AF09B5"/>
    <w:rsid w:val="00AF3414"/>
    <w:rsid w:val="00AF38CE"/>
    <w:rsid w:val="00AF567C"/>
    <w:rsid w:val="00AF5DB9"/>
    <w:rsid w:val="00AF612A"/>
    <w:rsid w:val="00B00BBE"/>
    <w:rsid w:val="00B0259B"/>
    <w:rsid w:val="00B04B2F"/>
    <w:rsid w:val="00B10315"/>
    <w:rsid w:val="00B10710"/>
    <w:rsid w:val="00B110CF"/>
    <w:rsid w:val="00B1153F"/>
    <w:rsid w:val="00B12E3F"/>
    <w:rsid w:val="00B15F63"/>
    <w:rsid w:val="00B208FA"/>
    <w:rsid w:val="00B217A6"/>
    <w:rsid w:val="00B21832"/>
    <w:rsid w:val="00B25C12"/>
    <w:rsid w:val="00B26417"/>
    <w:rsid w:val="00B26BBB"/>
    <w:rsid w:val="00B2766F"/>
    <w:rsid w:val="00B27B13"/>
    <w:rsid w:val="00B31ABC"/>
    <w:rsid w:val="00B35E4D"/>
    <w:rsid w:val="00B3740C"/>
    <w:rsid w:val="00B416B2"/>
    <w:rsid w:val="00B439A4"/>
    <w:rsid w:val="00B43A1D"/>
    <w:rsid w:val="00B445ED"/>
    <w:rsid w:val="00B46BE0"/>
    <w:rsid w:val="00B5389D"/>
    <w:rsid w:val="00B5534D"/>
    <w:rsid w:val="00B601D3"/>
    <w:rsid w:val="00B6179B"/>
    <w:rsid w:val="00B6300F"/>
    <w:rsid w:val="00B679D0"/>
    <w:rsid w:val="00B70389"/>
    <w:rsid w:val="00B733F4"/>
    <w:rsid w:val="00B74B4C"/>
    <w:rsid w:val="00B7670E"/>
    <w:rsid w:val="00B77096"/>
    <w:rsid w:val="00B775C4"/>
    <w:rsid w:val="00B77E73"/>
    <w:rsid w:val="00B81B03"/>
    <w:rsid w:val="00B82AF0"/>
    <w:rsid w:val="00B84623"/>
    <w:rsid w:val="00B854F7"/>
    <w:rsid w:val="00B92EFC"/>
    <w:rsid w:val="00B95182"/>
    <w:rsid w:val="00B95722"/>
    <w:rsid w:val="00B9727A"/>
    <w:rsid w:val="00BA3774"/>
    <w:rsid w:val="00BA51EF"/>
    <w:rsid w:val="00BB444B"/>
    <w:rsid w:val="00BB66D5"/>
    <w:rsid w:val="00BC3E14"/>
    <w:rsid w:val="00BC3E73"/>
    <w:rsid w:val="00BC4C71"/>
    <w:rsid w:val="00BC7E6E"/>
    <w:rsid w:val="00BD1382"/>
    <w:rsid w:val="00BD2E5F"/>
    <w:rsid w:val="00BD75B2"/>
    <w:rsid w:val="00BE1D1F"/>
    <w:rsid w:val="00BE1E99"/>
    <w:rsid w:val="00BE220D"/>
    <w:rsid w:val="00BE3060"/>
    <w:rsid w:val="00BE3D1F"/>
    <w:rsid w:val="00BE3E0A"/>
    <w:rsid w:val="00BE3E6A"/>
    <w:rsid w:val="00BE5E66"/>
    <w:rsid w:val="00BE5EA4"/>
    <w:rsid w:val="00BE6BBA"/>
    <w:rsid w:val="00BF0C49"/>
    <w:rsid w:val="00BF216F"/>
    <w:rsid w:val="00BF2443"/>
    <w:rsid w:val="00BF343A"/>
    <w:rsid w:val="00BF3565"/>
    <w:rsid w:val="00BF5F32"/>
    <w:rsid w:val="00C00281"/>
    <w:rsid w:val="00C010E0"/>
    <w:rsid w:val="00C05625"/>
    <w:rsid w:val="00C1123E"/>
    <w:rsid w:val="00C17105"/>
    <w:rsid w:val="00C174A3"/>
    <w:rsid w:val="00C1751E"/>
    <w:rsid w:val="00C17C6C"/>
    <w:rsid w:val="00C21339"/>
    <w:rsid w:val="00C266F9"/>
    <w:rsid w:val="00C305C5"/>
    <w:rsid w:val="00C30C53"/>
    <w:rsid w:val="00C31EC3"/>
    <w:rsid w:val="00C32A99"/>
    <w:rsid w:val="00C343C2"/>
    <w:rsid w:val="00C37185"/>
    <w:rsid w:val="00C371EA"/>
    <w:rsid w:val="00C408D1"/>
    <w:rsid w:val="00C4222F"/>
    <w:rsid w:val="00C42F9E"/>
    <w:rsid w:val="00C43704"/>
    <w:rsid w:val="00C445AD"/>
    <w:rsid w:val="00C44CBA"/>
    <w:rsid w:val="00C453FE"/>
    <w:rsid w:val="00C458F0"/>
    <w:rsid w:val="00C4666A"/>
    <w:rsid w:val="00C473EC"/>
    <w:rsid w:val="00C479A3"/>
    <w:rsid w:val="00C50477"/>
    <w:rsid w:val="00C50881"/>
    <w:rsid w:val="00C530C3"/>
    <w:rsid w:val="00C53AA6"/>
    <w:rsid w:val="00C56D35"/>
    <w:rsid w:val="00C67BAD"/>
    <w:rsid w:val="00C7488D"/>
    <w:rsid w:val="00C74DAF"/>
    <w:rsid w:val="00C75C35"/>
    <w:rsid w:val="00C765BC"/>
    <w:rsid w:val="00C7713A"/>
    <w:rsid w:val="00C80116"/>
    <w:rsid w:val="00C82654"/>
    <w:rsid w:val="00C83E35"/>
    <w:rsid w:val="00C842D4"/>
    <w:rsid w:val="00C87BFC"/>
    <w:rsid w:val="00C922F1"/>
    <w:rsid w:val="00C9440A"/>
    <w:rsid w:val="00C950F8"/>
    <w:rsid w:val="00CA33B3"/>
    <w:rsid w:val="00CA388D"/>
    <w:rsid w:val="00CA5990"/>
    <w:rsid w:val="00CA5AE4"/>
    <w:rsid w:val="00CA6F62"/>
    <w:rsid w:val="00CA7E92"/>
    <w:rsid w:val="00CB21E2"/>
    <w:rsid w:val="00CB561E"/>
    <w:rsid w:val="00CB58DF"/>
    <w:rsid w:val="00CB6059"/>
    <w:rsid w:val="00CB6845"/>
    <w:rsid w:val="00CC1045"/>
    <w:rsid w:val="00CC2D7B"/>
    <w:rsid w:val="00CC7F75"/>
    <w:rsid w:val="00CD05DE"/>
    <w:rsid w:val="00CD0BB1"/>
    <w:rsid w:val="00CD200C"/>
    <w:rsid w:val="00CD506C"/>
    <w:rsid w:val="00CD5EFB"/>
    <w:rsid w:val="00CD676F"/>
    <w:rsid w:val="00CE5228"/>
    <w:rsid w:val="00CF2F36"/>
    <w:rsid w:val="00CF3C90"/>
    <w:rsid w:val="00CF5C7E"/>
    <w:rsid w:val="00CF5E71"/>
    <w:rsid w:val="00CF7FAC"/>
    <w:rsid w:val="00D04D55"/>
    <w:rsid w:val="00D06157"/>
    <w:rsid w:val="00D10DBF"/>
    <w:rsid w:val="00D137E7"/>
    <w:rsid w:val="00D160C1"/>
    <w:rsid w:val="00D17794"/>
    <w:rsid w:val="00D22398"/>
    <w:rsid w:val="00D23AEF"/>
    <w:rsid w:val="00D24352"/>
    <w:rsid w:val="00D312D4"/>
    <w:rsid w:val="00D31C94"/>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0479"/>
    <w:rsid w:val="00D822EE"/>
    <w:rsid w:val="00D82D10"/>
    <w:rsid w:val="00D86784"/>
    <w:rsid w:val="00D920E6"/>
    <w:rsid w:val="00D92EB2"/>
    <w:rsid w:val="00D94E23"/>
    <w:rsid w:val="00D95546"/>
    <w:rsid w:val="00D96B31"/>
    <w:rsid w:val="00D96EDC"/>
    <w:rsid w:val="00DA004C"/>
    <w:rsid w:val="00DA049F"/>
    <w:rsid w:val="00DA0AAB"/>
    <w:rsid w:val="00DA459B"/>
    <w:rsid w:val="00DA6FD8"/>
    <w:rsid w:val="00DB1882"/>
    <w:rsid w:val="00DB2CB7"/>
    <w:rsid w:val="00DC074F"/>
    <w:rsid w:val="00DC1EEB"/>
    <w:rsid w:val="00DD038C"/>
    <w:rsid w:val="00DD23C4"/>
    <w:rsid w:val="00DD4A8B"/>
    <w:rsid w:val="00DD4B19"/>
    <w:rsid w:val="00DD68B9"/>
    <w:rsid w:val="00DE00C0"/>
    <w:rsid w:val="00DE2A08"/>
    <w:rsid w:val="00DE2B4D"/>
    <w:rsid w:val="00DF0D77"/>
    <w:rsid w:val="00DF2290"/>
    <w:rsid w:val="00DF3A99"/>
    <w:rsid w:val="00DF4B91"/>
    <w:rsid w:val="00DF51C2"/>
    <w:rsid w:val="00DF5845"/>
    <w:rsid w:val="00E00E44"/>
    <w:rsid w:val="00E03FF5"/>
    <w:rsid w:val="00E049A8"/>
    <w:rsid w:val="00E061C2"/>
    <w:rsid w:val="00E12ECB"/>
    <w:rsid w:val="00E13FFA"/>
    <w:rsid w:val="00E1451F"/>
    <w:rsid w:val="00E14B6D"/>
    <w:rsid w:val="00E15A72"/>
    <w:rsid w:val="00E15E28"/>
    <w:rsid w:val="00E16577"/>
    <w:rsid w:val="00E22DDC"/>
    <w:rsid w:val="00E2352A"/>
    <w:rsid w:val="00E23E39"/>
    <w:rsid w:val="00E24512"/>
    <w:rsid w:val="00E2533A"/>
    <w:rsid w:val="00E26D38"/>
    <w:rsid w:val="00E26EDA"/>
    <w:rsid w:val="00E36051"/>
    <w:rsid w:val="00E408F0"/>
    <w:rsid w:val="00E4200B"/>
    <w:rsid w:val="00E423F6"/>
    <w:rsid w:val="00E45067"/>
    <w:rsid w:val="00E47CDF"/>
    <w:rsid w:val="00E507B8"/>
    <w:rsid w:val="00E516D5"/>
    <w:rsid w:val="00E52EE2"/>
    <w:rsid w:val="00E544FA"/>
    <w:rsid w:val="00E558C1"/>
    <w:rsid w:val="00E55E83"/>
    <w:rsid w:val="00E5792E"/>
    <w:rsid w:val="00E6026D"/>
    <w:rsid w:val="00E6077C"/>
    <w:rsid w:val="00E6182E"/>
    <w:rsid w:val="00E62A60"/>
    <w:rsid w:val="00E65CC4"/>
    <w:rsid w:val="00E6618E"/>
    <w:rsid w:val="00E67190"/>
    <w:rsid w:val="00E67628"/>
    <w:rsid w:val="00E7652F"/>
    <w:rsid w:val="00E77436"/>
    <w:rsid w:val="00E807B9"/>
    <w:rsid w:val="00E80922"/>
    <w:rsid w:val="00E82B34"/>
    <w:rsid w:val="00E82C8E"/>
    <w:rsid w:val="00E85106"/>
    <w:rsid w:val="00E87CFA"/>
    <w:rsid w:val="00E93D77"/>
    <w:rsid w:val="00E95264"/>
    <w:rsid w:val="00EA2172"/>
    <w:rsid w:val="00EA2DC1"/>
    <w:rsid w:val="00EA7BE0"/>
    <w:rsid w:val="00EA7C64"/>
    <w:rsid w:val="00EB677A"/>
    <w:rsid w:val="00EB79F0"/>
    <w:rsid w:val="00EC180A"/>
    <w:rsid w:val="00EC325E"/>
    <w:rsid w:val="00EC45F8"/>
    <w:rsid w:val="00EC5448"/>
    <w:rsid w:val="00EC5571"/>
    <w:rsid w:val="00EC5AC0"/>
    <w:rsid w:val="00EC65C2"/>
    <w:rsid w:val="00EC6613"/>
    <w:rsid w:val="00ED0E8F"/>
    <w:rsid w:val="00ED24DF"/>
    <w:rsid w:val="00ED43DC"/>
    <w:rsid w:val="00ED54FD"/>
    <w:rsid w:val="00EE0782"/>
    <w:rsid w:val="00EE10F2"/>
    <w:rsid w:val="00EE1504"/>
    <w:rsid w:val="00EE3B5B"/>
    <w:rsid w:val="00EE4CC9"/>
    <w:rsid w:val="00EE52A8"/>
    <w:rsid w:val="00EE6AE3"/>
    <w:rsid w:val="00EE79F6"/>
    <w:rsid w:val="00EF1920"/>
    <w:rsid w:val="00EF4800"/>
    <w:rsid w:val="00EF674A"/>
    <w:rsid w:val="00EF77D8"/>
    <w:rsid w:val="00F00A3D"/>
    <w:rsid w:val="00F129BF"/>
    <w:rsid w:val="00F12D12"/>
    <w:rsid w:val="00F12DB4"/>
    <w:rsid w:val="00F17CA4"/>
    <w:rsid w:val="00F217C2"/>
    <w:rsid w:val="00F22D46"/>
    <w:rsid w:val="00F24DDD"/>
    <w:rsid w:val="00F2770B"/>
    <w:rsid w:val="00F3328F"/>
    <w:rsid w:val="00F33FEA"/>
    <w:rsid w:val="00F340F0"/>
    <w:rsid w:val="00F343BB"/>
    <w:rsid w:val="00F37727"/>
    <w:rsid w:val="00F408FB"/>
    <w:rsid w:val="00F435D5"/>
    <w:rsid w:val="00F438B8"/>
    <w:rsid w:val="00F52B40"/>
    <w:rsid w:val="00F537F5"/>
    <w:rsid w:val="00F549A3"/>
    <w:rsid w:val="00F55CBF"/>
    <w:rsid w:val="00F56EA5"/>
    <w:rsid w:val="00F6107E"/>
    <w:rsid w:val="00F63388"/>
    <w:rsid w:val="00F63965"/>
    <w:rsid w:val="00F63D05"/>
    <w:rsid w:val="00F66F2E"/>
    <w:rsid w:val="00F719E6"/>
    <w:rsid w:val="00F72B10"/>
    <w:rsid w:val="00F77359"/>
    <w:rsid w:val="00F8260B"/>
    <w:rsid w:val="00F8434B"/>
    <w:rsid w:val="00F86A73"/>
    <w:rsid w:val="00F9174B"/>
    <w:rsid w:val="00FA3361"/>
    <w:rsid w:val="00FA52CE"/>
    <w:rsid w:val="00FA58DA"/>
    <w:rsid w:val="00FA6418"/>
    <w:rsid w:val="00FB1F0E"/>
    <w:rsid w:val="00FB3CAF"/>
    <w:rsid w:val="00FB4FF0"/>
    <w:rsid w:val="00FB62DC"/>
    <w:rsid w:val="00FB6BDA"/>
    <w:rsid w:val="00FC345B"/>
    <w:rsid w:val="00FC4EF3"/>
    <w:rsid w:val="00FC52D7"/>
    <w:rsid w:val="00FC5B1C"/>
    <w:rsid w:val="00FC5C6C"/>
    <w:rsid w:val="00FC663F"/>
    <w:rsid w:val="00FC7B82"/>
    <w:rsid w:val="00FD4E37"/>
    <w:rsid w:val="00FE2236"/>
    <w:rsid w:val="00FE3B44"/>
    <w:rsid w:val="00FE3E2D"/>
    <w:rsid w:val="1C25567B"/>
    <w:rsid w:val="52CB2027"/>
    <w:rsid w:val="6E2559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0" w:semiHidden="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2" w:lineRule="auto"/>
    </w:pPr>
    <w:rPr>
      <w:rFonts w:ascii="Times New Roman" w:hAnsi="Times New Roman" w:eastAsia="Times New Roman" w:cs="Times New Roman"/>
      <w:lang w:val="en-GB" w:eastAsia="zh-TW"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Times New Roman" w:cs="Times New Roman"/>
      <w:sz w:val="36"/>
      <w:lang w:val="en-GB" w:eastAsia="zh-TW" w:bidi="ar-SA"/>
    </w:rPr>
  </w:style>
  <w:style w:type="paragraph" w:styleId="3">
    <w:name w:val="heading 2"/>
    <w:basedOn w:val="2"/>
    <w:next w:val="1"/>
    <w:link w:val="17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3"/>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link w:val="148"/>
    <w:qFormat/>
    <w:uiPriority w:val="0"/>
    <w:pPr>
      <w:outlineLvl w:val="5"/>
    </w:pPr>
  </w:style>
  <w:style w:type="paragraph" w:styleId="9">
    <w:name w:val="heading 7"/>
    <w:basedOn w:val="8"/>
    <w:next w:val="1"/>
    <w:link w:val="147"/>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spacing w:line="259" w:lineRule="auto"/>
      <w:ind w:left="568" w:hanging="284"/>
      <w:textAlignment w:val="baseline"/>
    </w:pPr>
  </w:style>
  <w:style w:type="paragraph" w:styleId="15">
    <w:name w:val="toc 7"/>
    <w:basedOn w:val="16"/>
    <w:next w:val="1"/>
    <w:uiPriority w:val="0"/>
    <w:pPr>
      <w:tabs>
        <w:tab w:val="right" w:leader="dot" w:pos="9639"/>
      </w:tabs>
      <w:ind w:left="2268" w:hanging="2268"/>
    </w:pPr>
  </w:style>
  <w:style w:type="paragraph" w:styleId="16">
    <w:name w:val="toc 6"/>
    <w:basedOn w:val="17"/>
    <w:next w:val="1"/>
    <w:uiPriority w:val="0"/>
    <w:pPr>
      <w:tabs>
        <w:tab w:val="right" w:leader="dot" w:pos="9639"/>
      </w:tabs>
      <w:ind w:left="1985" w:hanging="1985"/>
    </w:pPr>
  </w:style>
  <w:style w:type="paragraph" w:styleId="17">
    <w:name w:val="toc 5"/>
    <w:basedOn w:val="18"/>
    <w:next w:val="1"/>
    <w:uiPriority w:val="0"/>
    <w:pPr>
      <w:tabs>
        <w:tab w:val="right" w:leader="dot" w:pos="9639"/>
      </w:tabs>
      <w:ind w:left="1701" w:hanging="1701"/>
    </w:pPr>
  </w:style>
  <w:style w:type="paragraph" w:styleId="18">
    <w:name w:val="toc 4"/>
    <w:basedOn w:val="19"/>
    <w:next w:val="1"/>
    <w:qFormat/>
    <w:uiPriority w:val="0"/>
    <w:pPr>
      <w:tabs>
        <w:tab w:val="right" w:leader="dot" w:pos="9639"/>
      </w:tabs>
      <w:ind w:left="1418" w:hanging="1418"/>
    </w:pPr>
  </w:style>
  <w:style w:type="paragraph" w:styleId="19">
    <w:name w:val="toc 3"/>
    <w:basedOn w:val="20"/>
    <w:next w:val="1"/>
    <w:uiPriority w:val="0"/>
    <w:pPr>
      <w:tabs>
        <w:tab w:val="right" w:leader="dot" w:pos="9639"/>
      </w:tabs>
      <w:ind w:left="1134" w:hanging="1134"/>
    </w:pPr>
  </w:style>
  <w:style w:type="paragraph" w:styleId="20">
    <w:name w:val="toc 2"/>
    <w:basedOn w:val="21"/>
    <w:next w:val="1"/>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Times New Roman" w:cs="Times New Roman"/>
      <w:sz w:val="22"/>
      <w:lang w:val="en-US" w:eastAsia="zh-TW"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35"/>
    <w:pPr>
      <w:overflowPunct/>
      <w:autoSpaceDE/>
      <w:autoSpaceDN/>
      <w:adjustRightInd/>
      <w:spacing w:before="120" w:after="120" w:line="259" w:lineRule="auto"/>
    </w:pPr>
    <w:rPr>
      <w:rFonts w:eastAsia="MS Gothic"/>
      <w:b/>
      <w:sz w:val="24"/>
      <w:lang w:eastAsia="ja-JP"/>
    </w:rPr>
  </w:style>
  <w:style w:type="paragraph" w:styleId="29">
    <w:name w:val="Document Map"/>
    <w:basedOn w:val="1"/>
    <w:link w:val="97"/>
    <w:uiPriority w:val="0"/>
    <w:pPr>
      <w:shd w:val="clear" w:color="auto" w:fill="000080"/>
      <w:overflowPunct/>
      <w:autoSpaceDE/>
      <w:autoSpaceDN/>
      <w:adjustRightInd/>
      <w:spacing w:after="0" w:line="259" w:lineRule="auto"/>
    </w:pPr>
    <w:rPr>
      <w:rFonts w:ascii="Tahoma" w:hAnsi="Tahoma" w:eastAsia="MS Gothic"/>
      <w:sz w:val="24"/>
      <w:lang w:eastAsia="ja-JP"/>
    </w:rPr>
  </w:style>
  <w:style w:type="paragraph" w:styleId="30">
    <w:name w:val="annotation text"/>
    <w:basedOn w:val="1"/>
    <w:link w:val="113"/>
    <w:qFormat/>
    <w:uiPriority w:val="0"/>
    <w:pPr>
      <w:overflowPunct/>
      <w:autoSpaceDE/>
      <w:autoSpaceDN/>
      <w:adjustRightInd/>
      <w:spacing w:after="0" w:line="259" w:lineRule="auto"/>
    </w:pPr>
    <w:rPr>
      <w:rFonts w:eastAsia="MS Gothic"/>
      <w:lang w:eastAsia="ja-JP"/>
    </w:rPr>
  </w:style>
  <w:style w:type="paragraph" w:styleId="31">
    <w:name w:val="Body Text 3"/>
    <w:basedOn w:val="1"/>
    <w:link w:val="105"/>
    <w:qFormat/>
    <w:uiPriority w:val="0"/>
    <w:pPr>
      <w:overflowPunct/>
      <w:autoSpaceDE/>
      <w:autoSpaceDN/>
      <w:adjustRightInd/>
      <w:spacing w:after="0" w:line="259" w:lineRule="auto"/>
      <w:jc w:val="both"/>
    </w:pPr>
    <w:rPr>
      <w:rFonts w:eastAsia="MS Gothic"/>
      <w:sz w:val="24"/>
      <w:lang w:eastAsia="ja-JP"/>
    </w:rPr>
  </w:style>
  <w:style w:type="paragraph" w:styleId="32">
    <w:name w:val="Body Text"/>
    <w:basedOn w:val="1"/>
    <w:link w:val="95"/>
    <w:qFormat/>
    <w:uiPriority w:val="0"/>
    <w:pPr>
      <w:overflowPunct/>
      <w:autoSpaceDE/>
      <w:autoSpaceDN/>
      <w:adjustRightInd/>
      <w:spacing w:after="120" w:line="259" w:lineRule="auto"/>
    </w:pPr>
    <w:rPr>
      <w:rFonts w:eastAsia="MS Gothic"/>
      <w:sz w:val="24"/>
      <w:lang w:eastAsia="ja-JP"/>
    </w:rPr>
  </w:style>
  <w:style w:type="paragraph" w:styleId="33">
    <w:name w:val="Body Text Indent"/>
    <w:basedOn w:val="1"/>
    <w:link w:val="96"/>
    <w:uiPriority w:val="0"/>
    <w:pPr>
      <w:overflowPunct/>
      <w:autoSpaceDE/>
      <w:autoSpaceDN/>
      <w:adjustRightInd/>
      <w:spacing w:after="0" w:line="259" w:lineRule="auto"/>
      <w:ind w:left="360"/>
    </w:pPr>
    <w:rPr>
      <w:rFonts w:eastAsia="MS Gothic"/>
      <w:sz w:val="24"/>
      <w:lang w:eastAsia="ja-JP"/>
    </w:rPr>
  </w:style>
  <w:style w:type="paragraph" w:styleId="34">
    <w:name w:val="Plain Text"/>
    <w:basedOn w:val="1"/>
    <w:link w:val="98"/>
    <w:qFormat/>
    <w:uiPriority w:val="0"/>
    <w:pPr>
      <w:overflowPunct/>
      <w:autoSpaceDE/>
      <w:autoSpaceDN/>
      <w:adjustRightInd/>
      <w:spacing w:after="0" w:line="259" w:lineRule="auto"/>
    </w:pPr>
    <w:rPr>
      <w:rFonts w:ascii="Courier New" w:hAnsi="Courier New" w:eastAsia="MS Gothic"/>
      <w:sz w:val="24"/>
      <w:lang w:eastAsia="ja-JP"/>
    </w:rPr>
  </w:style>
  <w:style w:type="paragraph" w:styleId="35">
    <w:name w:val="List Bullet 5"/>
    <w:basedOn w:val="24"/>
    <w:uiPriority w:val="0"/>
    <w:pPr>
      <w:ind w:left="1702"/>
    </w:pPr>
  </w:style>
  <w:style w:type="paragraph" w:styleId="36">
    <w:name w:val="toc 8"/>
    <w:basedOn w:val="21"/>
    <w:next w:val="1"/>
    <w:qFormat/>
    <w:uiPriority w:val="0"/>
    <w:pPr>
      <w:spacing w:before="180"/>
      <w:ind w:left="2693" w:hanging="2693"/>
    </w:pPr>
    <w:rPr>
      <w:b/>
    </w:rPr>
  </w:style>
  <w:style w:type="paragraph" w:styleId="37">
    <w:name w:val="Body Text Indent 2"/>
    <w:basedOn w:val="1"/>
    <w:link w:val="101"/>
    <w:qFormat/>
    <w:uiPriority w:val="0"/>
    <w:pPr>
      <w:widowControl w:val="0"/>
      <w:overflowPunct/>
      <w:spacing w:after="0" w:line="259" w:lineRule="auto"/>
      <w:ind w:left="1656"/>
      <w:jc w:val="both"/>
      <w:textAlignment w:val="baseline"/>
    </w:pPr>
    <w:rPr>
      <w:rFonts w:eastAsia="MS Gothic"/>
      <w:kern w:val="2"/>
      <w:sz w:val="24"/>
      <w:lang w:eastAsia="ja-JP"/>
    </w:rPr>
  </w:style>
  <w:style w:type="paragraph" w:styleId="38">
    <w:name w:val="Balloon Text"/>
    <w:basedOn w:val="1"/>
    <w:link w:val="111"/>
    <w:qFormat/>
    <w:uiPriority w:val="0"/>
    <w:pPr>
      <w:overflowPunct/>
      <w:autoSpaceDE/>
      <w:autoSpaceDN/>
      <w:adjustRightInd/>
      <w:spacing w:after="0" w:line="259" w:lineRule="auto"/>
    </w:pPr>
    <w:rPr>
      <w:rFonts w:ascii="Arial" w:hAnsi="Arial" w:eastAsia="MS Gothic"/>
      <w:sz w:val="18"/>
      <w:lang w:eastAsia="ja-JP"/>
    </w:rPr>
  </w:style>
  <w:style w:type="paragraph" w:styleId="39">
    <w:name w:val="footer"/>
    <w:basedOn w:val="40"/>
    <w:link w:val="143"/>
    <w:qFormat/>
    <w:uiPriority w:val="0"/>
    <w:pPr>
      <w:jc w:val="center"/>
    </w:pPr>
    <w:rPr>
      <w:i/>
    </w:rPr>
  </w:style>
  <w:style w:type="paragraph" w:styleId="40">
    <w:name w:val="header"/>
    <w:link w:val="126"/>
    <w:uiPriority w:val="0"/>
    <w:pPr>
      <w:widowControl w:val="0"/>
      <w:overflowPunct w:val="0"/>
      <w:autoSpaceDE w:val="0"/>
      <w:autoSpaceDN w:val="0"/>
      <w:adjustRightInd w:val="0"/>
      <w:spacing w:after="160" w:line="259" w:lineRule="auto"/>
      <w:textAlignment w:val="baseline"/>
    </w:pPr>
    <w:rPr>
      <w:rFonts w:ascii="Arial" w:hAnsi="Arial" w:eastAsia="Times New Roman" w:cs="Times New Roman"/>
      <w:b/>
      <w:sz w:val="18"/>
      <w:lang w:val="en-US" w:eastAsia="zh-TW" w:bidi="ar-SA"/>
    </w:rPr>
  </w:style>
  <w:style w:type="paragraph" w:styleId="41">
    <w:name w:val="footnote text"/>
    <w:basedOn w:val="1"/>
    <w:semiHidden/>
    <w:qFormat/>
    <w:uiPriority w:val="0"/>
    <w:pPr>
      <w:keepLines/>
      <w:spacing w:after="0" w:line="259" w:lineRule="auto"/>
      <w:ind w:left="454" w:hanging="454"/>
      <w:textAlignment w:val="baseline"/>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21"/>
    <w:next w:val="1"/>
    <w:qFormat/>
    <w:uiPriority w:val="0"/>
    <w:pPr>
      <w:keepNext w:val="0"/>
      <w:keepLines w:val="0"/>
      <w:widowControl/>
      <w:tabs>
        <w:tab w:val="right" w:leader="dot" w:pos="9360"/>
        <w:tab w:val="clear" w:pos="9639"/>
      </w:tabs>
      <w:overflowPunct/>
      <w:autoSpaceDE/>
      <w:autoSpaceDN/>
      <w:adjustRightInd/>
      <w:spacing w:after="120"/>
      <w:ind w:left="0" w:right="0" w:firstLine="0"/>
      <w:textAlignment w:val="auto"/>
    </w:pPr>
    <w:rPr>
      <w:rFonts w:eastAsia="MS Gothic"/>
      <w:caps/>
      <w:sz w:val="24"/>
      <w:lang w:eastAsia="ja-JP"/>
    </w:rPr>
  </w:style>
  <w:style w:type="paragraph" w:styleId="45">
    <w:name w:val="toc 9"/>
    <w:basedOn w:val="36"/>
    <w:next w:val="1"/>
    <w:uiPriority w:val="0"/>
    <w:pPr>
      <w:ind w:left="1418" w:hanging="1418"/>
    </w:pPr>
  </w:style>
  <w:style w:type="paragraph" w:styleId="46">
    <w:name w:val="Normal (Web)"/>
    <w:basedOn w:val="1"/>
    <w:unhideWhenUsed/>
    <w:qFormat/>
    <w:uiPriority w:val="99"/>
    <w:pPr>
      <w:overflowPunct/>
      <w:autoSpaceDE/>
      <w:autoSpaceDN/>
      <w:adjustRightInd/>
      <w:spacing w:before="100" w:beforeAutospacing="1" w:after="100" w:afterAutospacing="1" w:line="259" w:lineRule="auto"/>
    </w:pPr>
    <w:rPr>
      <w:rFonts w:ascii="MS PGothic" w:hAnsi="MS PGothic" w:eastAsia="MS PGothic" w:cs="MS PGothic"/>
      <w:sz w:val="24"/>
      <w:szCs w:val="24"/>
      <w:lang w:val="en-US" w:eastAsia="ja-JP"/>
    </w:rPr>
  </w:style>
  <w:style w:type="paragraph" w:styleId="47">
    <w:name w:val="index 1"/>
    <w:basedOn w:val="1"/>
    <w:next w:val="1"/>
    <w:uiPriority w:val="0"/>
    <w:pPr>
      <w:keepLines/>
      <w:spacing w:after="0" w:line="259" w:lineRule="auto"/>
      <w:textAlignment w:val="baseline"/>
    </w:pPr>
  </w:style>
  <w:style w:type="paragraph" w:styleId="48">
    <w:name w:val="index 2"/>
    <w:basedOn w:val="47"/>
    <w:next w:val="1"/>
    <w:uiPriority w:val="0"/>
    <w:pPr>
      <w:ind w:left="284"/>
    </w:pPr>
  </w:style>
  <w:style w:type="paragraph" w:styleId="49">
    <w:name w:val="Title"/>
    <w:basedOn w:val="1"/>
    <w:link w:val="104"/>
    <w:qFormat/>
    <w:uiPriority w:val="0"/>
    <w:pPr>
      <w:overflowPunct/>
      <w:autoSpaceDE/>
      <w:autoSpaceDN/>
      <w:adjustRightInd/>
      <w:spacing w:after="0" w:line="259" w:lineRule="auto"/>
      <w:jc w:val="center"/>
    </w:pPr>
    <w:rPr>
      <w:rFonts w:ascii="Arial" w:hAnsi="Arial" w:eastAsia="MS Gothic"/>
      <w:b/>
      <w:sz w:val="24"/>
      <w:lang w:eastAsia="ja-JP"/>
    </w:rPr>
  </w:style>
  <w:style w:type="paragraph" w:styleId="50">
    <w:name w:val="annotation subject"/>
    <w:basedOn w:val="30"/>
    <w:next w:val="30"/>
    <w:link w:val="117"/>
    <w:uiPriority w:val="0"/>
    <w:rPr>
      <w:b/>
      <w:sz w:val="24"/>
    </w:rPr>
  </w:style>
  <w:style w:type="table" w:styleId="52">
    <w:name w:val="Table Grid"/>
    <w:basedOn w:val="5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uiPriority w:val="0"/>
  </w:style>
  <w:style w:type="character" w:styleId="56">
    <w:name w:val="FollowedHyperlink"/>
    <w:uiPriority w:val="0"/>
    <w:rPr>
      <w:color w:val="800080"/>
      <w:u w:val="single"/>
    </w:rPr>
  </w:style>
  <w:style w:type="character" w:styleId="57">
    <w:name w:val="Emphasis"/>
    <w:basedOn w:val="53"/>
    <w:qFormat/>
    <w:uiPriority w:val="20"/>
    <w:rPr>
      <w:i/>
      <w:iCs/>
    </w:rPr>
  </w:style>
  <w:style w:type="character" w:styleId="58">
    <w:name w:val="Hyperlink"/>
    <w:qFormat/>
    <w:uiPriority w:val="99"/>
    <w:rPr>
      <w:color w:val="0000FF"/>
      <w:u w:val="single"/>
    </w:rPr>
  </w:style>
  <w:style w:type="character" w:styleId="59">
    <w:name w:val="annotation reference"/>
    <w:uiPriority w:val="0"/>
    <w:rPr>
      <w:rFonts w:eastAsia="Times New Roman"/>
      <w:kern w:val="2"/>
      <w:sz w:val="16"/>
      <w:lang w:val="en-GB"/>
    </w:rPr>
  </w:style>
  <w:style w:type="character" w:styleId="60">
    <w:name w:val="footnote reference"/>
    <w:basedOn w:val="53"/>
    <w:semiHidden/>
    <w:uiPriority w:val="0"/>
    <w:rPr>
      <w:b/>
      <w:position w:val="6"/>
      <w:sz w:val="16"/>
    </w:rPr>
  </w:style>
  <w:style w:type="paragraph" w:customStyle="1" w:styleId="61">
    <w:name w:val="FP"/>
    <w:basedOn w:val="1"/>
    <w:uiPriority w:val="0"/>
    <w:pPr>
      <w:spacing w:after="0" w:line="259" w:lineRule="auto"/>
      <w:textAlignment w:val="baseline"/>
    </w:pPr>
  </w:style>
  <w:style w:type="paragraph" w:customStyle="1" w:styleId="62">
    <w:name w:val="Z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zh-TW" w:bidi="ar-SA"/>
    </w:rPr>
  </w:style>
  <w:style w:type="paragraph" w:customStyle="1" w:styleId="63">
    <w:name w:val="ZH"/>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Times New Roman" w:cs="Times New Roman"/>
      <w:lang w:val="en-US" w:eastAsia="zh-TW" w:bidi="ar-SA"/>
    </w:rPr>
  </w:style>
  <w:style w:type="paragraph" w:customStyle="1" w:styleId="64">
    <w:name w:val="TT"/>
    <w:basedOn w:val="2"/>
    <w:next w:val="1"/>
    <w:uiPriority w:val="0"/>
    <w:pPr>
      <w:outlineLvl w:val="9"/>
    </w:pPr>
  </w:style>
  <w:style w:type="paragraph" w:customStyle="1" w:styleId="65">
    <w:name w:val="TAH"/>
    <w:basedOn w:val="66"/>
    <w:link w:val="123"/>
    <w:uiPriority w:val="0"/>
    <w:rPr>
      <w:b/>
    </w:rPr>
  </w:style>
  <w:style w:type="paragraph" w:customStyle="1" w:styleId="66">
    <w:name w:val="TAC"/>
    <w:basedOn w:val="67"/>
    <w:link w:val="122"/>
    <w:uiPriority w:val="0"/>
    <w:pPr>
      <w:jc w:val="center"/>
    </w:pPr>
  </w:style>
  <w:style w:type="paragraph" w:customStyle="1" w:styleId="67">
    <w:name w:val="TAL"/>
    <w:basedOn w:val="1"/>
    <w:link w:val="145"/>
    <w:uiPriority w:val="0"/>
    <w:pPr>
      <w:keepNext/>
      <w:keepLines/>
      <w:spacing w:after="0" w:line="259" w:lineRule="auto"/>
      <w:textAlignment w:val="baseline"/>
    </w:pPr>
    <w:rPr>
      <w:rFonts w:ascii="Arial" w:hAnsi="Arial"/>
      <w:sz w:val="18"/>
    </w:rPr>
  </w:style>
  <w:style w:type="paragraph" w:customStyle="1" w:styleId="68">
    <w:name w:val="TF"/>
    <w:basedOn w:val="69"/>
    <w:link w:val="164"/>
    <w:uiPriority w:val="0"/>
    <w:pPr>
      <w:keepNext w:val="0"/>
      <w:spacing w:before="0" w:after="240"/>
    </w:pPr>
  </w:style>
  <w:style w:type="paragraph" w:customStyle="1" w:styleId="69">
    <w:name w:val="TH"/>
    <w:basedOn w:val="1"/>
    <w:link w:val="144"/>
    <w:uiPriority w:val="0"/>
    <w:pPr>
      <w:keepNext/>
      <w:keepLines/>
      <w:spacing w:before="60" w:line="259" w:lineRule="auto"/>
      <w:jc w:val="center"/>
      <w:textAlignment w:val="baseline"/>
    </w:pPr>
    <w:rPr>
      <w:rFonts w:ascii="Arial" w:hAnsi="Arial"/>
      <w:b/>
    </w:rPr>
  </w:style>
  <w:style w:type="paragraph" w:customStyle="1" w:styleId="70">
    <w:name w:val="NO"/>
    <w:basedOn w:val="1"/>
    <w:uiPriority w:val="0"/>
    <w:pPr>
      <w:keepLines/>
      <w:spacing w:line="259" w:lineRule="auto"/>
      <w:ind w:left="1135" w:hanging="851"/>
      <w:textAlignment w:val="baseline"/>
    </w:pPr>
  </w:style>
  <w:style w:type="paragraph" w:customStyle="1" w:styleId="71">
    <w:name w:val="EX"/>
    <w:basedOn w:val="1"/>
    <w:uiPriority w:val="0"/>
    <w:pPr>
      <w:keepLines/>
      <w:spacing w:line="259" w:lineRule="auto"/>
      <w:ind w:left="1702" w:hanging="1418"/>
      <w:textAlignment w:val="baseline"/>
    </w:pPr>
  </w:style>
  <w:style w:type="paragraph" w:customStyle="1" w:styleId="72">
    <w:name w:val="LD"/>
    <w:uiPriority w:val="0"/>
    <w:pPr>
      <w:keepNext/>
      <w:keepLines/>
      <w:overflowPunct w:val="0"/>
      <w:autoSpaceDE w:val="0"/>
      <w:autoSpaceDN w:val="0"/>
      <w:adjustRightInd w:val="0"/>
      <w:spacing w:after="160" w:line="180" w:lineRule="exact"/>
      <w:textAlignment w:val="baseline"/>
    </w:pPr>
    <w:rPr>
      <w:rFonts w:ascii="Courier New" w:hAnsi="Courier New" w:eastAsia="Times New Roman" w:cs="Times New Roman"/>
      <w:lang w:val="en-US" w:eastAsia="zh-TW" w:bidi="ar-SA"/>
    </w:rPr>
  </w:style>
  <w:style w:type="paragraph" w:customStyle="1" w:styleId="73">
    <w:name w:val="NW"/>
    <w:basedOn w:val="70"/>
    <w:uiPriority w:val="0"/>
    <w:pPr>
      <w:spacing w:after="0"/>
    </w:pPr>
  </w:style>
  <w:style w:type="paragraph" w:customStyle="1" w:styleId="74">
    <w:name w:val="EW"/>
    <w:basedOn w:val="71"/>
    <w:uiPriority w:val="0"/>
    <w:pPr>
      <w:spacing w:after="0"/>
    </w:pPr>
  </w:style>
  <w:style w:type="paragraph" w:customStyle="1" w:styleId="75">
    <w:name w:val="EQ"/>
    <w:basedOn w:val="1"/>
    <w:next w:val="1"/>
    <w:uiPriority w:val="0"/>
    <w:pPr>
      <w:keepLines/>
      <w:tabs>
        <w:tab w:val="center" w:pos="4536"/>
        <w:tab w:val="right" w:pos="9072"/>
      </w:tabs>
      <w:spacing w:line="259" w:lineRule="auto"/>
      <w:textAlignment w:val="baseline"/>
    </w:pPr>
  </w:style>
  <w:style w:type="paragraph" w:customStyle="1" w:styleId="76">
    <w:name w:val="NF"/>
    <w:basedOn w:val="70"/>
    <w:uiPriority w:val="0"/>
    <w:pPr>
      <w:keepNext/>
      <w:spacing w:after="0"/>
    </w:pPr>
    <w:rPr>
      <w:rFonts w:ascii="Arial" w:hAnsi="Arial"/>
      <w:sz w:val="18"/>
    </w:rPr>
  </w:style>
  <w:style w:type="paragraph" w:customStyle="1" w:styleId="7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US" w:eastAsia="zh-TW" w:bidi="ar-SA"/>
    </w:rPr>
  </w:style>
  <w:style w:type="paragraph" w:customStyle="1" w:styleId="78">
    <w:name w:val="TAR"/>
    <w:basedOn w:val="67"/>
    <w:uiPriority w:val="0"/>
    <w:pPr>
      <w:jc w:val="right"/>
    </w:pPr>
  </w:style>
  <w:style w:type="paragraph" w:customStyle="1" w:styleId="79">
    <w:name w:val="TAN"/>
    <w:basedOn w:val="67"/>
    <w:link w:val="142"/>
    <w:uiPriority w:val="0"/>
    <w:pPr>
      <w:ind w:left="851" w:hanging="851"/>
    </w:p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US" w:eastAsia="zh-TW" w:bidi="ar-SA"/>
    </w:rPr>
  </w:style>
  <w:style w:type="paragraph" w:customStyle="1" w:styleId="81">
    <w:name w:val="ZB"/>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US" w:eastAsia="zh-TW" w:bidi="ar-SA"/>
    </w:rPr>
  </w:style>
  <w:style w:type="paragraph" w:customStyle="1" w:styleId="82">
    <w:name w:val="ZD"/>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Times New Roman" w:cs="Times New Roman"/>
      <w:sz w:val="32"/>
      <w:lang w:val="en-US" w:eastAsia="zh-TW" w:bidi="ar-SA"/>
    </w:rPr>
  </w:style>
  <w:style w:type="paragraph" w:customStyle="1" w:styleId="83">
    <w:name w:val="ZU"/>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US" w:eastAsia="zh-TW" w:bidi="ar-SA"/>
    </w:rPr>
  </w:style>
  <w:style w:type="paragraph" w:customStyle="1" w:styleId="84">
    <w:name w:val="ZV"/>
    <w:basedOn w:val="83"/>
    <w:uiPriority w:val="0"/>
    <w:pPr>
      <w:framePr w:y="16161"/>
    </w:pPr>
  </w:style>
  <w:style w:type="character" w:customStyle="1" w:styleId="85">
    <w:name w:val="ZGSM"/>
    <w:uiPriority w:val="0"/>
  </w:style>
  <w:style w:type="paragraph" w:customStyle="1" w:styleId="86">
    <w:name w:val="ZG"/>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US" w:eastAsia="zh-TW" w:bidi="ar-SA"/>
    </w:rPr>
  </w:style>
  <w:style w:type="paragraph" w:customStyle="1" w:styleId="87">
    <w:name w:val="Editor's Note"/>
    <w:basedOn w:val="70"/>
    <w:uiPriority w:val="0"/>
    <w:rPr>
      <w:color w:val="FF0000"/>
    </w:rPr>
  </w:style>
  <w:style w:type="paragraph" w:customStyle="1" w:styleId="88">
    <w:name w:val="B1"/>
    <w:basedOn w:val="14"/>
    <w:link w:val="136"/>
    <w:qFormat/>
    <w:uiPriority w:val="0"/>
  </w:style>
  <w:style w:type="paragraph" w:customStyle="1" w:styleId="89">
    <w:name w:val="B2"/>
    <w:basedOn w:val="13"/>
    <w:link w:val="158"/>
    <w:qFormat/>
    <w:uiPriority w:val="0"/>
  </w:style>
  <w:style w:type="paragraph" w:customStyle="1" w:styleId="90">
    <w:name w:val="B3"/>
    <w:basedOn w:val="12"/>
    <w:uiPriority w:val="0"/>
  </w:style>
  <w:style w:type="paragraph" w:customStyle="1" w:styleId="91">
    <w:name w:val="B4"/>
    <w:basedOn w:val="43"/>
    <w:uiPriority w:val="0"/>
  </w:style>
  <w:style w:type="paragraph" w:customStyle="1" w:styleId="92">
    <w:name w:val="B5"/>
    <w:basedOn w:val="42"/>
    <w:uiPriority w:val="0"/>
  </w:style>
  <w:style w:type="paragraph" w:customStyle="1" w:styleId="93">
    <w:name w:val="ZTD"/>
    <w:basedOn w:val="81"/>
    <w:qFormat/>
    <w:uiPriority w:val="0"/>
    <w:pPr>
      <w:framePr w:hRule="auto" w:y="852"/>
    </w:pPr>
    <w:rPr>
      <w:i w:val="0"/>
      <w:sz w:val="40"/>
    </w:rPr>
  </w:style>
  <w:style w:type="paragraph" w:customStyle="1" w:styleId="94">
    <w:name w:val="Heading 1 unnumbered"/>
    <w:basedOn w:val="2"/>
    <w:next w:val="32"/>
    <w:uiPriority w:val="0"/>
    <w:pPr>
      <w:keepLines w:val="0"/>
      <w:pBdr>
        <w:top w:val="none" w:color="auto" w:sz="0" w:space="0"/>
      </w:pBdr>
      <w:tabs>
        <w:tab w:val="left" w:pos="0"/>
        <w:tab w:val="left" w:pos="360"/>
      </w:tabs>
      <w:overflowPunct/>
      <w:autoSpaceDE/>
      <w:autoSpaceDN/>
      <w:adjustRightInd/>
      <w:spacing w:before="360" w:after="240"/>
      <w:ind w:left="360" w:hanging="360"/>
      <w:textAlignment w:val="auto"/>
      <w:outlineLvl w:val="9"/>
    </w:pPr>
    <w:rPr>
      <w:rFonts w:ascii="Times New Roman" w:hAnsi="Times New Roman" w:eastAsia="MS Gothic"/>
      <w:kern w:val="28"/>
      <w:sz w:val="32"/>
      <w:lang w:eastAsia="ja-JP"/>
    </w:rPr>
  </w:style>
  <w:style w:type="character" w:customStyle="1" w:styleId="95">
    <w:name w:val="Body Text Char"/>
    <w:link w:val="32"/>
    <w:uiPriority w:val="0"/>
    <w:rPr>
      <w:rFonts w:eastAsia="MS Gothic"/>
      <w:sz w:val="24"/>
      <w:lang w:val="en-GB"/>
    </w:rPr>
  </w:style>
  <w:style w:type="character" w:customStyle="1" w:styleId="96">
    <w:name w:val="Body Text Indent Char"/>
    <w:link w:val="33"/>
    <w:uiPriority w:val="0"/>
    <w:rPr>
      <w:rFonts w:eastAsia="MS Gothic"/>
      <w:sz w:val="24"/>
      <w:lang w:val="en-GB"/>
    </w:rPr>
  </w:style>
  <w:style w:type="character" w:customStyle="1" w:styleId="97">
    <w:name w:val="Document Map Char"/>
    <w:link w:val="29"/>
    <w:uiPriority w:val="0"/>
    <w:rPr>
      <w:rFonts w:ascii="Tahoma" w:hAnsi="Tahoma" w:eastAsia="MS Gothic"/>
      <w:sz w:val="24"/>
      <w:shd w:val="clear" w:color="auto" w:fill="000080"/>
      <w:lang w:val="en-GB"/>
    </w:rPr>
  </w:style>
  <w:style w:type="character" w:customStyle="1" w:styleId="98">
    <w:name w:val="Plain Text Char"/>
    <w:link w:val="34"/>
    <w:uiPriority w:val="0"/>
    <w:rPr>
      <w:rFonts w:ascii="Courier New" w:hAnsi="Courier New" w:eastAsia="MS Gothic"/>
      <w:sz w:val="24"/>
      <w:lang w:val="en-GB"/>
    </w:rPr>
  </w:style>
  <w:style w:type="paragraph" w:customStyle="1" w:styleId="99">
    <w:name w:val="lˆptext"/>
    <w:basedOn w:val="1"/>
    <w:uiPriority w:val="0"/>
    <w:pPr>
      <w:overflowPunct/>
      <w:autoSpaceDE/>
      <w:autoSpaceDN/>
      <w:adjustRightInd/>
      <w:spacing w:before="100" w:after="100" w:line="259" w:lineRule="auto"/>
      <w:ind w:left="860"/>
    </w:pPr>
    <w:rPr>
      <w:rFonts w:ascii="Times" w:hAnsi="Times" w:eastAsia="MS Gothic"/>
      <w:sz w:val="24"/>
      <w:lang w:eastAsia="ja-JP"/>
    </w:rPr>
  </w:style>
  <w:style w:type="paragraph" w:customStyle="1" w:styleId="100">
    <w:name w:val="佐藤２"/>
    <w:basedOn w:val="1"/>
    <w:uiPriority w:val="0"/>
    <w:pPr>
      <w:numPr>
        <w:ilvl w:val="0"/>
        <w:numId w:val="1"/>
      </w:numPr>
      <w:overflowPunct/>
      <w:autoSpaceDE/>
      <w:autoSpaceDN/>
      <w:adjustRightInd/>
      <w:spacing w:line="259" w:lineRule="auto"/>
    </w:pPr>
    <w:rPr>
      <w:rFonts w:eastAsia="MS Gothic"/>
      <w:sz w:val="24"/>
      <w:lang w:eastAsia="ja-JP"/>
    </w:rPr>
  </w:style>
  <w:style w:type="character" w:customStyle="1" w:styleId="101">
    <w:name w:val="Body Text Indent 2 Char"/>
    <w:link w:val="37"/>
    <w:uiPriority w:val="0"/>
    <w:rPr>
      <w:rFonts w:eastAsia="MS Gothic"/>
      <w:kern w:val="2"/>
      <w:sz w:val="24"/>
      <w:lang w:val="en-GB"/>
    </w:rPr>
  </w:style>
  <w:style w:type="paragraph" w:customStyle="1" w:styleId="102">
    <w:name w:val="List Bullet Last"/>
    <w:basedOn w:val="27"/>
    <w:next w:val="32"/>
    <w:uiPriority w:val="0"/>
    <w:pPr>
      <w:overflowPunct/>
      <w:autoSpaceDE/>
      <w:autoSpaceDN/>
      <w:adjustRightInd/>
      <w:spacing w:after="240"/>
      <w:ind w:left="714" w:hanging="357"/>
      <w:textAlignment w:val="auto"/>
    </w:pPr>
    <w:rPr>
      <w:rFonts w:ascii="Arial" w:hAnsi="Arial" w:eastAsia="MS Gothic"/>
      <w:sz w:val="24"/>
      <w:lang w:eastAsia="ja-JP"/>
    </w:rPr>
  </w:style>
  <w:style w:type="paragraph" w:customStyle="1" w:styleId="103">
    <w:name w:val="Title Text"/>
    <w:basedOn w:val="1"/>
    <w:next w:val="1"/>
    <w:uiPriority w:val="0"/>
    <w:pPr>
      <w:overflowPunct/>
      <w:autoSpaceDE/>
      <w:autoSpaceDN/>
      <w:adjustRightInd/>
      <w:spacing w:after="220" w:line="259" w:lineRule="auto"/>
    </w:pPr>
    <w:rPr>
      <w:rFonts w:ascii="Arial" w:hAnsi="Arial" w:eastAsia="MS Gothic"/>
      <w:b/>
      <w:sz w:val="22"/>
      <w:lang w:eastAsia="ja-JP"/>
    </w:rPr>
  </w:style>
  <w:style w:type="character" w:customStyle="1" w:styleId="104">
    <w:name w:val="Title Char"/>
    <w:link w:val="49"/>
    <w:uiPriority w:val="0"/>
    <w:rPr>
      <w:rFonts w:ascii="Arial" w:hAnsi="Arial" w:eastAsia="MS Gothic"/>
      <w:b/>
      <w:sz w:val="24"/>
      <w:lang w:val="en-GB"/>
    </w:rPr>
  </w:style>
  <w:style w:type="character" w:customStyle="1" w:styleId="105">
    <w:name w:val="Body Text 3 Char"/>
    <w:link w:val="31"/>
    <w:uiPriority w:val="0"/>
    <w:rPr>
      <w:rFonts w:eastAsia="MS Gothic"/>
      <w:sz w:val="24"/>
      <w:lang w:val="en-GB"/>
    </w:rPr>
  </w:style>
  <w:style w:type="paragraph" w:customStyle="1" w:styleId="106">
    <w:name w:val="Table_Text"/>
    <w:basedOn w:val="1"/>
    <w:uiPriority w:val="0"/>
    <w:pPr>
      <w:keepNext/>
      <w:tabs>
        <w:tab w:val="left" w:pos="794"/>
        <w:tab w:val="left" w:pos="1191"/>
        <w:tab w:val="left" w:pos="1588"/>
        <w:tab w:val="left" w:pos="1985"/>
      </w:tabs>
      <w:overflowPunct/>
      <w:autoSpaceDE/>
      <w:autoSpaceDN/>
      <w:adjustRightInd/>
      <w:spacing w:before="100" w:after="100" w:line="190" w:lineRule="exact"/>
      <w:jc w:val="both"/>
    </w:pPr>
    <w:rPr>
      <w:rFonts w:eastAsia="MS Gothic"/>
      <w:sz w:val="18"/>
      <w:lang w:eastAsia="ja-JP"/>
    </w:rPr>
  </w:style>
  <w:style w:type="paragraph" w:customStyle="1" w:styleId="107">
    <w:name w:val="text"/>
    <w:basedOn w:val="1"/>
    <w:uiPriority w:val="0"/>
    <w:pPr>
      <w:overflowPunct/>
      <w:autoSpaceDE/>
      <w:autoSpaceDN/>
      <w:adjustRightInd/>
      <w:spacing w:after="240" w:line="259" w:lineRule="auto"/>
      <w:jc w:val="both"/>
    </w:pPr>
    <w:rPr>
      <w:rFonts w:eastAsia="MS Gothic"/>
      <w:sz w:val="24"/>
      <w:lang w:val="en-US" w:eastAsia="ja-JP"/>
    </w:rPr>
  </w:style>
  <w:style w:type="paragraph" w:customStyle="1" w:styleId="108">
    <w:name w:val="text intend 1"/>
    <w:basedOn w:val="107"/>
    <w:uiPriority w:val="0"/>
    <w:pPr>
      <w:numPr>
        <w:ilvl w:val="0"/>
        <w:numId w:val="2"/>
      </w:numPr>
      <w:spacing w:after="120"/>
    </w:pPr>
  </w:style>
  <w:style w:type="paragraph" w:customStyle="1" w:styleId="109">
    <w:name w:val="shortcode"/>
    <w:basedOn w:val="32"/>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110">
    <w:name w:val="Rec_CCITT_#"/>
    <w:basedOn w:val="1"/>
    <w:uiPriority w:val="0"/>
    <w:pPr>
      <w:keepNext/>
      <w:keepLines/>
      <w:overflowPunct/>
      <w:autoSpaceDE/>
      <w:autoSpaceDN/>
      <w:adjustRightInd/>
      <w:spacing w:line="259" w:lineRule="auto"/>
    </w:pPr>
    <w:rPr>
      <w:rFonts w:eastAsia="MS Gothic"/>
      <w:b/>
      <w:sz w:val="24"/>
      <w:lang w:eastAsia="ja-JP"/>
    </w:rPr>
  </w:style>
  <w:style w:type="character" w:customStyle="1" w:styleId="111">
    <w:name w:val="Balloon Text Char"/>
    <w:link w:val="38"/>
    <w:uiPriority w:val="0"/>
    <w:rPr>
      <w:rFonts w:ascii="Arial" w:hAnsi="Arial" w:eastAsia="MS Gothic"/>
      <w:sz w:val="18"/>
      <w:lang w:val="en-GB"/>
    </w:rPr>
  </w:style>
  <w:style w:type="paragraph" w:customStyle="1" w:styleId="112">
    <w:name w:val="Reference"/>
    <w:basedOn w:val="1"/>
    <w:uiPriority w:val="0"/>
    <w:pPr>
      <w:widowControl w:val="0"/>
      <w:overflowPunct/>
      <w:autoSpaceDE/>
      <w:autoSpaceDN/>
      <w:adjustRightInd/>
      <w:spacing w:after="0" w:line="259" w:lineRule="auto"/>
      <w:ind w:left="283" w:hanging="283"/>
      <w:jc w:val="both"/>
    </w:pPr>
    <w:rPr>
      <w:rFonts w:ascii="Arial" w:hAnsi="Arial"/>
      <w:kern w:val="2"/>
      <w:sz w:val="21"/>
      <w:lang w:val="de-DE" w:eastAsia="ja-JP"/>
    </w:rPr>
  </w:style>
  <w:style w:type="character" w:customStyle="1" w:styleId="113">
    <w:name w:val="Comment Text Char"/>
    <w:link w:val="30"/>
    <w:uiPriority w:val="0"/>
    <w:rPr>
      <w:rFonts w:eastAsia="MS Gothic"/>
      <w:lang w:val="en-GB"/>
    </w:rPr>
  </w:style>
  <w:style w:type="paragraph" w:customStyle="1" w:styleId="114">
    <w:name w:val="HTML Body"/>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115">
    <w:name w:val="図表番号 (文字)"/>
    <w:uiPriority w:val="35"/>
    <w:rPr>
      <w:rFonts w:eastAsia="MS Gothic"/>
      <w:b/>
      <w:kern w:val="2"/>
      <w:sz w:val="24"/>
      <w:lang w:val="en-GB"/>
    </w:rPr>
  </w:style>
  <w:style w:type="paragraph" w:customStyle="1" w:styleId="116">
    <w:name w:val="Normal1 Char Char"/>
    <w:uiPriority w:val="0"/>
    <w:pPr>
      <w:keepNext/>
      <w:numPr>
        <w:ilvl w:val="0"/>
        <w:numId w:val="3"/>
      </w:numPr>
      <w:kinsoku w:val="0"/>
      <w:overflowPunct w:val="0"/>
      <w:autoSpaceDE w:val="0"/>
      <w:autoSpaceDN w:val="0"/>
      <w:adjustRightInd w:val="0"/>
      <w:spacing w:before="60" w:after="60" w:line="259" w:lineRule="auto"/>
      <w:jc w:val="both"/>
    </w:pPr>
    <w:rPr>
      <w:rFonts w:ascii="Times New Roman" w:hAnsi="Times New Roman" w:eastAsia="Times New Roman" w:cs="Times New Roman"/>
      <w:kern w:val="2"/>
      <w:sz w:val="21"/>
      <w:lang w:val="en-GB" w:eastAsia="ja-JP" w:bidi="ar-SA"/>
    </w:rPr>
  </w:style>
  <w:style w:type="character" w:customStyle="1" w:styleId="117">
    <w:name w:val="Comment Subject Char"/>
    <w:link w:val="50"/>
    <w:uiPriority w:val="0"/>
    <w:rPr>
      <w:rFonts w:eastAsia="MS Gothic"/>
      <w:b/>
      <w:sz w:val="24"/>
      <w:lang w:val="en-GB"/>
    </w:rPr>
  </w:style>
  <w:style w:type="paragraph" w:customStyle="1" w:styleId="118">
    <w:name w:val="Char Char Char Car Car Char Char Car Car"/>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119">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20">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21">
    <w:name w:val="Char Char1 Char Char Char Char Char Char Char Char Char Char Char Char Char Char Char"/>
    <w:semiHidden/>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122">
    <w:name w:val="TAC Char"/>
    <w:link w:val="66"/>
    <w:uiPriority w:val="0"/>
    <w:rPr>
      <w:rFonts w:ascii="Arial" w:hAnsi="Arial" w:eastAsia="Times New Roman"/>
      <w:sz w:val="18"/>
      <w:lang w:val="en-GB" w:eastAsia="zh-TW"/>
    </w:rPr>
  </w:style>
  <w:style w:type="character" w:customStyle="1" w:styleId="123">
    <w:name w:val="TAH Car"/>
    <w:link w:val="65"/>
    <w:uiPriority w:val="0"/>
    <w:rPr>
      <w:rFonts w:ascii="Arial" w:hAnsi="Arial" w:eastAsia="Times New Roman"/>
      <w:b/>
      <w:sz w:val="18"/>
      <w:lang w:val="en-GB" w:eastAsia="zh-TW"/>
    </w:rPr>
  </w:style>
  <w:style w:type="paragraph" w:customStyle="1" w:styleId="124">
    <w:name w:val="表 (赤)  81"/>
    <w:basedOn w:val="1"/>
    <w:qFormat/>
    <w:uiPriority w:val="34"/>
    <w:pPr>
      <w:overflowPunct/>
      <w:autoSpaceDE/>
      <w:autoSpaceDN/>
      <w:adjustRightInd/>
      <w:spacing w:after="0" w:line="259" w:lineRule="auto"/>
      <w:ind w:left="840" w:leftChars="400"/>
    </w:pPr>
    <w:rPr>
      <w:rFonts w:ascii="MS PGothic" w:hAnsi="MS PGothic" w:eastAsia="MS PGothic" w:cs="MS PGothic"/>
      <w:sz w:val="24"/>
      <w:szCs w:val="24"/>
      <w:lang w:val="en-US" w:eastAsia="ja-JP"/>
    </w:rPr>
  </w:style>
  <w:style w:type="paragraph" w:customStyle="1" w:styleId="125">
    <w:name w:val="表 (赤)  71"/>
    <w:hidden/>
    <w:semiHidden/>
    <w:uiPriority w:val="99"/>
    <w:pPr>
      <w:spacing w:after="160" w:line="259" w:lineRule="auto"/>
    </w:pPr>
    <w:rPr>
      <w:rFonts w:ascii="Times New Roman" w:hAnsi="Times New Roman" w:eastAsia="MS Gothic" w:cs="Times New Roman"/>
      <w:sz w:val="24"/>
      <w:lang w:val="en-GB" w:eastAsia="ja-JP" w:bidi="ar-SA"/>
    </w:rPr>
  </w:style>
  <w:style w:type="character" w:customStyle="1" w:styleId="126">
    <w:name w:val="Header Char"/>
    <w:link w:val="40"/>
    <w:locked/>
    <w:uiPriority w:val="0"/>
    <w:rPr>
      <w:rFonts w:ascii="Arial" w:hAnsi="Arial" w:eastAsia="Times New Roman"/>
      <w:b/>
      <w:sz w:val="18"/>
      <w:lang w:eastAsia="zh-TW"/>
    </w:rPr>
  </w:style>
  <w:style w:type="paragraph" w:customStyle="1" w:styleId="127">
    <w:name w:val="Revision1"/>
    <w:hidden/>
    <w:semiHidden/>
    <w:uiPriority w:val="99"/>
    <w:pPr>
      <w:spacing w:after="160" w:line="259" w:lineRule="auto"/>
    </w:pPr>
    <w:rPr>
      <w:rFonts w:ascii="Times New Roman" w:hAnsi="Times New Roman" w:eastAsia="MS Gothic" w:cs="Times New Roman"/>
      <w:sz w:val="24"/>
      <w:lang w:val="en-GB" w:eastAsia="ja-JP" w:bidi="ar-SA"/>
    </w:rPr>
  </w:style>
  <w:style w:type="paragraph" w:customStyle="1" w:styleId="128">
    <w:name w:val="Doc-title"/>
    <w:basedOn w:val="1"/>
    <w:next w:val="129"/>
    <w:link w:val="131"/>
    <w:qFormat/>
    <w:uiPriority w:val="0"/>
    <w:pPr>
      <w:overflowPunct/>
      <w:autoSpaceDE/>
      <w:autoSpaceDN/>
      <w:adjustRightInd/>
      <w:spacing w:after="0" w:line="259" w:lineRule="auto"/>
      <w:ind w:left="1260" w:hanging="1260"/>
    </w:pPr>
    <w:rPr>
      <w:rFonts w:ascii="Arial" w:hAnsi="Arial"/>
      <w:szCs w:val="24"/>
    </w:rPr>
  </w:style>
  <w:style w:type="paragraph" w:customStyle="1" w:styleId="129">
    <w:name w:val="Doc-text2"/>
    <w:basedOn w:val="1"/>
    <w:link w:val="130"/>
    <w:qFormat/>
    <w:uiPriority w:val="0"/>
    <w:pPr>
      <w:tabs>
        <w:tab w:val="left" w:pos="1622"/>
      </w:tabs>
      <w:overflowPunct/>
      <w:autoSpaceDE/>
      <w:autoSpaceDN/>
      <w:adjustRightInd/>
      <w:spacing w:after="0" w:line="259" w:lineRule="auto"/>
      <w:ind w:left="1622" w:hanging="363"/>
    </w:pPr>
    <w:rPr>
      <w:rFonts w:ascii="Arial" w:hAnsi="Arial"/>
      <w:szCs w:val="24"/>
    </w:rPr>
  </w:style>
  <w:style w:type="character" w:customStyle="1" w:styleId="130">
    <w:name w:val="Doc-text2 Char"/>
    <w:link w:val="129"/>
    <w:qFormat/>
    <w:uiPriority w:val="0"/>
    <w:rPr>
      <w:rFonts w:ascii="Arial" w:hAnsi="Arial"/>
      <w:szCs w:val="24"/>
      <w:lang w:val="en-GB" w:eastAsia="en-GB"/>
    </w:rPr>
  </w:style>
  <w:style w:type="character" w:customStyle="1" w:styleId="131">
    <w:name w:val="Doc-title Char"/>
    <w:link w:val="128"/>
    <w:qFormat/>
    <w:uiPriority w:val="0"/>
    <w:rPr>
      <w:rFonts w:ascii="Arial" w:hAnsi="Arial"/>
      <w:szCs w:val="24"/>
      <w:lang w:val="en-GB" w:eastAsia="en-GB"/>
    </w:rPr>
  </w:style>
  <w:style w:type="paragraph" w:styleId="132">
    <w:name w:val="List Paragraph"/>
    <w:basedOn w:val="1"/>
    <w:link w:val="133"/>
    <w:qFormat/>
    <w:uiPriority w:val="34"/>
    <w:pPr>
      <w:widowControl w:val="0"/>
      <w:overflowPunct/>
      <w:autoSpaceDE/>
      <w:autoSpaceDN/>
      <w:adjustRightInd/>
      <w:spacing w:after="0" w:line="259" w:lineRule="auto"/>
      <w:ind w:left="840" w:leftChars="400"/>
      <w:jc w:val="both"/>
    </w:pPr>
    <w:rPr>
      <w:rFonts w:ascii="Century" w:hAnsi="Century"/>
      <w:kern w:val="2"/>
      <w:sz w:val="21"/>
      <w:szCs w:val="22"/>
      <w:lang w:val="en-US" w:eastAsia="ja-JP"/>
    </w:rPr>
  </w:style>
  <w:style w:type="character" w:customStyle="1" w:styleId="133">
    <w:name w:val="List Paragraph Char"/>
    <w:link w:val="132"/>
    <w:qFormat/>
    <w:uiPriority w:val="34"/>
    <w:rPr>
      <w:rFonts w:ascii="Century" w:hAnsi="Century"/>
      <w:kern w:val="2"/>
      <w:sz w:val="21"/>
      <w:szCs w:val="22"/>
    </w:rPr>
  </w:style>
  <w:style w:type="paragraph" w:customStyle="1" w:styleId="134">
    <w:name w:val="main text"/>
    <w:basedOn w:val="1"/>
    <w:link w:val="135"/>
    <w:qFormat/>
    <w:uiPriority w:val="0"/>
    <w:pPr>
      <w:overflowPunct/>
      <w:autoSpaceDE/>
      <w:autoSpaceDN/>
      <w:adjustRightInd/>
      <w:spacing w:before="60" w:after="60" w:line="288" w:lineRule="auto"/>
      <w:jc w:val="both"/>
    </w:pPr>
    <w:rPr>
      <w:rFonts w:ascii="Calibri" w:hAnsi="Calibri" w:eastAsia="Malgun Gothic" w:cs="Batang"/>
      <w:lang w:eastAsia="ko-KR"/>
    </w:rPr>
  </w:style>
  <w:style w:type="character" w:customStyle="1" w:styleId="135">
    <w:name w:val="main text Char"/>
    <w:link w:val="134"/>
    <w:uiPriority w:val="0"/>
    <w:rPr>
      <w:rFonts w:ascii="Calibri" w:hAnsi="Calibri" w:eastAsia="Malgun Gothic" w:cs="Batang"/>
      <w:lang w:val="en-GB" w:eastAsia="ko-KR"/>
    </w:rPr>
  </w:style>
  <w:style w:type="character" w:customStyle="1" w:styleId="136">
    <w:name w:val="B1 Char1"/>
    <w:link w:val="88"/>
    <w:qFormat/>
    <w:locked/>
    <w:uiPriority w:val="0"/>
    <w:rPr>
      <w:rFonts w:eastAsia="Times New Roman"/>
      <w:lang w:val="en-GB" w:eastAsia="zh-TW"/>
    </w:rPr>
  </w:style>
  <w:style w:type="paragraph" w:customStyle="1" w:styleId="137">
    <w:name w:val="스타일 스타일 스타일 스타일 양쪽 첫 줄:  2 글자 + 첫 줄:  2 글자 + 첫 줄:  2 글자 + 첫 줄:  2..."/>
    <w:basedOn w:val="1"/>
    <w:link w:val="138"/>
    <w:uiPriority w:val="0"/>
    <w:pPr>
      <w:overflowPunct/>
      <w:autoSpaceDE/>
      <w:autoSpaceDN/>
      <w:adjustRightInd/>
      <w:spacing w:line="336" w:lineRule="auto"/>
      <w:ind w:firstLine="200" w:firstLineChars="200"/>
      <w:jc w:val="both"/>
    </w:pPr>
    <w:rPr>
      <w:rFonts w:eastAsia="Malgun Gothic" w:cs="Batang"/>
    </w:rPr>
  </w:style>
  <w:style w:type="character" w:customStyle="1" w:styleId="138">
    <w:name w:val="스타일 스타일 스타일 스타일 양쪽 첫 줄:  2 글자 + 첫 줄:  2 글자 + 첫 줄:  2 글자 + 첫 줄:  2... Char"/>
    <w:link w:val="137"/>
    <w:uiPriority w:val="0"/>
    <w:rPr>
      <w:rFonts w:eastAsia="Malgun Gothic" w:cs="Batang"/>
      <w:lang w:val="en-GB" w:eastAsia="en-US"/>
    </w:rPr>
  </w:style>
  <w:style w:type="paragraph" w:customStyle="1" w:styleId="139">
    <w:name w:val="CR Cover Page"/>
    <w:uiPriority w:val="0"/>
    <w:pPr>
      <w:spacing w:after="120" w:line="259" w:lineRule="auto"/>
    </w:pPr>
    <w:rPr>
      <w:rFonts w:ascii="Arial" w:hAnsi="Arial" w:eastAsia="宋体" w:cs="Times New Roman"/>
      <w:lang w:val="en-GB" w:eastAsia="en-US" w:bidi="ar-SA"/>
    </w:rPr>
  </w:style>
  <w:style w:type="paragraph" w:customStyle="1" w:styleId="140">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9" w:lineRule="auto"/>
      <w:jc w:val="both"/>
      <w:textAlignment w:val="baseline"/>
    </w:pPr>
    <w:rPr>
      <w:rFonts w:eastAsia="宋体"/>
      <w:sz w:val="22"/>
      <w:lang w:val="fr-FR"/>
    </w:rPr>
  </w:style>
  <w:style w:type="paragraph" w:customStyle="1" w:styleId="141">
    <w:name w:val="Table_head"/>
    <w:basedOn w:val="140"/>
    <w:next w:val="140"/>
    <w:uiPriority w:val="0"/>
    <w:pPr>
      <w:keepNext/>
      <w:spacing w:before="80" w:after="80"/>
      <w:jc w:val="center"/>
    </w:pPr>
    <w:rPr>
      <w:b/>
    </w:rPr>
  </w:style>
  <w:style w:type="character" w:customStyle="1" w:styleId="142">
    <w:name w:val="TAN Char"/>
    <w:link w:val="79"/>
    <w:uiPriority w:val="0"/>
    <w:rPr>
      <w:rFonts w:ascii="Arial" w:hAnsi="Arial" w:eastAsia="Times New Roman"/>
      <w:sz w:val="18"/>
      <w:lang w:val="en-GB" w:eastAsia="zh-TW"/>
    </w:rPr>
  </w:style>
  <w:style w:type="character" w:customStyle="1" w:styleId="143">
    <w:name w:val="Footer Char"/>
    <w:link w:val="39"/>
    <w:uiPriority w:val="0"/>
    <w:rPr>
      <w:rFonts w:ascii="Arial" w:hAnsi="Arial" w:eastAsia="Times New Roman"/>
      <w:b/>
      <w:i/>
      <w:sz w:val="18"/>
      <w:lang w:eastAsia="zh-TW"/>
    </w:rPr>
  </w:style>
  <w:style w:type="character" w:customStyle="1" w:styleId="144">
    <w:name w:val="TH Char"/>
    <w:link w:val="69"/>
    <w:locked/>
    <w:uiPriority w:val="0"/>
    <w:rPr>
      <w:rFonts w:ascii="Arial" w:hAnsi="Arial" w:eastAsia="Times New Roman"/>
      <w:b/>
      <w:lang w:val="en-GB" w:eastAsia="zh-TW"/>
    </w:rPr>
  </w:style>
  <w:style w:type="character" w:customStyle="1" w:styleId="145">
    <w:name w:val="TAL Car"/>
    <w:link w:val="67"/>
    <w:locked/>
    <w:uiPriority w:val="0"/>
    <w:rPr>
      <w:rFonts w:ascii="Arial" w:hAnsi="Arial" w:eastAsia="Times New Roman"/>
      <w:sz w:val="18"/>
      <w:lang w:val="en-GB" w:eastAsia="zh-TW"/>
    </w:rPr>
  </w:style>
  <w:style w:type="paragraph" w:customStyle="1" w:styleId="146">
    <w:name w:val="TableText"/>
    <w:basedOn w:val="33"/>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47">
    <w:name w:val="Heading 7 Char"/>
    <w:link w:val="9"/>
    <w:uiPriority w:val="0"/>
    <w:rPr>
      <w:rFonts w:ascii="Arial" w:hAnsi="Arial" w:eastAsia="Times New Roman"/>
      <w:lang w:val="en-GB" w:eastAsia="zh-TW"/>
    </w:rPr>
  </w:style>
  <w:style w:type="character" w:customStyle="1" w:styleId="148">
    <w:name w:val="Heading 6 Char"/>
    <w:basedOn w:val="53"/>
    <w:link w:val="7"/>
    <w:uiPriority w:val="0"/>
    <w:rPr>
      <w:rFonts w:ascii="Arial" w:hAnsi="Arial" w:eastAsia="Times New Roman"/>
      <w:lang w:val="en-GB" w:eastAsia="zh-TW"/>
    </w:rPr>
  </w:style>
  <w:style w:type="paragraph" w:customStyle="1" w:styleId="149">
    <w:name w:val="tan"/>
    <w:basedOn w:val="1"/>
    <w:uiPriority w:val="0"/>
    <w:pPr>
      <w:overflowPunct/>
      <w:autoSpaceDE/>
      <w:autoSpaceDN/>
      <w:adjustRightInd/>
      <w:spacing w:before="100" w:beforeAutospacing="1" w:after="100" w:afterAutospacing="1" w:line="259" w:lineRule="auto"/>
    </w:pPr>
    <w:rPr>
      <w:rFonts w:eastAsia="Calibri"/>
      <w:sz w:val="24"/>
      <w:szCs w:val="24"/>
      <w:lang w:val="en-US" w:eastAsia="en-US"/>
    </w:rPr>
  </w:style>
  <w:style w:type="paragraph" w:customStyle="1" w:styleId="150">
    <w:name w:val="Agreement"/>
    <w:basedOn w:val="1"/>
    <w:next w:val="129"/>
    <w:qFormat/>
    <w:uiPriority w:val="99"/>
    <w:pPr>
      <w:numPr>
        <w:ilvl w:val="0"/>
        <w:numId w:val="4"/>
      </w:numPr>
      <w:overflowPunct/>
      <w:autoSpaceDE/>
      <w:autoSpaceDN/>
      <w:adjustRightInd/>
      <w:spacing w:before="60" w:after="0" w:line="259" w:lineRule="auto"/>
    </w:pPr>
    <w:rPr>
      <w:rFonts w:ascii="Arial" w:hAnsi="Arial" w:eastAsia="MS Mincho"/>
      <w:b/>
      <w:szCs w:val="24"/>
    </w:rPr>
  </w:style>
  <w:style w:type="paragraph" w:customStyle="1" w:styleId="151">
    <w:name w:val="Comments"/>
    <w:basedOn w:val="1"/>
    <w:link w:val="152"/>
    <w:qFormat/>
    <w:uiPriority w:val="0"/>
    <w:pPr>
      <w:overflowPunct/>
      <w:autoSpaceDE/>
      <w:autoSpaceDN/>
      <w:adjustRightInd/>
      <w:spacing w:before="40" w:after="0" w:line="259" w:lineRule="auto"/>
    </w:pPr>
    <w:rPr>
      <w:rFonts w:ascii="Arial" w:hAnsi="Arial" w:eastAsia="MS Mincho"/>
      <w:i/>
      <w:sz w:val="18"/>
      <w:szCs w:val="24"/>
    </w:rPr>
  </w:style>
  <w:style w:type="character" w:customStyle="1" w:styleId="152">
    <w:name w:val="Comments Char"/>
    <w:link w:val="151"/>
    <w:qFormat/>
    <w:uiPriority w:val="0"/>
    <w:rPr>
      <w:rFonts w:ascii="Arial" w:hAnsi="Arial"/>
      <w:i/>
      <w:sz w:val="18"/>
      <w:szCs w:val="24"/>
      <w:lang w:val="en-GB" w:eastAsia="en-GB"/>
    </w:rPr>
  </w:style>
  <w:style w:type="character" w:customStyle="1" w:styleId="153">
    <w:name w:val="Heading 4 Char"/>
    <w:basedOn w:val="53"/>
    <w:link w:val="5"/>
    <w:qFormat/>
    <w:uiPriority w:val="0"/>
    <w:rPr>
      <w:rFonts w:ascii="Arial" w:hAnsi="Arial" w:eastAsia="Times New Roman"/>
      <w:sz w:val="24"/>
      <w:lang w:val="en-GB" w:eastAsia="zh-TW"/>
    </w:rPr>
  </w:style>
  <w:style w:type="paragraph" w:customStyle="1" w:styleId="154">
    <w:name w:val="Doc-comment"/>
    <w:basedOn w:val="1"/>
    <w:next w:val="129"/>
    <w:qFormat/>
    <w:uiPriority w:val="0"/>
    <w:pPr>
      <w:tabs>
        <w:tab w:val="left" w:pos="1622"/>
      </w:tabs>
      <w:spacing w:after="0" w:line="259" w:lineRule="auto"/>
      <w:ind w:left="1622" w:hanging="363"/>
      <w:textAlignment w:val="baseline"/>
    </w:pPr>
    <w:rPr>
      <w:rFonts w:ascii="Arial" w:hAnsi="Arial"/>
      <w:i/>
      <w:lang w:eastAsia="ja-JP"/>
    </w:rPr>
  </w:style>
  <w:style w:type="paragraph" w:customStyle="1" w:styleId="155">
    <w:name w:val="EmailDiscussion"/>
    <w:basedOn w:val="1"/>
    <w:next w:val="1"/>
    <w:link w:val="156"/>
    <w:qFormat/>
    <w:uiPriority w:val="0"/>
    <w:pPr>
      <w:numPr>
        <w:ilvl w:val="0"/>
        <w:numId w:val="5"/>
      </w:numPr>
      <w:spacing w:before="40" w:after="0" w:line="259" w:lineRule="auto"/>
      <w:ind w:left="1616" w:hanging="357"/>
      <w:textAlignment w:val="baseline"/>
    </w:pPr>
    <w:rPr>
      <w:rFonts w:ascii="Arial" w:hAnsi="Arial"/>
      <w:b/>
      <w:lang w:eastAsia="ja-JP"/>
    </w:rPr>
  </w:style>
  <w:style w:type="character" w:customStyle="1" w:styleId="156">
    <w:name w:val="EmailDiscussion Char"/>
    <w:link w:val="155"/>
    <w:uiPriority w:val="0"/>
    <w:rPr>
      <w:rFonts w:ascii="Arial" w:hAnsi="Arial" w:eastAsia="Times New Roman"/>
      <w:b/>
      <w:lang w:val="en-GB" w:eastAsia="ja-JP"/>
    </w:rPr>
  </w:style>
  <w:style w:type="character" w:customStyle="1" w:styleId="157">
    <w:name w:val="apple-converted-space"/>
    <w:qFormat/>
    <w:uiPriority w:val="0"/>
  </w:style>
  <w:style w:type="character" w:customStyle="1" w:styleId="158">
    <w:name w:val="B2 Char"/>
    <w:link w:val="89"/>
    <w:qFormat/>
    <w:uiPriority w:val="0"/>
    <w:rPr>
      <w:rFonts w:eastAsia="Times New Roman"/>
      <w:lang w:val="en-GB" w:eastAsia="zh-TW"/>
    </w:rPr>
  </w:style>
  <w:style w:type="paragraph" w:customStyle="1" w:styleId="159">
    <w:name w:val="Draft Proposal"/>
    <w:basedOn w:val="32"/>
    <w:next w:val="1"/>
    <w:qFormat/>
    <w:uiPriority w:val="99"/>
    <w:pPr>
      <w:numPr>
        <w:ilvl w:val="0"/>
        <w:numId w:val="6"/>
      </w:numPr>
      <w:tabs>
        <w:tab w:val="left" w:pos="1701"/>
      </w:tabs>
      <w:spacing w:after="160"/>
    </w:pPr>
    <w:rPr>
      <w:rFonts w:ascii="Arial" w:hAnsi="Arial" w:eastAsiaTheme="minorHAnsi" w:cstheme="minorBidi"/>
      <w:b/>
      <w:bCs/>
      <w:sz w:val="22"/>
      <w:szCs w:val="22"/>
      <w:lang w:val="en-US" w:eastAsia="en-US"/>
    </w:rPr>
  </w:style>
  <w:style w:type="paragraph" w:styleId="160">
    <w:name w:val="No Spacing"/>
    <w:qFormat/>
    <w:uiPriority w:val="1"/>
    <w:pPr>
      <w:spacing w:after="160" w:line="259" w:lineRule="auto"/>
    </w:pPr>
    <w:rPr>
      <w:rFonts w:asciiTheme="minorHAnsi" w:hAnsiTheme="minorHAnsi" w:eastAsiaTheme="minorHAnsi" w:cstheme="minorBidi"/>
      <w:sz w:val="22"/>
      <w:szCs w:val="22"/>
      <w:lang w:val="en-US" w:eastAsia="en-US" w:bidi="ar-SA"/>
    </w:rPr>
  </w:style>
  <w:style w:type="paragraph" w:customStyle="1" w:styleId="161">
    <w:name w:val="x_msonormal"/>
    <w:basedOn w:val="1"/>
    <w:qFormat/>
    <w:uiPriority w:val="0"/>
    <w:pPr>
      <w:overflowPunct/>
      <w:autoSpaceDE/>
      <w:autoSpaceDN/>
      <w:adjustRightInd/>
      <w:spacing w:after="0" w:line="259" w:lineRule="auto"/>
    </w:pPr>
    <w:rPr>
      <w:rFonts w:ascii="Calibri" w:hAnsi="Calibri" w:eastAsia="Calibri" w:cs="Calibri"/>
      <w:sz w:val="22"/>
      <w:szCs w:val="22"/>
      <w:lang w:val="en-US" w:eastAsia="en-US"/>
    </w:rPr>
  </w:style>
  <w:style w:type="paragraph" w:customStyle="1" w:styleId="162">
    <w:name w:val="Bold Comments"/>
    <w:basedOn w:val="1"/>
    <w:link w:val="163"/>
    <w:qFormat/>
    <w:uiPriority w:val="0"/>
    <w:pPr>
      <w:overflowPunct/>
      <w:autoSpaceDE/>
      <w:autoSpaceDN/>
      <w:adjustRightInd/>
      <w:spacing w:before="240" w:after="60" w:line="259" w:lineRule="auto"/>
      <w:outlineLvl w:val="8"/>
    </w:pPr>
    <w:rPr>
      <w:rFonts w:ascii="Arial" w:hAnsi="Arial" w:eastAsia="MS Mincho"/>
      <w:b/>
      <w:szCs w:val="24"/>
      <w:lang w:val="zh-CN" w:eastAsia="zh-CN"/>
    </w:rPr>
  </w:style>
  <w:style w:type="character" w:customStyle="1" w:styleId="163">
    <w:name w:val="Bold Comments Char"/>
    <w:link w:val="162"/>
    <w:uiPriority w:val="0"/>
    <w:rPr>
      <w:rFonts w:ascii="Arial" w:hAnsi="Arial"/>
      <w:b/>
      <w:szCs w:val="24"/>
      <w:lang w:val="zh-CN" w:eastAsia="zh-CN"/>
    </w:rPr>
  </w:style>
  <w:style w:type="character" w:customStyle="1" w:styleId="164">
    <w:name w:val="TF Char"/>
    <w:link w:val="68"/>
    <w:qFormat/>
    <w:locked/>
    <w:uiPriority w:val="0"/>
    <w:rPr>
      <w:rFonts w:ascii="Arial" w:hAnsi="Arial" w:eastAsia="Times New Roman"/>
      <w:b/>
      <w:lang w:val="en-GB" w:eastAsia="zh-TW"/>
    </w:rPr>
  </w:style>
  <w:style w:type="paragraph" w:customStyle="1" w:styleId="165">
    <w:name w:val="Prop1"/>
    <w:basedOn w:val="132"/>
    <w:qFormat/>
    <w:uiPriority w:val="99"/>
    <w:pPr>
      <w:widowControl/>
      <w:ind w:left="0" w:leftChars="0"/>
      <w:jc w:val="left"/>
    </w:pPr>
    <w:rPr>
      <w:rFonts w:ascii="Times New Roman" w:hAnsi="Times New Roman" w:eastAsiaTheme="minorEastAsia"/>
      <w:b/>
      <w:kern w:val="0"/>
      <w:sz w:val="20"/>
      <w:szCs w:val="21"/>
      <w:lang w:eastAsia="zh-CN"/>
    </w:rPr>
  </w:style>
  <w:style w:type="character" w:customStyle="1" w:styleId="166">
    <w:name w:val="0 Main text Char"/>
    <w:basedOn w:val="53"/>
    <w:link w:val="167"/>
    <w:qFormat/>
    <w:locked/>
    <w:uiPriority w:val="0"/>
    <w:rPr>
      <w:rFonts w:ascii="Malgun Gothic" w:hAnsi="Malgun Gothic" w:eastAsia="Malgun Gothic" w:cs="Batang"/>
      <w:lang w:eastAsia="en-US"/>
    </w:rPr>
  </w:style>
  <w:style w:type="paragraph" w:customStyle="1" w:styleId="167">
    <w:name w:val="0 Main text"/>
    <w:basedOn w:val="1"/>
    <w:link w:val="166"/>
    <w:qFormat/>
    <w:uiPriority w:val="0"/>
    <w:pPr>
      <w:overflowPunct/>
      <w:autoSpaceDE/>
      <w:autoSpaceDN/>
      <w:adjustRightInd/>
      <w:spacing w:after="100" w:afterAutospacing="1" w:line="288" w:lineRule="auto"/>
      <w:ind w:firstLine="360"/>
      <w:jc w:val="both"/>
    </w:pPr>
    <w:rPr>
      <w:rFonts w:ascii="Malgun Gothic" w:hAnsi="Malgun Gothic" w:eastAsia="Malgun Gothic" w:cs="Batang"/>
      <w:lang w:val="en-US" w:eastAsia="en-US"/>
    </w:rPr>
  </w:style>
  <w:style w:type="character" w:customStyle="1" w:styleId="168">
    <w:name w:val="Unresolved Mention1"/>
    <w:basedOn w:val="53"/>
    <w:semiHidden/>
    <w:unhideWhenUsed/>
    <w:uiPriority w:val="99"/>
    <w:rPr>
      <w:color w:val="605E5C"/>
      <w:shd w:val="clear" w:color="auto" w:fill="E1DFDD"/>
    </w:rPr>
  </w:style>
  <w:style w:type="paragraph" w:customStyle="1" w:styleId="169">
    <w:name w:val="_Style 2"/>
    <w:basedOn w:val="1"/>
    <w:qFormat/>
    <w:uiPriority w:val="0"/>
    <w:pPr>
      <w:overflowPunct/>
      <w:autoSpaceDE/>
      <w:autoSpaceDN/>
      <w:adjustRightInd/>
      <w:spacing w:before="100" w:beforeAutospacing="1" w:after="0" w:line="240" w:lineRule="auto"/>
    </w:pPr>
    <w:rPr>
      <w:rFonts w:eastAsia="Calibri"/>
      <w:sz w:val="24"/>
      <w:szCs w:val="24"/>
      <w:lang w:val="en-US" w:eastAsia="zh-CN"/>
    </w:rPr>
  </w:style>
  <w:style w:type="character" w:customStyle="1" w:styleId="170">
    <w:name w:val="Heading 2 Char"/>
    <w:basedOn w:val="53"/>
    <w:link w:val="3"/>
    <w:qFormat/>
    <w:uiPriority w:val="0"/>
    <w:rPr>
      <w:rFonts w:ascii="Arial" w:hAnsi="Arial" w:eastAsia="Times New Roman"/>
      <w:sz w:val="32"/>
      <w:lang w:val="en-GB" w:eastAsia="zh-TW"/>
    </w:rPr>
  </w:style>
  <w:style w:type="character" w:customStyle="1" w:styleId="171">
    <w:name w:val="列表段落 字符3"/>
    <w:qFormat/>
    <w:locked/>
    <w:uiPriority w:val="34"/>
    <w:rPr>
      <w:rFonts w:eastAsia="宋体"/>
      <w:lang w:eastAsia="ja-JP"/>
    </w:rPr>
  </w:style>
  <w:style w:type="character" w:customStyle="1" w:styleId="172">
    <w:name w:val="B1 (文字)"/>
    <w:qFormat/>
    <w:locked/>
    <w:uiPriority w:val="0"/>
    <w:rPr>
      <w:lang w:val="en-GB" w:eastAsia="en-US"/>
    </w:rPr>
  </w:style>
  <w:style w:type="table" w:customStyle="1" w:styleId="173">
    <w:name w:val="TableGrid1"/>
    <w:basedOn w:val="51"/>
    <w:qFormat/>
    <w:uiPriority w:val="39"/>
    <w:pPr>
      <w:spacing w:after="0" w:line="240" w:lineRule="auto"/>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Table Grid1"/>
    <w:basedOn w:val="51"/>
    <w:qFormat/>
    <w:uiPriority w:val="39"/>
    <w:pPr>
      <w:overflowPunct w:val="0"/>
      <w:autoSpaceDE w:val="0"/>
      <w:autoSpaceDN w:val="0"/>
      <w:adjustRightInd w:val="0"/>
      <w:spacing w:after="180" w:line="240" w:lineRule="auto"/>
      <w:textAlignment w:val="baseline"/>
    </w:pPr>
    <w:rPr>
      <w:rFonts w:eastAsia="Yu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EB17B-21DD-4D97-81FE-473EE2A67A45}">
  <ds:schemaRefs/>
</ds:datastoreItem>
</file>

<file path=customXml/itemProps2.xml><?xml version="1.0" encoding="utf-8"?>
<ds:datastoreItem xmlns:ds="http://schemas.openxmlformats.org/officeDocument/2006/customXml" ds:itemID="{6A0F948A-55CA-4413-A811-30B7F0662B58}">
  <ds:schemaRefs/>
</ds:datastoreItem>
</file>

<file path=customXml/itemProps3.xml><?xml version="1.0" encoding="utf-8"?>
<ds:datastoreItem xmlns:ds="http://schemas.openxmlformats.org/officeDocument/2006/customXml" ds:itemID="{3D4F0E3C-D986-4875-808E-54063B9FCFD6}">
  <ds:schemaRefs/>
</ds:datastoreItem>
</file>

<file path=customXml/itemProps4.xml><?xml version="1.0" encoding="utf-8"?>
<ds:datastoreItem xmlns:ds="http://schemas.openxmlformats.org/officeDocument/2006/customXml" ds:itemID="{50E7281C-35AD-4DD2-86D4-9E14D191F03A}">
  <ds:schemaRefs/>
</ds:datastoreItem>
</file>

<file path=docProps/app.xml><?xml version="1.0" encoding="utf-8"?>
<Properties xmlns="http://schemas.openxmlformats.org/officeDocument/2006/extended-properties" xmlns:vt="http://schemas.openxmlformats.org/officeDocument/2006/docPropsVTypes">
  <Template>3gpp_70.dot</Template>
  <Company>株式会社エヌ・ティ・ティ・ドコモ</Company>
  <Pages>24</Pages>
  <Words>8920</Words>
  <Characters>51337</Characters>
  <Lines>427</Lines>
  <Paragraphs>120</Paragraphs>
  <TotalTime>1</TotalTime>
  <ScaleCrop>false</ScaleCrop>
  <LinksUpToDate>false</LinksUpToDate>
  <CharactersWithSpaces>60137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2023-11-28T17:17:00Z</dcterms:created>
  <dc:creator>Joern Krause</dc:creator>
  <cp:lastModifiedBy>HJR</cp:lastModifiedBy>
  <dcterms:modified xsi:type="dcterms:W3CDTF">2023-11-30T00:58:06Z</dcterms:modified>
  <dc:title>Status Report to TSG</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y fmtid="{D5CDD505-2E9C-101B-9397-08002B2CF9AE}" pid="12" name="KSOProductBuildVer">
    <vt:lpwstr>2052-11.8.2.12085</vt:lpwstr>
  </property>
  <property fmtid="{D5CDD505-2E9C-101B-9397-08002B2CF9AE}" pid="13" name="MSIP_Label_83bcef13-7cac-433f-ba1d-47a323951816_Enabled">
    <vt:lpwstr>true</vt:lpwstr>
  </property>
  <property fmtid="{D5CDD505-2E9C-101B-9397-08002B2CF9AE}" pid="14" name="MSIP_Label_83bcef13-7cac-433f-ba1d-47a323951816_SetDate">
    <vt:lpwstr>2022-12-01T17:11:40Z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b253d14d-8196-4177-89e0-7346dbd73aa4</vt:lpwstr>
  </property>
  <property fmtid="{D5CDD505-2E9C-101B-9397-08002B2CF9AE}" pid="19" name="MSIP_Label_83bcef13-7cac-433f-ba1d-47a323951816_ContentBits">
    <vt:lpwstr>0</vt:lpwstr>
  </property>
  <property fmtid="{D5CDD505-2E9C-101B-9397-08002B2CF9AE}" pid="20" name="ICV">
    <vt:lpwstr>1769B3917855457EBCBE66C501BEFBFC</vt:lpwstr>
  </property>
</Properties>
</file>