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96B8" w14:textId="4001290A" w:rsidR="005B4A33" w:rsidRPr="00057F93" w:rsidRDefault="005B4A33" w:rsidP="005B4A33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057F93">
        <w:rPr>
          <w:b/>
          <w:noProof/>
          <w:sz w:val="22"/>
          <w:szCs w:val="18"/>
          <w:lang w:eastAsia="zh-CN"/>
        </w:rPr>
        <w:t>3GPP RAN WG3 Meeting #120</w:t>
      </w:r>
      <w:r w:rsidRPr="00057F93"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 w:rsidRPr="00057F93">
        <w:rPr>
          <w:b/>
          <w:noProof/>
          <w:sz w:val="22"/>
          <w:szCs w:val="18"/>
          <w:lang w:eastAsia="zh-CN"/>
        </w:rPr>
        <w:t>R3-23</w:t>
      </w:r>
      <w:r w:rsidR="000654BC">
        <w:rPr>
          <w:b/>
          <w:noProof/>
          <w:sz w:val="22"/>
          <w:szCs w:val="18"/>
          <w:lang w:eastAsia="zh-CN"/>
        </w:rPr>
        <w:t>3056</w:t>
      </w:r>
    </w:p>
    <w:p w14:paraId="1D841C70" w14:textId="77777777" w:rsidR="005B4A33" w:rsidRPr="00057F93" w:rsidRDefault="005B4A33" w:rsidP="005B4A33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057F93">
        <w:rPr>
          <w:b/>
          <w:noProof/>
          <w:sz w:val="22"/>
          <w:szCs w:val="18"/>
          <w:lang w:eastAsia="zh-CN"/>
        </w:rPr>
        <w:t>Incheon, KR, 22nd – 26th May, 2023</w:t>
      </w:r>
    </w:p>
    <w:p w14:paraId="7043B772" w14:textId="77777777" w:rsidR="005B4A33" w:rsidRPr="007344AC" w:rsidRDefault="005B4A33" w:rsidP="005B4A33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8.1</w:t>
      </w:r>
    </w:p>
    <w:p w14:paraId="70E18A8B" w14:textId="77777777" w:rsidR="005B4A33" w:rsidRPr="00BB102B" w:rsidRDefault="005B4A33" w:rsidP="005B4A33">
      <w:pPr>
        <w:pStyle w:val="3GPPHeader"/>
        <w:rPr>
          <w:rFonts w:ascii="Arial" w:hAnsi="Arial" w:cs="Arial"/>
          <w:color w:val="000000"/>
          <w:sz w:val="20"/>
          <w:szCs w:val="20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178CF9B3" w14:textId="77777777" w:rsidR="005B4A33" w:rsidRPr="007344AC" w:rsidRDefault="005B4A33" w:rsidP="005B4A33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 on TSCAI for XR</w:t>
      </w:r>
    </w:p>
    <w:p w14:paraId="1653FD9B" w14:textId="77777777" w:rsidR="005B4A33" w:rsidRPr="007344AC" w:rsidRDefault="005B4A33" w:rsidP="005B4A33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2F34D1EA" w14:textId="77777777" w:rsidR="005B4A33" w:rsidRDefault="005B4A33" w:rsidP="005B4A33">
      <w:pPr>
        <w:pStyle w:val="Heading1"/>
      </w:pPr>
      <w:r>
        <w:t>Introduction</w:t>
      </w:r>
    </w:p>
    <w:p w14:paraId="1865D71A" w14:textId="77777777" w:rsidR="005B4A33" w:rsidRDefault="005B4A33" w:rsidP="005B4A33">
      <w:pPr>
        <w:jc w:val="both"/>
        <w:rPr>
          <w:rFonts w:eastAsia="Malgun Gothic"/>
          <w:sz w:val="20"/>
          <w:szCs w:val="22"/>
        </w:rPr>
      </w:pPr>
      <w:r w:rsidRPr="004A553B">
        <w:rPr>
          <w:rFonts w:eastAsia="Malgun Gothic"/>
          <w:sz w:val="20"/>
          <w:szCs w:val="22"/>
        </w:rPr>
        <w:t>In</w:t>
      </w:r>
      <w:r>
        <w:rPr>
          <w:rFonts w:eastAsia="Malgun Gothic"/>
          <w:sz w:val="20"/>
          <w:szCs w:val="22"/>
        </w:rPr>
        <w:t xml:space="preserve"> [1], RAN3 received a LS from RAN2, where RAN3 is in CC, but it has obviously RAN3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4A33" w14:paraId="38A787D6" w14:textId="77777777" w:rsidTr="00825DFF">
        <w:tc>
          <w:tcPr>
            <w:tcW w:w="9062" w:type="dxa"/>
          </w:tcPr>
          <w:p w14:paraId="15F9B2CD" w14:textId="77777777" w:rsidR="005B4A33" w:rsidRPr="0087404C" w:rsidRDefault="005B4A33" w:rsidP="00825DFF">
            <w:pPr>
              <w:jc w:val="both"/>
              <w:rPr>
                <w:sz w:val="20"/>
                <w:szCs w:val="22"/>
              </w:rPr>
            </w:pPr>
            <w:r w:rsidRPr="0087404C">
              <w:rPr>
                <w:sz w:val="20"/>
                <w:szCs w:val="22"/>
              </w:rPr>
              <w:t>RAN2 has discussed the provision of assistance information from CN to RAN for XR services and is wondering whether TSCAI can be provided for both GBR and non-GBR QoS flows in case of XR.</w:t>
            </w:r>
          </w:p>
          <w:p w14:paraId="274D1859" w14:textId="77777777" w:rsidR="005B4A33" w:rsidRPr="0087404C" w:rsidRDefault="005B4A33" w:rsidP="00825DFF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87404C">
              <w:rPr>
                <w:b/>
                <w:sz w:val="20"/>
                <w:szCs w:val="22"/>
                <w:lang w:val="en-GB"/>
              </w:rPr>
              <w:t>2. Actions:</w:t>
            </w:r>
          </w:p>
          <w:p w14:paraId="53ABD8CF" w14:textId="77777777" w:rsidR="005B4A33" w:rsidRPr="0087404C" w:rsidRDefault="005B4A33" w:rsidP="00825DFF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87404C">
              <w:rPr>
                <w:b/>
                <w:sz w:val="20"/>
                <w:szCs w:val="22"/>
                <w:lang w:val="en-GB"/>
              </w:rPr>
              <w:t>To SA2 group:</w:t>
            </w:r>
          </w:p>
          <w:p w14:paraId="02A96C2C" w14:textId="77777777" w:rsidR="005B4A33" w:rsidRPr="0087404C" w:rsidRDefault="005B4A33" w:rsidP="00825DFF">
            <w:pPr>
              <w:jc w:val="both"/>
              <w:rPr>
                <w:sz w:val="20"/>
                <w:szCs w:val="22"/>
                <w:lang w:val="en-GB"/>
              </w:rPr>
            </w:pPr>
            <w:r w:rsidRPr="0087404C">
              <w:rPr>
                <w:b/>
                <w:sz w:val="20"/>
                <w:szCs w:val="22"/>
                <w:lang w:val="en-GB"/>
              </w:rPr>
              <w:t xml:space="preserve">ACTION: </w:t>
            </w:r>
            <w:r w:rsidRPr="0087404C">
              <w:rPr>
                <w:b/>
                <w:sz w:val="20"/>
                <w:szCs w:val="22"/>
                <w:lang w:val="en-GB"/>
              </w:rPr>
              <w:tab/>
            </w:r>
            <w:r w:rsidRPr="0087404C">
              <w:rPr>
                <w:sz w:val="20"/>
                <w:szCs w:val="22"/>
                <w:lang w:val="en-GB"/>
              </w:rPr>
              <w:t xml:space="preserve">RAN2 respectfully asks SA2 to clarify whether TSCAI </w:t>
            </w:r>
            <w:r w:rsidRPr="0087404C">
              <w:rPr>
                <w:sz w:val="20"/>
                <w:szCs w:val="22"/>
              </w:rPr>
              <w:t>can be provided for both GBR and non-GBR QoS flows in case of XR</w:t>
            </w:r>
            <w:r w:rsidRPr="0087404C">
              <w:rPr>
                <w:sz w:val="20"/>
                <w:szCs w:val="22"/>
                <w:lang w:val="en-GB"/>
              </w:rPr>
              <w:t>.</w:t>
            </w:r>
          </w:p>
        </w:tc>
      </w:tr>
    </w:tbl>
    <w:p w14:paraId="0E12EAE6" w14:textId="77777777" w:rsidR="005B4A33" w:rsidRDefault="005B4A33" w:rsidP="005B4A33">
      <w:pPr>
        <w:jc w:val="both"/>
        <w:rPr>
          <w:sz w:val="20"/>
          <w:szCs w:val="22"/>
        </w:rPr>
      </w:pPr>
    </w:p>
    <w:p w14:paraId="06CA2EFB" w14:textId="77777777" w:rsidR="005B4A33" w:rsidRPr="00E47889" w:rsidRDefault="005B4A33" w:rsidP="005B4A33">
      <w:pPr>
        <w:jc w:val="both"/>
        <w:rPr>
          <w:sz w:val="20"/>
          <w:szCs w:val="22"/>
        </w:rPr>
      </w:pPr>
      <w:r>
        <w:rPr>
          <w:sz w:val="20"/>
          <w:szCs w:val="22"/>
        </w:rPr>
        <w:t>In this paper we provide our RAN3 analysis on the above.</w:t>
      </w:r>
    </w:p>
    <w:p w14:paraId="15791A38" w14:textId="77777777" w:rsidR="005B4A33" w:rsidRDefault="005B4A33" w:rsidP="005B4A33">
      <w:pPr>
        <w:pStyle w:val="Heading1"/>
      </w:pPr>
      <w:r>
        <w:t>Discussion</w:t>
      </w:r>
    </w:p>
    <w:p w14:paraId="61EF9150" w14:textId="1E1D7135" w:rsidR="005B4A33" w:rsidRDefault="005B4A33" w:rsidP="005B4A33">
      <w:pPr>
        <w:rPr>
          <w:sz w:val="20"/>
          <w:szCs w:val="20"/>
        </w:rPr>
      </w:pPr>
      <w:r>
        <w:rPr>
          <w:sz w:val="20"/>
          <w:szCs w:val="20"/>
        </w:rPr>
        <w:t xml:space="preserve">The TSC Assistance Information (TSCAI) I provided as part of the </w:t>
      </w:r>
      <w:r w:rsidRPr="00E852E6">
        <w:rPr>
          <w:i/>
          <w:iCs/>
          <w:sz w:val="20"/>
          <w:szCs w:val="20"/>
        </w:rPr>
        <w:t>TSC Traffic Characteristics</w:t>
      </w:r>
      <w:r>
        <w:rPr>
          <w:sz w:val="20"/>
          <w:szCs w:val="20"/>
        </w:rPr>
        <w:t xml:space="preserve"> IE (TS 38.413 section 9.3.1.130), which is included in the </w:t>
      </w:r>
      <w:r w:rsidRPr="00E852E6">
        <w:rPr>
          <w:i/>
          <w:iCs/>
          <w:sz w:val="20"/>
          <w:szCs w:val="20"/>
        </w:rPr>
        <w:t>PDU Session Resource Setup Request Transfer</w:t>
      </w:r>
      <w:r>
        <w:rPr>
          <w:sz w:val="20"/>
          <w:szCs w:val="20"/>
        </w:rPr>
        <w:t xml:space="preserve"> (TS 38.413 section 9.3.4.1) and </w:t>
      </w:r>
      <w:r w:rsidRPr="00E852E6">
        <w:rPr>
          <w:i/>
          <w:iCs/>
          <w:sz w:val="20"/>
          <w:szCs w:val="20"/>
        </w:rPr>
        <w:t>PDU Session Resource Modify Request Transfer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(section 9.3.4.3) IEs. There</w:t>
      </w:r>
      <w:r w:rsidR="000654BC">
        <w:rPr>
          <w:sz w:val="20"/>
          <w:szCs w:val="20"/>
        </w:rPr>
        <w:t>,</w:t>
      </w:r>
      <w:r>
        <w:rPr>
          <w:sz w:val="20"/>
          <w:szCs w:val="20"/>
        </w:rPr>
        <w:t xml:space="preserve"> we can see that the IE is bound only to GBR QoS flows and is ignored otherwise</w:t>
      </w:r>
      <w:r w:rsidR="00394884">
        <w:rPr>
          <w:sz w:val="20"/>
          <w:szCs w:val="20"/>
        </w:rPr>
        <w:t xml:space="preserve"> by the NG-RAN</w:t>
      </w:r>
      <w:r>
        <w:rPr>
          <w:sz w:val="20"/>
          <w:szCs w:val="20"/>
        </w:rPr>
        <w:t>.</w:t>
      </w:r>
    </w:p>
    <w:p w14:paraId="3EA68207" w14:textId="77777777" w:rsidR="005B4A33" w:rsidRDefault="005B4A33" w:rsidP="005B4A33">
      <w:pPr>
        <w:rPr>
          <w:sz w:val="20"/>
          <w:szCs w:val="20"/>
        </w:rPr>
      </w:pP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5B4A33" w:rsidRPr="001D2E49" w14:paraId="474B2FC1" w14:textId="77777777" w:rsidTr="00825DF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29D3" w14:textId="77777777" w:rsidR="005B4A33" w:rsidRPr="001D2E49" w:rsidRDefault="005B4A33" w:rsidP="00825DF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0FB" w14:textId="77777777" w:rsidR="005B4A33" w:rsidRPr="001D2E49" w:rsidRDefault="005B4A33" w:rsidP="00825DF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20B" w14:textId="77777777" w:rsidR="005B4A33" w:rsidRPr="001D2E49" w:rsidRDefault="005B4A33" w:rsidP="00825DF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710" w14:textId="77777777" w:rsidR="005B4A33" w:rsidRPr="001D2E49" w:rsidRDefault="005B4A33" w:rsidP="00825D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D33" w14:textId="77777777" w:rsidR="005B4A33" w:rsidRPr="001D2E49" w:rsidRDefault="005B4A33" w:rsidP="00825DFF">
            <w:pPr>
              <w:pStyle w:val="TAL"/>
              <w:rPr>
                <w:lang w:eastAsia="ja-JP"/>
              </w:rPr>
            </w:pPr>
            <w:r w:rsidRPr="00442E2C">
              <w:rPr>
                <w:rFonts w:eastAsia="Malgun Gothic"/>
                <w:highlight w:val="yellow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5F2" w14:textId="77777777" w:rsidR="005B4A33" w:rsidRPr="001D2E49" w:rsidRDefault="005B4A33" w:rsidP="00825DFF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546" w14:textId="77777777" w:rsidR="005B4A33" w:rsidRPr="001D2E49" w:rsidRDefault="005B4A33" w:rsidP="00825DFF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</w:tbl>
    <w:p w14:paraId="2A73ECBC" w14:textId="77777777" w:rsidR="005B4A33" w:rsidRDefault="005B4A33" w:rsidP="005B4A33">
      <w:pPr>
        <w:rPr>
          <w:sz w:val="20"/>
          <w:szCs w:val="20"/>
        </w:rPr>
      </w:pPr>
    </w:p>
    <w:p w14:paraId="0C9F3B97" w14:textId="77777777" w:rsidR="005B4A33" w:rsidRDefault="005B4A33" w:rsidP="005B4A33">
      <w:pPr>
        <w:rPr>
          <w:sz w:val="20"/>
          <w:szCs w:val="22"/>
        </w:rPr>
      </w:pPr>
      <w:r>
        <w:rPr>
          <w:sz w:val="20"/>
          <w:szCs w:val="22"/>
        </w:rPr>
        <w:t>NG-RAN node according to the current specification ignores the TSCAI IE when the QoS flow is non-GBR. The TSCAI related function will not be performed but the QoS flow may be setup successfully.</w:t>
      </w:r>
    </w:p>
    <w:p w14:paraId="02AF97A6" w14:textId="4AC815B8" w:rsidR="00785EC7" w:rsidRPr="00785EC7" w:rsidRDefault="00785EC7" w:rsidP="005B4A33">
      <w:pPr>
        <w:rPr>
          <w:b/>
          <w:bCs/>
          <w:sz w:val="20"/>
          <w:szCs w:val="20"/>
        </w:rPr>
      </w:pPr>
      <w:r w:rsidRPr="00442E2C">
        <w:rPr>
          <w:b/>
          <w:bCs/>
          <w:sz w:val="20"/>
          <w:szCs w:val="20"/>
        </w:rPr>
        <w:t xml:space="preserve">Observation 1: The TSCAI </w:t>
      </w:r>
      <w:r>
        <w:rPr>
          <w:b/>
          <w:bCs/>
          <w:sz w:val="20"/>
          <w:szCs w:val="20"/>
        </w:rPr>
        <w:t xml:space="preserve">in NGAP </w:t>
      </w:r>
      <w:r w:rsidRPr="00442E2C">
        <w:rPr>
          <w:b/>
          <w:bCs/>
          <w:sz w:val="20"/>
          <w:szCs w:val="20"/>
        </w:rPr>
        <w:t xml:space="preserve">is </w:t>
      </w:r>
      <w:r>
        <w:rPr>
          <w:b/>
          <w:bCs/>
          <w:sz w:val="20"/>
          <w:szCs w:val="20"/>
        </w:rPr>
        <w:t xml:space="preserve">valid </w:t>
      </w:r>
      <w:r w:rsidRPr="00442E2C">
        <w:rPr>
          <w:b/>
          <w:bCs/>
          <w:sz w:val="20"/>
          <w:szCs w:val="20"/>
        </w:rPr>
        <w:t xml:space="preserve">only </w:t>
      </w:r>
      <w:r>
        <w:rPr>
          <w:b/>
          <w:bCs/>
          <w:sz w:val="20"/>
          <w:szCs w:val="20"/>
        </w:rPr>
        <w:t>for</w:t>
      </w:r>
      <w:r w:rsidRPr="00442E2C">
        <w:rPr>
          <w:b/>
          <w:bCs/>
          <w:sz w:val="20"/>
          <w:szCs w:val="20"/>
        </w:rPr>
        <w:t xml:space="preserve"> GBR QoS flow</w:t>
      </w:r>
      <w:r>
        <w:rPr>
          <w:b/>
          <w:bCs/>
          <w:sz w:val="20"/>
          <w:szCs w:val="20"/>
        </w:rPr>
        <w:t xml:space="preserve"> and is ignored otherwise</w:t>
      </w:r>
    </w:p>
    <w:p w14:paraId="53BDCDE5" w14:textId="4E6A79D7" w:rsidR="005B4A33" w:rsidRDefault="005B4A33" w:rsidP="005B4A33">
      <w:pPr>
        <w:rPr>
          <w:sz w:val="20"/>
          <w:szCs w:val="22"/>
        </w:rPr>
      </w:pPr>
      <w:r>
        <w:rPr>
          <w:sz w:val="20"/>
          <w:szCs w:val="22"/>
        </w:rPr>
        <w:t xml:space="preserve">If the </w:t>
      </w:r>
      <w:r w:rsidRPr="0087404C">
        <w:rPr>
          <w:sz w:val="20"/>
          <w:szCs w:val="22"/>
        </w:rPr>
        <w:t xml:space="preserve">TSCAI in </w:t>
      </w:r>
      <w:r>
        <w:rPr>
          <w:sz w:val="20"/>
          <w:szCs w:val="22"/>
        </w:rPr>
        <w:t xml:space="preserve">the context </w:t>
      </w:r>
      <w:r w:rsidRPr="0087404C">
        <w:rPr>
          <w:sz w:val="20"/>
          <w:szCs w:val="22"/>
        </w:rPr>
        <w:t>of XR</w:t>
      </w:r>
      <w:r>
        <w:rPr>
          <w:sz w:val="20"/>
          <w:szCs w:val="22"/>
        </w:rPr>
        <w:t xml:space="preserve"> should be used </w:t>
      </w:r>
      <w:r w:rsidRPr="0087404C">
        <w:rPr>
          <w:sz w:val="20"/>
          <w:szCs w:val="22"/>
        </w:rPr>
        <w:t>for both GBR and non-GBR QoS flows</w:t>
      </w:r>
      <w:r>
        <w:rPr>
          <w:sz w:val="20"/>
          <w:szCs w:val="22"/>
        </w:rPr>
        <w:t>, then the limitation needs to be removed. One possible change, if it is decided to lift the limitation of GBR QoS for TSCAI by SA2</w:t>
      </w:r>
      <w:r w:rsidR="00785EC7">
        <w:rPr>
          <w:sz w:val="20"/>
          <w:szCs w:val="22"/>
        </w:rPr>
        <w:t xml:space="preserve">, </w:t>
      </w:r>
      <w:r>
        <w:rPr>
          <w:sz w:val="20"/>
          <w:szCs w:val="22"/>
        </w:rPr>
        <w:t xml:space="preserve">is </w:t>
      </w:r>
      <w:r w:rsidRPr="0019140F">
        <w:rPr>
          <w:sz w:val="20"/>
          <w:szCs w:val="22"/>
        </w:rPr>
        <w:t xml:space="preserve">to </w:t>
      </w:r>
      <w:r w:rsidR="00785EC7">
        <w:rPr>
          <w:sz w:val="20"/>
          <w:szCs w:val="22"/>
        </w:rPr>
        <w:t>delete</w:t>
      </w:r>
      <w:r w:rsidRPr="0019140F">
        <w:rPr>
          <w:sz w:val="20"/>
          <w:szCs w:val="22"/>
        </w:rPr>
        <w:t xml:space="preserve"> </w:t>
      </w:r>
      <w:r>
        <w:rPr>
          <w:sz w:val="20"/>
          <w:szCs w:val="22"/>
        </w:rPr>
        <w:t>the</w:t>
      </w:r>
      <w:r w:rsidRPr="0019140F">
        <w:rPr>
          <w:sz w:val="20"/>
          <w:szCs w:val="22"/>
        </w:rPr>
        <w:t xml:space="preserve"> "semantic</w:t>
      </w:r>
      <w:r>
        <w:rPr>
          <w:sz w:val="20"/>
          <w:szCs w:val="22"/>
        </w:rPr>
        <w:t>s</w:t>
      </w:r>
      <w:r w:rsidRPr="0019140F">
        <w:rPr>
          <w:sz w:val="20"/>
          <w:szCs w:val="22"/>
        </w:rPr>
        <w:t xml:space="preserve"> description"</w:t>
      </w:r>
      <w:r>
        <w:rPr>
          <w:sz w:val="20"/>
          <w:szCs w:val="22"/>
        </w:rPr>
        <w:t xml:space="preserve"> in NGAP. T</w:t>
      </w:r>
      <w:r w:rsidRPr="0019140F">
        <w:rPr>
          <w:sz w:val="20"/>
          <w:szCs w:val="22"/>
        </w:rPr>
        <w:t xml:space="preserve">here is </w:t>
      </w:r>
      <w:r>
        <w:rPr>
          <w:sz w:val="20"/>
          <w:szCs w:val="22"/>
        </w:rPr>
        <w:t>no other change related to</w:t>
      </w:r>
      <w:r w:rsidRPr="0019140F">
        <w:rPr>
          <w:sz w:val="20"/>
          <w:szCs w:val="22"/>
        </w:rPr>
        <w:t xml:space="preserve"> ASN.1</w:t>
      </w:r>
      <w:r>
        <w:rPr>
          <w:sz w:val="20"/>
          <w:szCs w:val="22"/>
        </w:rPr>
        <w:t xml:space="preserve"> and the change can be considered ASN.1 backward compatible. </w:t>
      </w:r>
    </w:p>
    <w:p w14:paraId="3390B351" w14:textId="17D6DAF3" w:rsidR="005B4A33" w:rsidRDefault="005B4A33" w:rsidP="005B4A33">
      <w:pPr>
        <w:rPr>
          <w:b/>
          <w:bCs/>
          <w:sz w:val="20"/>
          <w:szCs w:val="22"/>
        </w:rPr>
      </w:pPr>
      <w:r w:rsidRPr="009A2145">
        <w:rPr>
          <w:b/>
          <w:bCs/>
          <w:sz w:val="20"/>
          <w:szCs w:val="22"/>
        </w:rPr>
        <w:t xml:space="preserve">Observation 2: The limitation of tying TSCAI to GBR QoS flows can be lifted by </w:t>
      </w:r>
      <w:r w:rsidR="00BF3C80">
        <w:rPr>
          <w:b/>
          <w:bCs/>
          <w:sz w:val="20"/>
          <w:szCs w:val="22"/>
        </w:rPr>
        <w:t>deleting</w:t>
      </w:r>
      <w:r w:rsidRPr="009A2145">
        <w:rPr>
          <w:b/>
          <w:bCs/>
          <w:sz w:val="20"/>
          <w:szCs w:val="22"/>
        </w:rPr>
        <w:t xml:space="preserve"> the semantics description in the </w:t>
      </w:r>
      <w:r w:rsidRPr="009A2145">
        <w:rPr>
          <w:b/>
          <w:bCs/>
          <w:i/>
          <w:iCs/>
          <w:sz w:val="20"/>
          <w:szCs w:val="22"/>
        </w:rPr>
        <w:t>TSC Traffic Characteristics</w:t>
      </w:r>
      <w:r w:rsidRPr="009A2145">
        <w:rPr>
          <w:b/>
          <w:bCs/>
          <w:sz w:val="20"/>
          <w:szCs w:val="22"/>
        </w:rPr>
        <w:t xml:space="preserve"> IE</w:t>
      </w:r>
    </w:p>
    <w:p w14:paraId="513BFE32" w14:textId="77777777" w:rsidR="005B4A33" w:rsidRDefault="005B4A33" w:rsidP="005B4A33">
      <w:pPr>
        <w:rPr>
          <w:sz w:val="20"/>
          <w:szCs w:val="22"/>
        </w:rPr>
      </w:pPr>
      <w:r>
        <w:rPr>
          <w:sz w:val="20"/>
          <w:szCs w:val="22"/>
        </w:rPr>
        <w:t xml:space="preserve">However, from functionality perspective, a non-upgraded gNB may be implemented to ignore the received </w:t>
      </w:r>
      <w:r w:rsidRPr="003F3D8B">
        <w:rPr>
          <w:sz w:val="20"/>
          <w:szCs w:val="22"/>
        </w:rPr>
        <w:t>TSC Traffic Characteristics</w:t>
      </w:r>
      <w:r>
        <w:rPr>
          <w:sz w:val="20"/>
          <w:szCs w:val="22"/>
        </w:rPr>
        <w:t xml:space="preserve"> in case of non GBR QoS flow, and in this case the IE might be ignored and cause performance degradation. Therefore, another option is to define a new </w:t>
      </w:r>
      <w:r w:rsidRPr="00362EF6">
        <w:rPr>
          <w:i/>
          <w:iCs/>
          <w:sz w:val="20"/>
          <w:szCs w:val="22"/>
        </w:rPr>
        <w:t>XR TSC Traffic Characteristics</w:t>
      </w:r>
      <w:r>
        <w:rPr>
          <w:sz w:val="20"/>
          <w:szCs w:val="22"/>
        </w:rPr>
        <w:t xml:space="preserve"> IE in 9.3.4.1 and 9.3.4.3, without the semantics.</w:t>
      </w:r>
    </w:p>
    <w:p w14:paraId="0593A0DB" w14:textId="77777777" w:rsidR="005B4A33" w:rsidRPr="00362EF6" w:rsidRDefault="005B4A33" w:rsidP="005B4A33">
      <w:pPr>
        <w:rPr>
          <w:b/>
          <w:bCs/>
          <w:sz w:val="20"/>
          <w:szCs w:val="22"/>
        </w:rPr>
      </w:pPr>
      <w:r w:rsidRPr="00362EF6">
        <w:rPr>
          <w:b/>
          <w:bCs/>
          <w:sz w:val="20"/>
          <w:szCs w:val="22"/>
        </w:rPr>
        <w:lastRenderedPageBreak/>
        <w:t>Observation 3: A non-upgraded gNB may be implemented to always ignore the TSC Traffic Characteristics for non-GBR QoS flow even if the semantics is removed.</w:t>
      </w:r>
    </w:p>
    <w:p w14:paraId="0B8E9920" w14:textId="77777777" w:rsidR="005B4A33" w:rsidRDefault="005B4A33" w:rsidP="005B4A33">
      <w:pPr>
        <w:rPr>
          <w:b/>
          <w:bCs/>
          <w:sz w:val="20"/>
          <w:szCs w:val="22"/>
        </w:rPr>
      </w:pPr>
      <w:r w:rsidRPr="00362EF6">
        <w:rPr>
          <w:b/>
          <w:bCs/>
          <w:sz w:val="20"/>
          <w:szCs w:val="22"/>
        </w:rPr>
        <w:t>Proposal 1: RAN3 to discuss the option</w:t>
      </w:r>
      <w:r>
        <w:rPr>
          <w:b/>
          <w:bCs/>
          <w:sz w:val="20"/>
          <w:szCs w:val="22"/>
        </w:rPr>
        <w:t>s</w:t>
      </w:r>
      <w:r w:rsidRPr="00362EF6">
        <w:rPr>
          <w:b/>
          <w:bCs/>
          <w:sz w:val="20"/>
          <w:szCs w:val="22"/>
        </w:rPr>
        <w:t xml:space="preserve"> of </w:t>
      </w:r>
      <w:r>
        <w:rPr>
          <w:b/>
          <w:bCs/>
          <w:sz w:val="20"/>
          <w:szCs w:val="22"/>
        </w:rPr>
        <w:t xml:space="preserve">either </w:t>
      </w:r>
      <w:r w:rsidRPr="00362EF6">
        <w:rPr>
          <w:b/>
          <w:bCs/>
          <w:sz w:val="20"/>
          <w:szCs w:val="22"/>
        </w:rPr>
        <w:t xml:space="preserve">defining a new </w:t>
      </w:r>
      <w:r w:rsidRPr="00362EF6">
        <w:rPr>
          <w:b/>
          <w:bCs/>
          <w:i/>
          <w:iCs/>
          <w:sz w:val="20"/>
          <w:szCs w:val="22"/>
        </w:rPr>
        <w:t>XR TSC Traffic Characteristics</w:t>
      </w:r>
      <w:r w:rsidRPr="00362EF6">
        <w:rPr>
          <w:b/>
          <w:bCs/>
          <w:sz w:val="20"/>
          <w:szCs w:val="22"/>
        </w:rPr>
        <w:t xml:space="preserve"> IE in 9.3.4.1 and 9.3.4.3</w:t>
      </w:r>
      <w:r>
        <w:rPr>
          <w:b/>
          <w:bCs/>
          <w:sz w:val="20"/>
          <w:szCs w:val="22"/>
        </w:rPr>
        <w:t xml:space="preserve"> or removing the semantics when SA2 has decided to support TSCAI for non-GBR</w:t>
      </w:r>
    </w:p>
    <w:p w14:paraId="78951080" w14:textId="788B5C63" w:rsidR="005B4A33" w:rsidRPr="00362EF6" w:rsidRDefault="005B4A33" w:rsidP="005B4A33">
      <w:pPr>
        <w:rPr>
          <w:sz w:val="20"/>
          <w:szCs w:val="20"/>
        </w:rPr>
      </w:pPr>
      <w:r>
        <w:rPr>
          <w:sz w:val="20"/>
          <w:szCs w:val="22"/>
        </w:rPr>
        <w:t xml:space="preserve">A TP </w:t>
      </w:r>
      <w:r w:rsidR="00DC1F44">
        <w:rPr>
          <w:sz w:val="20"/>
          <w:szCs w:val="22"/>
        </w:rPr>
        <w:t xml:space="preserve">to XR NGAP BL CR </w:t>
      </w:r>
      <w:r>
        <w:rPr>
          <w:sz w:val="20"/>
          <w:szCs w:val="22"/>
        </w:rPr>
        <w:t>with possible changes is proposed in [2]</w:t>
      </w:r>
      <w:r w:rsidR="00DC1F44">
        <w:rPr>
          <w:sz w:val="20"/>
          <w:szCs w:val="22"/>
        </w:rPr>
        <w:t xml:space="preserve"> for consideration showing the possible changes.</w:t>
      </w:r>
    </w:p>
    <w:p w14:paraId="09A70154" w14:textId="77777777" w:rsidR="005B4A33" w:rsidRDefault="005B4A33" w:rsidP="005B4A33">
      <w:pPr>
        <w:pStyle w:val="Heading1"/>
      </w:pPr>
      <w:r>
        <w:t>Conclusions and Proposals</w:t>
      </w:r>
    </w:p>
    <w:p w14:paraId="66EAACAF" w14:textId="77777777" w:rsidR="005B4A33" w:rsidRDefault="005B4A33" w:rsidP="005B4A33">
      <w:r>
        <w:t>Our observations and proposals are summarized below.</w:t>
      </w:r>
    </w:p>
    <w:p w14:paraId="4F3A1F48" w14:textId="77777777" w:rsidR="00394884" w:rsidRDefault="00394884" w:rsidP="00394884">
      <w:pPr>
        <w:rPr>
          <w:b/>
          <w:bCs/>
          <w:sz w:val="20"/>
          <w:szCs w:val="20"/>
        </w:rPr>
      </w:pPr>
      <w:r w:rsidRPr="00442E2C">
        <w:rPr>
          <w:b/>
          <w:bCs/>
          <w:sz w:val="20"/>
          <w:szCs w:val="20"/>
        </w:rPr>
        <w:t xml:space="preserve">Observation 1: The TSCAI </w:t>
      </w:r>
      <w:r>
        <w:rPr>
          <w:b/>
          <w:bCs/>
          <w:sz w:val="20"/>
          <w:szCs w:val="20"/>
        </w:rPr>
        <w:t xml:space="preserve">in NGAP </w:t>
      </w:r>
      <w:r w:rsidRPr="00442E2C">
        <w:rPr>
          <w:b/>
          <w:bCs/>
          <w:sz w:val="20"/>
          <w:szCs w:val="20"/>
        </w:rPr>
        <w:t xml:space="preserve">is </w:t>
      </w:r>
      <w:r>
        <w:rPr>
          <w:b/>
          <w:bCs/>
          <w:sz w:val="20"/>
          <w:szCs w:val="20"/>
        </w:rPr>
        <w:t xml:space="preserve">valid </w:t>
      </w:r>
      <w:r w:rsidRPr="00442E2C">
        <w:rPr>
          <w:b/>
          <w:bCs/>
          <w:sz w:val="20"/>
          <w:szCs w:val="20"/>
        </w:rPr>
        <w:t xml:space="preserve">only </w:t>
      </w:r>
      <w:r>
        <w:rPr>
          <w:b/>
          <w:bCs/>
          <w:sz w:val="20"/>
          <w:szCs w:val="20"/>
        </w:rPr>
        <w:t>for</w:t>
      </w:r>
      <w:r w:rsidRPr="00442E2C">
        <w:rPr>
          <w:b/>
          <w:bCs/>
          <w:sz w:val="20"/>
          <w:szCs w:val="20"/>
        </w:rPr>
        <w:t xml:space="preserve"> GBR QoS flow</w:t>
      </w:r>
      <w:r>
        <w:rPr>
          <w:b/>
          <w:bCs/>
          <w:sz w:val="20"/>
          <w:szCs w:val="20"/>
        </w:rPr>
        <w:t xml:space="preserve"> and is ignored otherwise</w:t>
      </w:r>
    </w:p>
    <w:p w14:paraId="2BC49FFF" w14:textId="65F0C32C" w:rsidR="005B4A33" w:rsidRDefault="005B4A33" w:rsidP="005B4A33">
      <w:pPr>
        <w:rPr>
          <w:b/>
          <w:bCs/>
          <w:sz w:val="20"/>
          <w:szCs w:val="22"/>
        </w:rPr>
      </w:pPr>
      <w:r w:rsidRPr="009A2145">
        <w:rPr>
          <w:b/>
          <w:bCs/>
          <w:sz w:val="20"/>
          <w:szCs w:val="22"/>
        </w:rPr>
        <w:t xml:space="preserve">Observation 2: The limitation of tying TSCAI to GBR QoS flows can be lifted by </w:t>
      </w:r>
      <w:r w:rsidR="00BF3C80">
        <w:rPr>
          <w:b/>
          <w:bCs/>
          <w:sz w:val="20"/>
          <w:szCs w:val="22"/>
        </w:rPr>
        <w:t>deleting</w:t>
      </w:r>
      <w:r w:rsidR="00BF3C80" w:rsidRPr="009A2145">
        <w:rPr>
          <w:b/>
          <w:bCs/>
          <w:sz w:val="20"/>
          <w:szCs w:val="22"/>
        </w:rPr>
        <w:t xml:space="preserve"> the </w:t>
      </w:r>
      <w:r w:rsidRPr="009A2145">
        <w:rPr>
          <w:b/>
          <w:bCs/>
          <w:sz w:val="20"/>
          <w:szCs w:val="22"/>
        </w:rPr>
        <w:t xml:space="preserve">semantics description in the </w:t>
      </w:r>
      <w:r w:rsidRPr="009A2145">
        <w:rPr>
          <w:b/>
          <w:bCs/>
          <w:i/>
          <w:iCs/>
          <w:sz w:val="20"/>
          <w:szCs w:val="22"/>
        </w:rPr>
        <w:t>TSC Traffic Characteristics</w:t>
      </w:r>
      <w:r w:rsidRPr="009A2145">
        <w:rPr>
          <w:b/>
          <w:bCs/>
          <w:sz w:val="20"/>
          <w:szCs w:val="22"/>
        </w:rPr>
        <w:t xml:space="preserve"> IE</w:t>
      </w:r>
    </w:p>
    <w:p w14:paraId="313ABDF9" w14:textId="77777777" w:rsidR="005B4A33" w:rsidRPr="00362EF6" w:rsidRDefault="005B4A33" w:rsidP="005B4A33">
      <w:pPr>
        <w:rPr>
          <w:b/>
          <w:bCs/>
          <w:sz w:val="20"/>
          <w:szCs w:val="22"/>
        </w:rPr>
      </w:pPr>
      <w:r w:rsidRPr="00362EF6">
        <w:rPr>
          <w:b/>
          <w:bCs/>
          <w:sz w:val="20"/>
          <w:szCs w:val="22"/>
        </w:rPr>
        <w:t>Observation 3: A non-upgraded gNB may be implemented to always ignore the TSC Traffic Characteristics for non-GBR QoS flow even if the semantics is removed.</w:t>
      </w:r>
    </w:p>
    <w:p w14:paraId="3596C61C" w14:textId="77777777" w:rsidR="005B4A33" w:rsidRDefault="005B4A33" w:rsidP="005B4A33">
      <w:pPr>
        <w:rPr>
          <w:b/>
          <w:bCs/>
          <w:sz w:val="20"/>
          <w:szCs w:val="22"/>
        </w:rPr>
      </w:pPr>
      <w:r w:rsidRPr="00362EF6">
        <w:rPr>
          <w:b/>
          <w:bCs/>
          <w:sz w:val="20"/>
          <w:szCs w:val="22"/>
        </w:rPr>
        <w:t>Proposal 1: RAN3 to discuss the option</w:t>
      </w:r>
      <w:r>
        <w:rPr>
          <w:b/>
          <w:bCs/>
          <w:sz w:val="20"/>
          <w:szCs w:val="22"/>
        </w:rPr>
        <w:t>s</w:t>
      </w:r>
      <w:r w:rsidRPr="00362EF6">
        <w:rPr>
          <w:b/>
          <w:bCs/>
          <w:sz w:val="20"/>
          <w:szCs w:val="22"/>
        </w:rPr>
        <w:t xml:space="preserve"> of </w:t>
      </w:r>
      <w:r>
        <w:rPr>
          <w:b/>
          <w:bCs/>
          <w:sz w:val="20"/>
          <w:szCs w:val="22"/>
        </w:rPr>
        <w:t xml:space="preserve">either </w:t>
      </w:r>
      <w:r w:rsidRPr="00362EF6">
        <w:rPr>
          <w:b/>
          <w:bCs/>
          <w:sz w:val="20"/>
          <w:szCs w:val="22"/>
        </w:rPr>
        <w:t xml:space="preserve">defining a new </w:t>
      </w:r>
      <w:r w:rsidRPr="00362EF6">
        <w:rPr>
          <w:b/>
          <w:bCs/>
          <w:i/>
          <w:iCs/>
          <w:sz w:val="20"/>
          <w:szCs w:val="22"/>
        </w:rPr>
        <w:t>XR TSC Traffic Characteristics</w:t>
      </w:r>
      <w:r w:rsidRPr="00362EF6">
        <w:rPr>
          <w:b/>
          <w:bCs/>
          <w:sz w:val="20"/>
          <w:szCs w:val="22"/>
        </w:rPr>
        <w:t xml:space="preserve"> IE in 9.3.4.1 and 9.3.4.3</w:t>
      </w:r>
      <w:r>
        <w:rPr>
          <w:b/>
          <w:bCs/>
          <w:sz w:val="20"/>
          <w:szCs w:val="22"/>
        </w:rPr>
        <w:t xml:space="preserve"> or removing the semantics when SA2 has decided to support TSCAI for non-GBR.</w:t>
      </w:r>
    </w:p>
    <w:p w14:paraId="743AF30A" w14:textId="77777777" w:rsidR="005B4A33" w:rsidRPr="00362EF6" w:rsidRDefault="005B4A33" w:rsidP="005B4A33">
      <w:pPr>
        <w:rPr>
          <w:b/>
          <w:bCs/>
          <w:sz w:val="20"/>
          <w:szCs w:val="20"/>
        </w:rPr>
      </w:pPr>
    </w:p>
    <w:p w14:paraId="148AC2CB" w14:textId="77777777" w:rsidR="005B4A33" w:rsidRDefault="005B4A33" w:rsidP="005B4A33">
      <w:pPr>
        <w:pStyle w:val="Heading1"/>
      </w:pPr>
      <w:r>
        <w:t>References</w:t>
      </w:r>
    </w:p>
    <w:p w14:paraId="2A5F9879" w14:textId="77777777" w:rsidR="005B4A33" w:rsidRPr="00362EF6" w:rsidRDefault="005B4A33" w:rsidP="005B4A33">
      <w:pPr>
        <w:pStyle w:val="Reference"/>
      </w:pPr>
      <w:r w:rsidRPr="00BA2901">
        <w:rPr>
          <w:szCs w:val="22"/>
        </w:rPr>
        <w:t>R3-232578</w:t>
      </w:r>
      <w:r>
        <w:rPr>
          <w:szCs w:val="22"/>
        </w:rPr>
        <w:t xml:space="preserve">, </w:t>
      </w:r>
      <w:r w:rsidRPr="001D612C">
        <w:rPr>
          <w:szCs w:val="22"/>
        </w:rPr>
        <w:t>LS on TSCAI for XR</w:t>
      </w:r>
      <w:r>
        <w:rPr>
          <w:szCs w:val="22"/>
        </w:rPr>
        <w:t>, RAN2, Nokia</w:t>
      </w:r>
    </w:p>
    <w:p w14:paraId="306932AC" w14:textId="1E6E6910" w:rsidR="005B4A33" w:rsidRDefault="005B4A33" w:rsidP="005B4A33">
      <w:pPr>
        <w:pStyle w:val="Reference"/>
      </w:pPr>
      <w:r>
        <w:rPr>
          <w:szCs w:val="22"/>
        </w:rPr>
        <w:t>R3-23</w:t>
      </w:r>
      <w:r w:rsidR="00DC1F44">
        <w:rPr>
          <w:szCs w:val="22"/>
        </w:rPr>
        <w:t>3057</w:t>
      </w:r>
      <w:r>
        <w:rPr>
          <w:szCs w:val="22"/>
        </w:rPr>
        <w:t>, TP to XR NGAP BL CR</w:t>
      </w:r>
    </w:p>
    <w:p w14:paraId="4EC9CCB8" w14:textId="77777777" w:rsidR="005B4A33" w:rsidRDefault="005B4A33" w:rsidP="005B4A33"/>
    <w:p w14:paraId="2EBF9FB0" w14:textId="77777777" w:rsidR="005B4A33" w:rsidRDefault="005B4A33" w:rsidP="005B4A33"/>
    <w:p w14:paraId="085DEB8C" w14:textId="77777777" w:rsidR="005B4A33" w:rsidRDefault="005B4A33" w:rsidP="005B4A33"/>
    <w:p w14:paraId="131B8124" w14:textId="77777777" w:rsidR="00BA78BD" w:rsidRPr="005B4A33" w:rsidRDefault="00BA78BD" w:rsidP="005B4A33"/>
    <w:sectPr w:rsidR="00BA78BD" w:rsidRPr="005B4A33" w:rsidSect="002D663C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6F48"/>
    <w:multiLevelType w:val="hybridMultilevel"/>
    <w:tmpl w:val="95264208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9923C16"/>
    <w:multiLevelType w:val="hybridMultilevel"/>
    <w:tmpl w:val="717E8304"/>
    <w:lvl w:ilvl="0" w:tplc="FFFFFFFF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A4190"/>
    <w:multiLevelType w:val="hybridMultilevel"/>
    <w:tmpl w:val="717E8304"/>
    <w:lvl w:ilvl="0" w:tplc="E98A1504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8D465F"/>
    <w:multiLevelType w:val="hybridMultilevel"/>
    <w:tmpl w:val="95264208"/>
    <w:lvl w:ilvl="0" w:tplc="64882474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589002336">
    <w:abstractNumId w:val="2"/>
  </w:num>
  <w:num w:numId="2" w16cid:durableId="1606033353">
    <w:abstractNumId w:val="4"/>
  </w:num>
  <w:num w:numId="3" w16cid:durableId="377705491">
    <w:abstractNumId w:val="3"/>
  </w:num>
  <w:num w:numId="4" w16cid:durableId="789127519">
    <w:abstractNumId w:val="5"/>
  </w:num>
  <w:num w:numId="5" w16cid:durableId="1615483413">
    <w:abstractNumId w:val="1"/>
  </w:num>
  <w:num w:numId="6" w16cid:durableId="9280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66"/>
    <w:rsid w:val="000654BC"/>
    <w:rsid w:val="0019140F"/>
    <w:rsid w:val="001D612C"/>
    <w:rsid w:val="00353066"/>
    <w:rsid w:val="00362EF6"/>
    <w:rsid w:val="00394884"/>
    <w:rsid w:val="003F3D8B"/>
    <w:rsid w:val="00442E2C"/>
    <w:rsid w:val="00481C54"/>
    <w:rsid w:val="005B4A33"/>
    <w:rsid w:val="006343D4"/>
    <w:rsid w:val="00785EC7"/>
    <w:rsid w:val="007F206C"/>
    <w:rsid w:val="007F6D88"/>
    <w:rsid w:val="00804B08"/>
    <w:rsid w:val="0087404C"/>
    <w:rsid w:val="009A2145"/>
    <w:rsid w:val="00A05895"/>
    <w:rsid w:val="00B50823"/>
    <w:rsid w:val="00BA2901"/>
    <w:rsid w:val="00BA78BD"/>
    <w:rsid w:val="00BF3C80"/>
    <w:rsid w:val="00DA6B29"/>
    <w:rsid w:val="00DC1F44"/>
    <w:rsid w:val="00DF2BBE"/>
    <w:rsid w:val="00E12FC4"/>
    <w:rsid w:val="00E8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62D48"/>
  <w15:chartTrackingRefBased/>
  <w15:docId w15:val="{23F17086-502F-45DF-A2E2-8650F747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88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481C54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81C54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81C54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481C54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481C54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481C54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81C5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81C54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81C5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1C54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481C54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481C54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81C54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81C54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81C54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81C54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81C54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81C54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481C5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481C54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481C54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481C5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481C54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81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442E2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rsid w:val="00442E2C"/>
    <w:pPr>
      <w:jc w:val="center"/>
    </w:pPr>
  </w:style>
  <w:style w:type="character" w:customStyle="1" w:styleId="TALChar">
    <w:name w:val="TAL Char"/>
    <w:link w:val="TAL"/>
    <w:qFormat/>
    <w:rsid w:val="00442E2C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442E2C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26</cp:revision>
  <dcterms:created xsi:type="dcterms:W3CDTF">2023-05-11T07:30:00Z</dcterms:created>
  <dcterms:modified xsi:type="dcterms:W3CDTF">2023-05-11T15:04:00Z</dcterms:modified>
</cp:coreProperties>
</file>