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39CCA" w14:textId="2ED7A218" w:rsidR="00CD4C7B" w:rsidRPr="00B266B0" w:rsidRDefault="00CD4C7B" w:rsidP="00CD4C7B">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sidR="003454FC">
        <w:rPr>
          <w:noProof w:val="0"/>
          <w:sz w:val="24"/>
          <w:szCs w:val="24"/>
        </w:rPr>
        <w:t>WG3</w:t>
      </w:r>
      <w:r w:rsidRPr="00B266B0">
        <w:rPr>
          <w:noProof w:val="0"/>
          <w:sz w:val="24"/>
          <w:szCs w:val="24"/>
        </w:rPr>
        <w:t xml:space="preserve"> </w:t>
      </w:r>
      <w:r w:rsidR="009F7E6E" w:rsidRPr="009F7E6E">
        <w:rPr>
          <w:noProof w:val="0"/>
          <w:sz w:val="24"/>
          <w:szCs w:val="24"/>
        </w:rPr>
        <w:t>Meeting #1</w:t>
      </w:r>
      <w:r w:rsidR="005B79D2">
        <w:rPr>
          <w:noProof w:val="0"/>
          <w:sz w:val="24"/>
          <w:szCs w:val="24"/>
        </w:rPr>
        <w:t>1</w:t>
      </w:r>
      <w:r w:rsidR="00512233">
        <w:rPr>
          <w:noProof w:val="0"/>
          <w:sz w:val="24"/>
          <w:szCs w:val="24"/>
        </w:rPr>
        <w:t>9</w:t>
      </w:r>
      <w:r w:rsidR="00B76723">
        <w:rPr>
          <w:noProof w:val="0"/>
          <w:sz w:val="24"/>
          <w:szCs w:val="24"/>
        </w:rPr>
        <w:t>bis</w:t>
      </w:r>
      <w:r w:rsidR="00797D4B">
        <w:rPr>
          <w:noProof w:val="0"/>
          <w:sz w:val="24"/>
          <w:szCs w:val="24"/>
        </w:rPr>
        <w:t>-e</w:t>
      </w:r>
      <w:r w:rsidRPr="00B266B0">
        <w:rPr>
          <w:bCs/>
          <w:noProof w:val="0"/>
          <w:sz w:val="24"/>
          <w:szCs w:val="24"/>
        </w:rPr>
        <w:tab/>
      </w:r>
      <w:r w:rsidRPr="00B266B0">
        <w:rPr>
          <w:rFonts w:hint="eastAsia"/>
          <w:bCs/>
          <w:noProof w:val="0"/>
          <w:sz w:val="24"/>
          <w:szCs w:val="24"/>
        </w:rPr>
        <w:t>R</w:t>
      </w:r>
      <w:r w:rsidR="003454FC">
        <w:rPr>
          <w:bCs/>
          <w:noProof w:val="0"/>
          <w:sz w:val="24"/>
          <w:szCs w:val="24"/>
        </w:rPr>
        <w:t>3</w:t>
      </w:r>
      <w:r w:rsidRPr="00B266B0">
        <w:rPr>
          <w:rFonts w:hint="eastAsia"/>
          <w:bCs/>
          <w:noProof w:val="0"/>
          <w:sz w:val="24"/>
          <w:szCs w:val="24"/>
        </w:rPr>
        <w:t>-</w:t>
      </w:r>
      <w:r w:rsidR="00797D4B">
        <w:rPr>
          <w:bCs/>
          <w:noProof w:val="0"/>
          <w:sz w:val="24"/>
          <w:szCs w:val="24"/>
        </w:rPr>
        <w:t>2</w:t>
      </w:r>
      <w:r w:rsidR="00512233">
        <w:rPr>
          <w:bCs/>
          <w:noProof w:val="0"/>
          <w:sz w:val="24"/>
          <w:szCs w:val="24"/>
        </w:rPr>
        <w:t>3</w:t>
      </w:r>
      <w:r w:rsidR="00B7207A">
        <w:rPr>
          <w:bCs/>
          <w:noProof w:val="0"/>
          <w:sz w:val="24"/>
          <w:szCs w:val="24"/>
        </w:rPr>
        <w:t>1925</w:t>
      </w:r>
    </w:p>
    <w:p w14:paraId="1822B173" w14:textId="0748E672" w:rsidR="00CD4C7B" w:rsidRPr="00B1063A" w:rsidRDefault="00B76723" w:rsidP="00CD4C7B">
      <w:pPr>
        <w:pStyle w:val="Header"/>
        <w:tabs>
          <w:tab w:val="right" w:pos="9639"/>
        </w:tabs>
        <w:rPr>
          <w:bCs/>
          <w:noProof w:val="0"/>
          <w:sz w:val="24"/>
          <w:szCs w:val="24"/>
          <w:lang w:val="en-US"/>
        </w:rPr>
      </w:pPr>
      <w:r w:rsidRPr="00B76723">
        <w:rPr>
          <w:rFonts w:cs="Arial"/>
          <w:sz w:val="24"/>
          <w:szCs w:val="24"/>
          <w:lang w:val="en-US"/>
        </w:rPr>
        <w:t>E-meeting, 17 – 26 April</w:t>
      </w:r>
      <w:r w:rsidR="00512233" w:rsidRPr="00512233">
        <w:rPr>
          <w:rFonts w:cs="Arial"/>
          <w:sz w:val="24"/>
          <w:szCs w:val="24"/>
          <w:lang w:val="en-US"/>
        </w:rPr>
        <w:t>, 2023</w:t>
      </w:r>
    </w:p>
    <w:p w14:paraId="05FE47DF" w14:textId="77777777" w:rsidR="00CD4C7B" w:rsidRPr="00B1063A" w:rsidRDefault="00CD4C7B" w:rsidP="00CD4C7B">
      <w:pPr>
        <w:pStyle w:val="Header"/>
        <w:rPr>
          <w:bCs/>
          <w:noProof w:val="0"/>
          <w:sz w:val="24"/>
          <w:lang w:val="en-US"/>
        </w:rPr>
      </w:pPr>
    </w:p>
    <w:p w14:paraId="0717E73E" w14:textId="77777777" w:rsidR="00CD4C7B" w:rsidRPr="00B1063A" w:rsidRDefault="00CD4C7B" w:rsidP="00CD4C7B">
      <w:pPr>
        <w:pStyle w:val="Header"/>
        <w:rPr>
          <w:bCs/>
          <w:noProof w:val="0"/>
          <w:sz w:val="24"/>
          <w:lang w:val="en-US"/>
        </w:rPr>
      </w:pPr>
    </w:p>
    <w:p w14:paraId="3B0EF5F6" w14:textId="3FB6FE31" w:rsidR="00CD4C7B" w:rsidRPr="00B1063A" w:rsidRDefault="00CD4C7B" w:rsidP="00CD4C7B">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B7207A">
        <w:rPr>
          <w:rFonts w:cs="Arial"/>
          <w:b/>
          <w:bCs/>
          <w:sz w:val="24"/>
          <w:lang w:val="en-US" w:eastAsia="ja-JP"/>
        </w:rPr>
        <w:t>9.2.4</w:t>
      </w:r>
    </w:p>
    <w:p w14:paraId="47FEC04C" w14:textId="10679BB2"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B46C8" w:rsidRPr="007B46C8">
        <w:rPr>
          <w:rFonts w:ascii="Arial" w:hAnsi="Arial" w:cs="Arial"/>
          <w:b/>
          <w:bCs/>
          <w:sz w:val="24"/>
        </w:rPr>
        <w:t>Nokia - moderator</w:t>
      </w:r>
    </w:p>
    <w:p w14:paraId="13240CF6" w14:textId="37A38612"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8672E">
        <w:rPr>
          <w:rFonts w:ascii="Arial" w:hAnsi="Arial" w:cs="Arial"/>
          <w:b/>
          <w:bCs/>
          <w:sz w:val="24"/>
        </w:rPr>
        <w:t>Summary of discussions on</w:t>
      </w:r>
      <w:r w:rsidR="00B7207A" w:rsidRPr="00B7207A">
        <w:t xml:space="preserve"> </w:t>
      </w:r>
      <w:r w:rsidR="00B7207A" w:rsidRPr="00B7207A">
        <w:rPr>
          <w:rFonts w:ascii="Arial" w:hAnsi="Arial" w:cs="Arial"/>
          <w:b/>
          <w:bCs/>
          <w:sz w:val="24"/>
        </w:rPr>
        <w:t>CB: # 56_QoEALMC</w:t>
      </w:r>
    </w:p>
    <w:p w14:paraId="6911FBAD" w14:textId="1CEF997A"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7B0A52">
        <w:rPr>
          <w:rFonts w:ascii="Arial" w:hAnsi="Arial" w:cs="Arial"/>
          <w:b/>
          <w:bCs/>
          <w:sz w:val="24"/>
        </w:rPr>
        <w:t>Approval</w:t>
      </w:r>
    </w:p>
    <w:p w14:paraId="71F11288" w14:textId="77777777" w:rsidR="00CD4C7B" w:rsidRPr="006E13D1" w:rsidRDefault="00CD4C7B" w:rsidP="00CD4C7B">
      <w:pPr>
        <w:pStyle w:val="Heading1"/>
      </w:pPr>
      <w:r w:rsidRPr="006E13D1">
        <w:t>1</w:t>
      </w:r>
      <w:r w:rsidRPr="006E13D1">
        <w:tab/>
      </w:r>
      <w:r w:rsidR="0056573F">
        <w:t>Introduction</w:t>
      </w:r>
    </w:p>
    <w:p w14:paraId="05683F77" w14:textId="1D5CA117" w:rsidR="00702E82" w:rsidRPr="001B797E" w:rsidRDefault="00702E82" w:rsidP="00702E82">
      <w:r>
        <w:t>This paper provides summary of discussions at RAN#1</w:t>
      </w:r>
      <w:r w:rsidR="00B76723">
        <w:t>19bis</w:t>
      </w:r>
      <w:r>
        <w:t>-e on:</w:t>
      </w:r>
    </w:p>
    <w:p w14:paraId="162DC86D" w14:textId="77777777" w:rsidR="00B7207A" w:rsidRDefault="00B7207A" w:rsidP="00B7207A">
      <w:pPr>
        <w:widowControl w:val="0"/>
        <w:ind w:left="144" w:hanging="144"/>
        <w:rPr>
          <w:rFonts w:ascii="Calibri" w:hAnsi="Calibri" w:cs="Calibri"/>
          <w:b/>
          <w:color w:val="FF00FF"/>
          <w:sz w:val="18"/>
        </w:rPr>
      </w:pPr>
      <w:r>
        <w:rPr>
          <w:rFonts w:ascii="Calibri" w:hAnsi="Calibri" w:cs="Calibri"/>
          <w:b/>
          <w:color w:val="FF00FF"/>
          <w:sz w:val="18"/>
        </w:rPr>
        <w:t>CB: # 56_QoEALMC</w:t>
      </w:r>
    </w:p>
    <w:p w14:paraId="756EC18E" w14:textId="77777777" w:rsidR="00B7207A" w:rsidRDefault="00B7207A" w:rsidP="00B7207A">
      <w:pPr>
        <w:widowControl w:val="0"/>
        <w:ind w:left="144" w:hanging="144"/>
        <w:rPr>
          <w:rFonts w:ascii="Calibri" w:hAnsi="Calibri" w:cs="Calibri"/>
          <w:b/>
          <w:color w:val="FF00FF"/>
          <w:sz w:val="18"/>
        </w:rPr>
      </w:pPr>
      <w:r>
        <w:rPr>
          <w:rFonts w:ascii="Calibri" w:hAnsi="Calibri" w:cs="Calibri"/>
          <w:b/>
          <w:color w:val="FF00FF"/>
          <w:sz w:val="18"/>
        </w:rPr>
        <w:t xml:space="preserve">- Check the details with companies </w:t>
      </w:r>
    </w:p>
    <w:p w14:paraId="35045B20" w14:textId="77777777" w:rsidR="00B7207A" w:rsidRDefault="00B7207A" w:rsidP="00B7207A">
      <w:pPr>
        <w:widowControl w:val="0"/>
        <w:ind w:left="144" w:hanging="144"/>
        <w:rPr>
          <w:rFonts w:ascii="Calibri" w:hAnsi="Calibri" w:cs="Calibri"/>
          <w:color w:val="000000"/>
          <w:sz w:val="18"/>
        </w:rPr>
      </w:pPr>
      <w:r>
        <w:rPr>
          <w:rFonts w:ascii="Calibri" w:hAnsi="Calibri" w:cs="Calibri"/>
          <w:color w:val="000000"/>
          <w:sz w:val="18"/>
        </w:rPr>
        <w:t>(</w:t>
      </w:r>
      <w:proofErr w:type="gramStart"/>
      <w:r>
        <w:rPr>
          <w:rFonts w:ascii="Calibri" w:hAnsi="Calibri" w:cs="Calibri"/>
          <w:color w:val="000000"/>
          <w:sz w:val="18"/>
        </w:rPr>
        <w:t>moderator</w:t>
      </w:r>
      <w:proofErr w:type="gramEnd"/>
      <w:r>
        <w:rPr>
          <w:rFonts w:ascii="Calibri" w:hAnsi="Calibri" w:cs="Calibri"/>
          <w:color w:val="000000"/>
          <w:sz w:val="18"/>
        </w:rPr>
        <w:t xml:space="preserve"> - Nok)</w:t>
      </w:r>
    </w:p>
    <w:p w14:paraId="40A91CF9" w14:textId="060BA3B7" w:rsidR="0098314E" w:rsidRDefault="00B7207A" w:rsidP="007B0A52">
      <w:r>
        <w:t xml:space="preserve">This </w:t>
      </w:r>
      <w:proofErr w:type="spellStart"/>
      <w:r>
        <w:t>SoD</w:t>
      </w:r>
      <w:proofErr w:type="spellEnd"/>
      <w:r>
        <w:t xml:space="preserve"> collects comments on the use of </w:t>
      </w:r>
      <w:r w:rsidRPr="00B7207A">
        <w:t>the auxiliary "can"</w:t>
      </w:r>
      <w:r>
        <w:t xml:space="preserve"> in stage 2 description for QoE, based on:</w:t>
      </w:r>
    </w:p>
    <w:tbl>
      <w:tblPr>
        <w:tblW w:w="9930" w:type="dxa"/>
        <w:tblInd w:w="-39" w:type="dxa"/>
        <w:tblLayout w:type="fixed"/>
        <w:tblLook w:val="0000" w:firstRow="0" w:lastRow="0" w:firstColumn="0" w:lastColumn="0" w:noHBand="0" w:noVBand="0"/>
      </w:tblPr>
      <w:tblGrid>
        <w:gridCol w:w="1132"/>
        <w:gridCol w:w="4231"/>
        <w:gridCol w:w="4567"/>
      </w:tblGrid>
      <w:tr w:rsidR="00B7207A" w:rsidRPr="00C8461B" w14:paraId="1ABD10B1" w14:textId="77777777" w:rsidTr="00B1759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6D5D6B" w14:textId="053BB206" w:rsidR="00B7207A" w:rsidRPr="00B7207A" w:rsidRDefault="00A87E1C" w:rsidP="00B1759F">
            <w:pPr>
              <w:widowControl w:val="0"/>
              <w:ind w:left="144" w:hanging="144"/>
              <w:rPr>
                <w:rFonts w:ascii="Calibri" w:hAnsi="Calibri" w:cs="Calibri"/>
                <w:color w:val="0070C0"/>
                <w:sz w:val="18"/>
                <w:highlight w:val="yellow"/>
                <w:u w:val="single"/>
              </w:rPr>
            </w:pPr>
            <w:hyperlink r:id="rId7" w:history="1">
              <w:r w:rsidR="00B7207A" w:rsidRPr="00B7207A">
                <w:rPr>
                  <w:rFonts w:ascii="Calibri" w:hAnsi="Calibri" w:cs="Calibri"/>
                  <w:color w:val="0070C0"/>
                  <w:sz w:val="18"/>
                  <w:u w:val="single"/>
                </w:rPr>
                <w:t>R3-231634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82A7" w14:textId="77777777" w:rsidR="00B7207A" w:rsidRPr="00C8461B" w:rsidRDefault="00B7207A" w:rsidP="00B1759F">
            <w:pPr>
              <w:widowControl w:val="0"/>
              <w:ind w:left="144" w:hanging="144"/>
              <w:rPr>
                <w:rFonts w:ascii="Calibri" w:hAnsi="Calibri" w:cs="Calibri"/>
                <w:sz w:val="18"/>
              </w:rPr>
            </w:pPr>
            <w:r w:rsidRPr="00C8461B">
              <w:rPr>
                <w:rFonts w:ascii="Calibri" w:hAnsi="Calibri" w:cs="Calibri"/>
                <w:sz w:val="18"/>
              </w:rPr>
              <w:t>Clarification of Application Layer Measurement Collection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1FDA9" w14:textId="1D3C0834" w:rsidR="00B7207A" w:rsidRPr="00C8461B" w:rsidRDefault="00B7207A" w:rsidP="00B1759F">
            <w:pPr>
              <w:widowControl w:val="0"/>
              <w:ind w:left="144" w:hanging="144"/>
              <w:rPr>
                <w:rFonts w:ascii="Calibri" w:hAnsi="Calibri" w:cs="Calibri"/>
                <w:sz w:val="18"/>
              </w:rPr>
            </w:pPr>
            <w:proofErr w:type="spellStart"/>
            <w:r w:rsidRPr="00C8461B">
              <w:rPr>
                <w:rFonts w:ascii="Calibri" w:hAnsi="Calibri" w:cs="Calibri"/>
                <w:sz w:val="18"/>
              </w:rPr>
              <w:t>draftCR</w:t>
            </w:r>
            <w:proofErr w:type="spellEnd"/>
            <w:r>
              <w:rPr>
                <w:rFonts w:ascii="Calibri" w:hAnsi="Calibri" w:cs="Calibri"/>
                <w:sz w:val="18"/>
              </w:rPr>
              <w:t xml:space="preserve"> to TS 38.300 (cat. F, Rel-17)</w:t>
            </w:r>
          </w:p>
        </w:tc>
      </w:tr>
    </w:tbl>
    <w:p w14:paraId="07946340" w14:textId="77777777" w:rsidR="00B7207A" w:rsidRDefault="00B7207A" w:rsidP="007B0A52"/>
    <w:p w14:paraId="2E80FB4F" w14:textId="138F61A3" w:rsidR="00B7207A" w:rsidRPr="0098314E" w:rsidRDefault="00EF35E0" w:rsidP="007B0A52">
      <w:r>
        <w:t xml:space="preserve">Please provide your comments by </w:t>
      </w:r>
      <w:r w:rsidRPr="00EF35E0">
        <w:t xml:space="preserve">Monday the 24th at </w:t>
      </w:r>
      <w:r>
        <w:t xml:space="preserve">12 </w:t>
      </w:r>
      <w:r w:rsidRPr="00EF35E0">
        <w:t>UTC</w:t>
      </w:r>
      <w:r>
        <w:t>.</w:t>
      </w:r>
    </w:p>
    <w:p w14:paraId="479DA40B" w14:textId="1789C681" w:rsidR="00CD4C7B" w:rsidRPr="006E13D1" w:rsidRDefault="00CD4C7B" w:rsidP="00CD4C7B">
      <w:pPr>
        <w:pStyle w:val="Heading1"/>
      </w:pPr>
      <w:r w:rsidRPr="006E13D1">
        <w:t>2</w:t>
      </w:r>
      <w:r w:rsidRPr="006E13D1">
        <w:tab/>
      </w:r>
      <w:r w:rsidR="007B0A52">
        <w:t xml:space="preserve">For the Chairman’s Notes </w:t>
      </w:r>
    </w:p>
    <w:p w14:paraId="62566A3C" w14:textId="2B59EBBA" w:rsidR="007B0A52" w:rsidRDefault="007B0A52" w:rsidP="007B0A52">
      <w:r w:rsidRPr="007B0A52">
        <w:rPr>
          <w:highlight w:val="yellow"/>
        </w:rPr>
        <w:t>[To be completed]</w:t>
      </w:r>
    </w:p>
    <w:p w14:paraId="05AB05FA" w14:textId="33B4FE5F" w:rsidR="00CD4C7B" w:rsidRPr="00972FD7" w:rsidRDefault="00CD4C7B" w:rsidP="00CD4C7B">
      <w:pPr>
        <w:pStyle w:val="00BodyText"/>
        <w:spacing w:after="0"/>
        <w:rPr>
          <w:rFonts w:ascii="Times New Roman" w:hAnsi="Times New Roman"/>
          <w:sz w:val="20"/>
          <w:lang w:val="en-GB"/>
        </w:rPr>
      </w:pPr>
    </w:p>
    <w:p w14:paraId="0ABF5A04" w14:textId="267F0FB2" w:rsidR="007B0A52" w:rsidRPr="006E13D1" w:rsidRDefault="007B0A52" w:rsidP="007B0A52">
      <w:pPr>
        <w:pStyle w:val="Heading1"/>
      </w:pPr>
      <w:r>
        <w:t>3</w:t>
      </w:r>
      <w:r w:rsidRPr="006E13D1">
        <w:tab/>
      </w:r>
      <w:r>
        <w:t>Discussion</w:t>
      </w:r>
    </w:p>
    <w:p w14:paraId="6909ED6F" w14:textId="4F1BD354" w:rsidR="007B0A52" w:rsidRDefault="007B0A52" w:rsidP="007B0A52">
      <w:pPr>
        <w:pStyle w:val="Heading2"/>
      </w:pPr>
      <w:r>
        <w:t xml:space="preserve">3.1 </w:t>
      </w:r>
      <w:r w:rsidR="007C18D7">
        <w:t>Use</w:t>
      </w:r>
      <w:r w:rsidR="00B7207A">
        <w:t xml:space="preserve"> of ‘can’ </w:t>
      </w:r>
      <w:r w:rsidR="007C18D7">
        <w:t>vs.</w:t>
      </w:r>
      <w:r w:rsidR="00B7207A">
        <w:t xml:space="preserve"> ‘may’</w:t>
      </w:r>
      <w:r w:rsidR="007C18D7">
        <w:t xml:space="preserve"> in TS 38.300 clause 21</w:t>
      </w:r>
    </w:p>
    <w:p w14:paraId="77B3D560" w14:textId="04078B0D" w:rsidR="00B7207A" w:rsidRDefault="00E719F5" w:rsidP="00B7207A">
      <w:r>
        <w:t xml:space="preserve">The </w:t>
      </w:r>
      <w:r w:rsidR="00B7207A">
        <w:t xml:space="preserve">cover-page </w:t>
      </w:r>
      <w:r>
        <w:t xml:space="preserve">of R3-231634 </w:t>
      </w:r>
      <w:r w:rsidR="00B7207A">
        <w:t>provides background for the proposed changes in ‘reason for change’ as follows:</w:t>
      </w:r>
    </w:p>
    <w:p w14:paraId="02A900C5" w14:textId="77777777" w:rsidR="00E719F5" w:rsidRDefault="00E719F5" w:rsidP="00E719F5">
      <w:pPr>
        <w:pStyle w:val="CRCoverPage"/>
        <w:spacing w:after="0"/>
        <w:ind w:left="284"/>
        <w:rPr>
          <w:color w:val="7F7F7F"/>
          <w:sz w:val="16"/>
          <w:szCs w:val="16"/>
        </w:rPr>
      </w:pPr>
      <w:r>
        <w:rPr>
          <w:noProof/>
          <w:color w:val="7F7F7F"/>
          <w:sz w:val="16"/>
          <w:szCs w:val="16"/>
        </w:rPr>
        <w:t xml:space="preserve">In the description of </w:t>
      </w:r>
      <w:r>
        <w:rPr>
          <w:color w:val="7F7F7F"/>
          <w:sz w:val="16"/>
          <w:szCs w:val="16"/>
        </w:rPr>
        <w:t>Application Layer Measurement Collection</w:t>
      </w:r>
      <w:r>
        <w:rPr>
          <w:noProof/>
          <w:color w:val="7F7F7F"/>
          <w:sz w:val="16"/>
          <w:szCs w:val="16"/>
        </w:rPr>
        <w:t xml:space="preserve"> several occurrences of the auxiliary "can" </w:t>
      </w:r>
      <w:r>
        <w:rPr>
          <w:color w:val="7F7F7F"/>
          <w:sz w:val="16"/>
          <w:szCs w:val="16"/>
        </w:rPr>
        <w:t xml:space="preserve">don’t comply with </w:t>
      </w:r>
      <w:r>
        <w:rPr>
          <w:noProof/>
          <w:color w:val="7F7F7F"/>
          <w:sz w:val="16"/>
          <w:szCs w:val="16"/>
        </w:rPr>
        <w:t xml:space="preserve">TS 21.801 Specification drafting rules annex E: "Can" is </w:t>
      </w:r>
      <w:r>
        <w:rPr>
          <w:color w:val="7F7F7F"/>
          <w:sz w:val="16"/>
          <w:szCs w:val="16"/>
        </w:rPr>
        <w:t xml:space="preserve">used for statements of possibility and capability, whether material, physical or causal. </w:t>
      </w:r>
    </w:p>
    <w:p w14:paraId="288F42B6" w14:textId="77777777" w:rsidR="00E719F5" w:rsidRDefault="00E719F5" w:rsidP="00E719F5">
      <w:pPr>
        <w:pStyle w:val="CRCoverPage"/>
        <w:spacing w:after="0"/>
        <w:ind w:left="284"/>
        <w:rPr>
          <w:color w:val="7F7F7F"/>
          <w:sz w:val="16"/>
          <w:szCs w:val="16"/>
        </w:rPr>
      </w:pPr>
    </w:p>
    <w:p w14:paraId="1AFEFBFD" w14:textId="77777777" w:rsidR="00E719F5" w:rsidRDefault="00E719F5" w:rsidP="00E719F5">
      <w:pPr>
        <w:pStyle w:val="CRCoverPage"/>
        <w:spacing w:after="0"/>
        <w:ind w:left="284"/>
        <w:rPr>
          <w:color w:val="7F7F7F"/>
          <w:sz w:val="16"/>
          <w:szCs w:val="16"/>
        </w:rPr>
      </w:pPr>
      <w:r>
        <w:rPr>
          <w:color w:val="7F7F7F"/>
          <w:sz w:val="16"/>
          <w:szCs w:val="16"/>
        </w:rPr>
        <w:t xml:space="preserve">TS 21.801 also indicates for the auxiliary "may": </w:t>
      </w:r>
    </w:p>
    <w:p w14:paraId="4315E869" w14:textId="77777777" w:rsidR="00E719F5" w:rsidRDefault="00E719F5" w:rsidP="00E719F5">
      <w:pPr>
        <w:pStyle w:val="CRCoverPage"/>
        <w:numPr>
          <w:ilvl w:val="0"/>
          <w:numId w:val="5"/>
        </w:numPr>
        <w:spacing w:after="0"/>
        <w:ind w:left="1004"/>
        <w:rPr>
          <w:color w:val="7F7F7F"/>
          <w:sz w:val="16"/>
          <w:szCs w:val="16"/>
        </w:rPr>
      </w:pPr>
      <w:r>
        <w:rPr>
          <w:color w:val="7F7F7F"/>
          <w:sz w:val="16"/>
          <w:szCs w:val="16"/>
        </w:rPr>
        <w:t>“</w:t>
      </w:r>
      <w:r>
        <w:rPr>
          <w:i/>
          <w:iCs/>
          <w:color w:val="7F7F7F"/>
          <w:sz w:val="16"/>
          <w:szCs w:val="16"/>
        </w:rPr>
        <w:t>a course of action permissible within the limits of the 3GPP TS or 3GPP TR</w:t>
      </w:r>
      <w:r>
        <w:rPr>
          <w:color w:val="7F7F7F"/>
          <w:sz w:val="16"/>
          <w:szCs w:val="16"/>
        </w:rPr>
        <w:t xml:space="preserve">”. </w:t>
      </w:r>
    </w:p>
    <w:p w14:paraId="3A81D345" w14:textId="77777777" w:rsidR="00E719F5" w:rsidRDefault="00E719F5" w:rsidP="00E719F5">
      <w:pPr>
        <w:pStyle w:val="CRCoverPage"/>
        <w:numPr>
          <w:ilvl w:val="0"/>
          <w:numId w:val="5"/>
        </w:numPr>
        <w:spacing w:after="0"/>
        <w:ind w:left="1004"/>
        <w:rPr>
          <w:color w:val="7F7F7F"/>
          <w:sz w:val="16"/>
          <w:szCs w:val="16"/>
        </w:rPr>
      </w:pPr>
      <w:r>
        <w:rPr>
          <w:color w:val="7F7F7F"/>
          <w:sz w:val="16"/>
          <w:szCs w:val="16"/>
        </w:rPr>
        <w:t>"May" signifies permission expressed by the standard, whereas "can" refers to the ability of a user of the standard or to a possibility open to him.</w:t>
      </w:r>
    </w:p>
    <w:p w14:paraId="2192D0B7" w14:textId="77777777" w:rsidR="00E719F5" w:rsidRDefault="00E719F5" w:rsidP="00E719F5">
      <w:pPr>
        <w:pStyle w:val="CRCoverPage"/>
        <w:spacing w:after="0"/>
        <w:ind w:left="284"/>
        <w:rPr>
          <w:noProof/>
          <w:color w:val="7F7F7F"/>
          <w:sz w:val="16"/>
          <w:szCs w:val="16"/>
        </w:rPr>
      </w:pPr>
    </w:p>
    <w:p w14:paraId="185DBD5F" w14:textId="77777777" w:rsidR="00E719F5" w:rsidRDefault="00E719F5" w:rsidP="00E719F5">
      <w:pPr>
        <w:pStyle w:val="CRCoverPage"/>
        <w:spacing w:after="0"/>
        <w:ind w:left="284"/>
        <w:rPr>
          <w:noProof/>
          <w:color w:val="7F7F7F"/>
          <w:sz w:val="16"/>
          <w:szCs w:val="16"/>
        </w:rPr>
      </w:pPr>
      <w:r>
        <w:rPr>
          <w:noProof/>
          <w:color w:val="7F7F7F"/>
          <w:sz w:val="16"/>
          <w:szCs w:val="16"/>
        </w:rPr>
        <w:t xml:space="preserve">Due to the extensive use of the auxiliary "can", the user of the specification cannot determine whether the </w:t>
      </w:r>
      <w:r>
        <w:rPr>
          <w:color w:val="7F7F7F"/>
          <w:sz w:val="16"/>
          <w:szCs w:val="16"/>
        </w:rPr>
        <w:t>described course of action is permissible within the limits of the 3GPP TS</w:t>
      </w:r>
      <w:r>
        <w:rPr>
          <w:noProof/>
          <w:color w:val="7F7F7F"/>
          <w:sz w:val="16"/>
          <w:szCs w:val="16"/>
        </w:rPr>
        <w:t xml:space="preserve"> for several aspects of </w:t>
      </w:r>
      <w:r>
        <w:rPr>
          <w:color w:val="7F7F7F"/>
          <w:sz w:val="16"/>
          <w:szCs w:val="16"/>
        </w:rPr>
        <w:t>Application Layer Measurement Collection.</w:t>
      </w:r>
      <w:r>
        <w:rPr>
          <w:noProof/>
          <w:color w:val="7F7F7F"/>
          <w:sz w:val="16"/>
          <w:szCs w:val="16"/>
        </w:rPr>
        <w:t xml:space="preserve"> </w:t>
      </w:r>
    </w:p>
    <w:p w14:paraId="5F36A486" w14:textId="77777777" w:rsidR="00E719F5" w:rsidRDefault="00E719F5" w:rsidP="00E719F5">
      <w:pPr>
        <w:pStyle w:val="CRCoverPage"/>
        <w:spacing w:after="0"/>
        <w:ind w:left="284"/>
        <w:rPr>
          <w:noProof/>
          <w:color w:val="7F7F7F"/>
          <w:sz w:val="16"/>
          <w:szCs w:val="16"/>
        </w:rPr>
      </w:pPr>
    </w:p>
    <w:p w14:paraId="7CE7A4F7" w14:textId="4E529FAA" w:rsidR="00B7207A" w:rsidRDefault="00E719F5" w:rsidP="00E719F5">
      <w:pPr>
        <w:ind w:left="184"/>
        <w:rPr>
          <w:rFonts w:ascii="Arial" w:eastAsia="MS Mincho" w:hAnsi="Arial"/>
          <w:noProof/>
          <w:color w:val="7F7F7F"/>
          <w:sz w:val="16"/>
          <w:szCs w:val="16"/>
        </w:rPr>
      </w:pPr>
      <w:r>
        <w:rPr>
          <w:rFonts w:ascii="Arial" w:eastAsia="MS Mincho" w:hAnsi="Arial"/>
          <w:noProof/>
          <w:color w:val="7F7F7F"/>
          <w:sz w:val="16"/>
          <w:szCs w:val="16"/>
        </w:rPr>
        <w:t>Furthermore, the usage of "can" for Application Layer Measurement Collection is inconsistent with the rest of stage 2.</w:t>
      </w:r>
    </w:p>
    <w:p w14:paraId="0C342B9A" w14:textId="17A41451" w:rsidR="00E719F5" w:rsidRDefault="00E719F5" w:rsidP="007B0A52">
      <w:r>
        <w:t>Relative to the latest statement, it can be observed a significant</w:t>
      </w:r>
      <w:r w:rsidR="000568F0">
        <w:t>ly</w:t>
      </w:r>
      <w:r>
        <w:t xml:space="preserve"> higher ratio for the use of ‘can’ </w:t>
      </w:r>
      <w:r w:rsidR="000568F0">
        <w:t>compared to</w:t>
      </w:r>
      <w:r>
        <w:t xml:space="preserve"> ‘may’ in </w:t>
      </w:r>
      <w:r w:rsidR="000568F0">
        <w:t xml:space="preserve">the </w:t>
      </w:r>
      <w:r>
        <w:t xml:space="preserve">stage 2 description </w:t>
      </w:r>
      <w:r w:rsidR="000568F0">
        <w:t>of</w:t>
      </w:r>
      <w:r>
        <w:t xml:space="preserve"> QoE (TS 38.300 clause 21) than in the other parts of TS 38.300.</w:t>
      </w:r>
    </w:p>
    <w:p w14:paraId="7513964B" w14:textId="306E22A7" w:rsidR="00E719F5" w:rsidRDefault="00E719F5" w:rsidP="007B0A52">
      <w:r>
        <w:lastRenderedPageBreak/>
        <w:t xml:space="preserve">In addition to the referred TS 21.801 annex E, further background can be found in TS 21.801 clause 6.6.1: </w:t>
      </w:r>
    </w:p>
    <w:p w14:paraId="60D182BA" w14:textId="77777777" w:rsidR="00E719F5" w:rsidRDefault="00E719F5" w:rsidP="00E719F5">
      <w:pPr>
        <w:pStyle w:val="Heading3"/>
        <w:ind w:left="1418"/>
        <w:rPr>
          <w:color w:val="7F7F7F"/>
          <w:sz w:val="22"/>
          <w:szCs w:val="16"/>
        </w:rPr>
      </w:pPr>
      <w:bookmarkStart w:id="1" w:name="_Toc4764701"/>
      <w:bookmarkStart w:id="2" w:name="_Toc20215414"/>
      <w:bookmarkStart w:id="3" w:name="_Toc58914519"/>
      <w:r>
        <w:rPr>
          <w:color w:val="7F7F7F"/>
          <w:sz w:val="22"/>
          <w:szCs w:val="16"/>
        </w:rPr>
        <w:t>6.6.1</w:t>
      </w:r>
      <w:r>
        <w:rPr>
          <w:color w:val="7F7F7F"/>
          <w:sz w:val="22"/>
          <w:szCs w:val="16"/>
        </w:rPr>
        <w:tab/>
        <w:t>Verbal forms for the expression of provisions</w:t>
      </w:r>
      <w:bookmarkEnd w:id="1"/>
      <w:bookmarkEnd w:id="2"/>
      <w:bookmarkEnd w:id="3"/>
    </w:p>
    <w:p w14:paraId="6090F14F" w14:textId="77777777" w:rsidR="00E719F5" w:rsidRDefault="00E719F5" w:rsidP="00E719F5">
      <w:pPr>
        <w:ind w:left="284"/>
        <w:rPr>
          <w:color w:val="7F7F7F"/>
          <w:sz w:val="16"/>
          <w:szCs w:val="16"/>
        </w:rPr>
      </w:pPr>
      <w:r>
        <w:rPr>
          <w:color w:val="7F7F7F"/>
          <w:sz w:val="16"/>
          <w:szCs w:val="16"/>
        </w:rPr>
        <w:t xml:space="preserve">A 3GPP TS does not in itself impose any obligation upon anyone to follow it. However, such an obligation may be imposed, for example, by legislation or by a contract. </w:t>
      </w:r>
      <w:proofErr w:type="gramStart"/>
      <w:r>
        <w:rPr>
          <w:color w:val="7F7F7F"/>
          <w:sz w:val="16"/>
          <w:szCs w:val="16"/>
        </w:rPr>
        <w:t>In order to</w:t>
      </w:r>
      <w:proofErr w:type="gramEnd"/>
      <w:r>
        <w:rPr>
          <w:color w:val="7F7F7F"/>
          <w:sz w:val="16"/>
          <w:szCs w:val="16"/>
        </w:rPr>
        <w:t xml:space="preserve"> be able to claim compliance with a 3GPP TS, the user needs to be able to identify the requirements that are obligatory. The user also needs to be able to distinguish these requirements from other provisions where there is a certain freedom of choice.</w:t>
      </w:r>
    </w:p>
    <w:p w14:paraId="33865870" w14:textId="77777777" w:rsidR="00E719F5" w:rsidRDefault="00E719F5" w:rsidP="00E719F5">
      <w:pPr>
        <w:ind w:left="284"/>
        <w:rPr>
          <w:color w:val="7F7F7F"/>
          <w:sz w:val="16"/>
          <w:szCs w:val="16"/>
        </w:rPr>
      </w:pPr>
      <w:r>
        <w:rPr>
          <w:color w:val="7F7F7F"/>
          <w:sz w:val="16"/>
          <w:szCs w:val="16"/>
          <w:highlight w:val="yellow"/>
        </w:rPr>
        <w:t>Clear rules for the use of verbal forms (including modal auxiliaries) are therefore essential.</w:t>
      </w:r>
      <w:r>
        <w:rPr>
          <w:color w:val="7F7F7F"/>
          <w:sz w:val="16"/>
          <w:szCs w:val="16"/>
        </w:rPr>
        <w:t xml:space="preserve"> Annex E gives, in the first column of each table, the verbal form that shall be used to express each kind of provision. The equivalent expressions given in the second column shall be used only in exceptional cases when the form given in the first column cannot be used for linguistic reasons.</w:t>
      </w:r>
    </w:p>
    <w:p w14:paraId="73299F72" w14:textId="3B7BA818" w:rsidR="00E719F5" w:rsidRDefault="007C18D7" w:rsidP="007B0A52">
      <w:r>
        <w:t>During the online discussion, some companies commented that some of the proposed changes of ‘can’ to ‘may’ were not needed.</w:t>
      </w:r>
    </w:p>
    <w:p w14:paraId="185CB805" w14:textId="295817C9" w:rsidR="00DF4E6F" w:rsidRPr="00DF4E6F" w:rsidRDefault="00DF4E6F" w:rsidP="007B0A52">
      <w:pPr>
        <w:rPr>
          <w:b/>
          <w:bCs/>
        </w:rPr>
      </w:pPr>
      <w:r w:rsidRPr="00DF4E6F">
        <w:rPr>
          <w:b/>
          <w:bCs/>
        </w:rPr>
        <w:t xml:space="preserve">Q1: Please indicate whether any of the proposed changes </w:t>
      </w:r>
      <w:r w:rsidR="000568F0">
        <w:rPr>
          <w:b/>
          <w:bCs/>
        </w:rPr>
        <w:t xml:space="preserve">in R3-231634 </w:t>
      </w:r>
      <w:r w:rsidRPr="00DF4E6F">
        <w:rPr>
          <w:b/>
          <w:bCs/>
        </w:rPr>
        <w:t>should be kept as ‘can’.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B0A52" w14:paraId="52866F10" w14:textId="77777777" w:rsidTr="00F402A8">
        <w:tc>
          <w:tcPr>
            <w:tcW w:w="1668" w:type="dxa"/>
            <w:shd w:val="clear" w:color="auto" w:fill="auto"/>
          </w:tcPr>
          <w:p w14:paraId="1E940B85" w14:textId="77777777" w:rsidR="007B0A52" w:rsidRDefault="007B0A52" w:rsidP="00DF5331">
            <w:r>
              <w:t>Company</w:t>
            </w:r>
          </w:p>
        </w:tc>
        <w:tc>
          <w:tcPr>
            <w:tcW w:w="7620" w:type="dxa"/>
            <w:shd w:val="clear" w:color="auto" w:fill="auto"/>
          </w:tcPr>
          <w:p w14:paraId="308AA91C" w14:textId="77777777" w:rsidR="007B0A52" w:rsidRDefault="007B0A52" w:rsidP="00DF5331">
            <w:r>
              <w:t>Comment</w:t>
            </w:r>
          </w:p>
        </w:tc>
      </w:tr>
      <w:tr w:rsidR="007B0A52" w14:paraId="6ED0A362" w14:textId="77777777" w:rsidTr="00F402A8">
        <w:tc>
          <w:tcPr>
            <w:tcW w:w="1668" w:type="dxa"/>
            <w:shd w:val="clear" w:color="auto" w:fill="auto"/>
          </w:tcPr>
          <w:p w14:paraId="0A5F9521" w14:textId="5E2A5BBC" w:rsidR="007B0A52" w:rsidRPr="0003005B" w:rsidRDefault="0003005B" w:rsidP="00DF5331">
            <w:pPr>
              <w:rPr>
                <w:b/>
                <w:bCs/>
              </w:rPr>
            </w:pPr>
            <w:r w:rsidRPr="0003005B">
              <w:rPr>
                <w:b/>
                <w:bCs/>
              </w:rPr>
              <w:t>Ericsson</w:t>
            </w:r>
          </w:p>
        </w:tc>
        <w:tc>
          <w:tcPr>
            <w:tcW w:w="7620" w:type="dxa"/>
            <w:shd w:val="clear" w:color="auto" w:fill="auto"/>
          </w:tcPr>
          <w:p w14:paraId="0FE8BE13" w14:textId="7D01455D" w:rsidR="007B0A52" w:rsidRPr="0003005B" w:rsidRDefault="0003005B" w:rsidP="00DF5331">
            <w:r w:rsidRPr="0003005B">
              <w:t xml:space="preserve">Do you have any exact stats about how much QoE chapter overdid ‘can’? </w:t>
            </w:r>
            <w:r w:rsidRPr="0003005B">
              <w:rPr>
                <w:rFonts w:ascii="Segoe UI Emoji" w:eastAsia="Segoe UI Emoji" w:hAnsi="Segoe UI Emoji" w:cs="Segoe UI Emoji"/>
              </w:rPr>
              <w:t>😊</w:t>
            </w:r>
            <w:r w:rsidRPr="0003005B">
              <w:rPr>
                <w:rFonts w:eastAsia="Segoe UI Emoji"/>
              </w:rPr>
              <w:t xml:space="preserve"> We have marked the ‘cans to stay’ in the TP.</w:t>
            </w:r>
          </w:p>
        </w:tc>
      </w:tr>
      <w:tr w:rsidR="007B0A52" w14:paraId="113CDD66" w14:textId="77777777" w:rsidTr="00F402A8">
        <w:tc>
          <w:tcPr>
            <w:tcW w:w="1668" w:type="dxa"/>
            <w:shd w:val="clear" w:color="auto" w:fill="auto"/>
          </w:tcPr>
          <w:p w14:paraId="5518E78D" w14:textId="77777777" w:rsidR="007B0A52" w:rsidRDefault="007B0A52" w:rsidP="00DF5331"/>
        </w:tc>
        <w:tc>
          <w:tcPr>
            <w:tcW w:w="7620" w:type="dxa"/>
            <w:shd w:val="clear" w:color="auto" w:fill="auto"/>
          </w:tcPr>
          <w:p w14:paraId="3777FD4A" w14:textId="77777777" w:rsidR="007B0A52" w:rsidRDefault="007B0A52" w:rsidP="00DF5331"/>
        </w:tc>
      </w:tr>
      <w:tr w:rsidR="007B0A52" w14:paraId="778C5E25" w14:textId="77777777" w:rsidTr="00F402A8">
        <w:tc>
          <w:tcPr>
            <w:tcW w:w="1668" w:type="dxa"/>
            <w:shd w:val="clear" w:color="auto" w:fill="auto"/>
          </w:tcPr>
          <w:p w14:paraId="6706398A" w14:textId="77777777" w:rsidR="007B0A52" w:rsidRDefault="007B0A52" w:rsidP="00DF5331"/>
        </w:tc>
        <w:tc>
          <w:tcPr>
            <w:tcW w:w="7620" w:type="dxa"/>
            <w:shd w:val="clear" w:color="auto" w:fill="auto"/>
          </w:tcPr>
          <w:p w14:paraId="74DA58C4" w14:textId="77777777" w:rsidR="007B0A52" w:rsidRDefault="007B0A52" w:rsidP="00DF5331"/>
        </w:tc>
      </w:tr>
    </w:tbl>
    <w:p w14:paraId="5F04B6E3" w14:textId="113976E8" w:rsidR="007B0A52" w:rsidRDefault="007B0A52" w:rsidP="007B0A52"/>
    <w:p w14:paraId="41AF7CA5" w14:textId="393640D8" w:rsidR="007B0A52" w:rsidRPr="006E13D1" w:rsidRDefault="007B0A52" w:rsidP="007B0A52">
      <w:pPr>
        <w:pStyle w:val="Heading1"/>
      </w:pPr>
      <w:r>
        <w:t>4</w:t>
      </w:r>
      <w:r w:rsidRPr="006E13D1">
        <w:tab/>
      </w:r>
      <w:r>
        <w:t>Conclusion, Recommendations [if needed]</w:t>
      </w:r>
    </w:p>
    <w:p w14:paraId="07375FBE" w14:textId="77777777" w:rsidR="007B0A52" w:rsidRPr="00EC57F9" w:rsidRDefault="007B0A52" w:rsidP="007B0A52">
      <w:r>
        <w:t>If needed</w:t>
      </w:r>
    </w:p>
    <w:p w14:paraId="1DD4FB92" w14:textId="77777777" w:rsidR="00CD4C7B" w:rsidRPr="006E13D1" w:rsidRDefault="00CD4C7B" w:rsidP="00CD4C7B"/>
    <w:p w14:paraId="0EC3E131" w14:textId="77777777" w:rsidR="00CD4C7B" w:rsidRDefault="00CD4C7B" w:rsidP="00CD4C7B"/>
    <w:p w14:paraId="0BA2BD6A" w14:textId="77777777" w:rsidR="00080512" w:rsidRPr="00CD4C7B" w:rsidRDefault="00080512" w:rsidP="00CD4C7B"/>
    <w:sectPr w:rsidR="00080512" w:rsidRPr="00CD4C7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744E9" w14:textId="77777777" w:rsidR="007B0DA9" w:rsidRDefault="007B0DA9">
      <w:r>
        <w:separator/>
      </w:r>
    </w:p>
  </w:endnote>
  <w:endnote w:type="continuationSeparator" w:id="0">
    <w:p w14:paraId="34A8866E" w14:textId="77777777" w:rsidR="007B0DA9" w:rsidRDefault="007B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0A9B9" w14:textId="77777777" w:rsidR="007B0DA9" w:rsidRDefault="007B0DA9">
      <w:r>
        <w:separator/>
      </w:r>
    </w:p>
  </w:footnote>
  <w:footnote w:type="continuationSeparator" w:id="0">
    <w:p w14:paraId="6B92FF99" w14:textId="77777777" w:rsidR="007B0DA9" w:rsidRDefault="007B0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524001"/>
    <w:multiLevelType w:val="hybridMultilevel"/>
    <w:tmpl w:val="45FE6DD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4234571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4119610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90004800">
    <w:abstractNumId w:val="1"/>
  </w:num>
  <w:num w:numId="4" w16cid:durableId="572474672">
    <w:abstractNumId w:val="2"/>
  </w:num>
  <w:num w:numId="5" w16cid:durableId="488786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21F81"/>
    <w:rsid w:val="0003005B"/>
    <w:rsid w:val="00033397"/>
    <w:rsid w:val="000342C7"/>
    <w:rsid w:val="00040095"/>
    <w:rsid w:val="0005563E"/>
    <w:rsid w:val="000568F0"/>
    <w:rsid w:val="00080512"/>
    <w:rsid w:val="00083F0D"/>
    <w:rsid w:val="000B7BCF"/>
    <w:rsid w:val="000C556D"/>
    <w:rsid w:val="000D376D"/>
    <w:rsid w:val="000D58AB"/>
    <w:rsid w:val="001075B7"/>
    <w:rsid w:val="00120DF1"/>
    <w:rsid w:val="001370F2"/>
    <w:rsid w:val="001549DD"/>
    <w:rsid w:val="00174B9D"/>
    <w:rsid w:val="00194CD0"/>
    <w:rsid w:val="001B08B3"/>
    <w:rsid w:val="001C4281"/>
    <w:rsid w:val="001D0D3F"/>
    <w:rsid w:val="001F168B"/>
    <w:rsid w:val="001F70B7"/>
    <w:rsid w:val="0022606D"/>
    <w:rsid w:val="002305DD"/>
    <w:rsid w:val="00243BC7"/>
    <w:rsid w:val="002623FC"/>
    <w:rsid w:val="002747EC"/>
    <w:rsid w:val="002855BF"/>
    <w:rsid w:val="002E1692"/>
    <w:rsid w:val="002F0D22"/>
    <w:rsid w:val="002F3137"/>
    <w:rsid w:val="003172DC"/>
    <w:rsid w:val="0032043B"/>
    <w:rsid w:val="00326069"/>
    <w:rsid w:val="003454FC"/>
    <w:rsid w:val="0035462D"/>
    <w:rsid w:val="00363177"/>
    <w:rsid w:val="00365E19"/>
    <w:rsid w:val="003A6A90"/>
    <w:rsid w:val="003B3FB3"/>
    <w:rsid w:val="003C4E37"/>
    <w:rsid w:val="003E16BE"/>
    <w:rsid w:val="003E7223"/>
    <w:rsid w:val="00401855"/>
    <w:rsid w:val="00436258"/>
    <w:rsid w:val="00464695"/>
    <w:rsid w:val="004C2EC6"/>
    <w:rsid w:val="004D3578"/>
    <w:rsid w:val="004D380D"/>
    <w:rsid w:val="004D3F58"/>
    <w:rsid w:val="004D5E47"/>
    <w:rsid w:val="004E213A"/>
    <w:rsid w:val="004E21FC"/>
    <w:rsid w:val="00503171"/>
    <w:rsid w:val="00512233"/>
    <w:rsid w:val="005153FE"/>
    <w:rsid w:val="005240A4"/>
    <w:rsid w:val="00534DA0"/>
    <w:rsid w:val="00540B31"/>
    <w:rsid w:val="00543E6C"/>
    <w:rsid w:val="00544635"/>
    <w:rsid w:val="00565087"/>
    <w:rsid w:val="0056573F"/>
    <w:rsid w:val="00565BE9"/>
    <w:rsid w:val="00571CE2"/>
    <w:rsid w:val="00582E0B"/>
    <w:rsid w:val="0058672E"/>
    <w:rsid w:val="005A4971"/>
    <w:rsid w:val="005B1232"/>
    <w:rsid w:val="005B2EEF"/>
    <w:rsid w:val="005B79D2"/>
    <w:rsid w:val="005D4274"/>
    <w:rsid w:val="00605D08"/>
    <w:rsid w:val="00605E3E"/>
    <w:rsid w:val="00606DA9"/>
    <w:rsid w:val="00611566"/>
    <w:rsid w:val="00656E1E"/>
    <w:rsid w:val="006604E4"/>
    <w:rsid w:val="006C54B5"/>
    <w:rsid w:val="006D1E24"/>
    <w:rsid w:val="006E6555"/>
    <w:rsid w:val="00702E82"/>
    <w:rsid w:val="00723DBD"/>
    <w:rsid w:val="00731C31"/>
    <w:rsid w:val="00734A5B"/>
    <w:rsid w:val="00743525"/>
    <w:rsid w:val="00744E76"/>
    <w:rsid w:val="007476DB"/>
    <w:rsid w:val="00757D40"/>
    <w:rsid w:val="00774846"/>
    <w:rsid w:val="00781F0F"/>
    <w:rsid w:val="0078727C"/>
    <w:rsid w:val="00797D4B"/>
    <w:rsid w:val="007B0A52"/>
    <w:rsid w:val="007B0DA9"/>
    <w:rsid w:val="007B46C8"/>
    <w:rsid w:val="007C095F"/>
    <w:rsid w:val="007C18D7"/>
    <w:rsid w:val="007D5902"/>
    <w:rsid w:val="007E3011"/>
    <w:rsid w:val="00802106"/>
    <w:rsid w:val="008028A4"/>
    <w:rsid w:val="00806520"/>
    <w:rsid w:val="00840916"/>
    <w:rsid w:val="008520C6"/>
    <w:rsid w:val="00853EDD"/>
    <w:rsid w:val="008604EE"/>
    <w:rsid w:val="008768CA"/>
    <w:rsid w:val="00880559"/>
    <w:rsid w:val="0090271F"/>
    <w:rsid w:val="009034FE"/>
    <w:rsid w:val="00903D8C"/>
    <w:rsid w:val="00942EC2"/>
    <w:rsid w:val="00951B87"/>
    <w:rsid w:val="00954BCB"/>
    <w:rsid w:val="00961B32"/>
    <w:rsid w:val="00971683"/>
    <w:rsid w:val="00972FD7"/>
    <w:rsid w:val="00973900"/>
    <w:rsid w:val="00974BB0"/>
    <w:rsid w:val="0098314E"/>
    <w:rsid w:val="009A6E4F"/>
    <w:rsid w:val="009C4D5C"/>
    <w:rsid w:val="009D0A28"/>
    <w:rsid w:val="009F3B54"/>
    <w:rsid w:val="009F7E6E"/>
    <w:rsid w:val="00A10F02"/>
    <w:rsid w:val="00A32D62"/>
    <w:rsid w:val="00A5074A"/>
    <w:rsid w:val="00A53724"/>
    <w:rsid w:val="00A56A11"/>
    <w:rsid w:val="00A62F66"/>
    <w:rsid w:val="00A64267"/>
    <w:rsid w:val="00A748F2"/>
    <w:rsid w:val="00A82346"/>
    <w:rsid w:val="00A8361A"/>
    <w:rsid w:val="00A87E1C"/>
    <w:rsid w:val="00A9671C"/>
    <w:rsid w:val="00AB2AB4"/>
    <w:rsid w:val="00AD4BCF"/>
    <w:rsid w:val="00AF78D5"/>
    <w:rsid w:val="00B1063A"/>
    <w:rsid w:val="00B15449"/>
    <w:rsid w:val="00B7207A"/>
    <w:rsid w:val="00B76723"/>
    <w:rsid w:val="00B9781E"/>
    <w:rsid w:val="00BF79F1"/>
    <w:rsid w:val="00C03035"/>
    <w:rsid w:val="00C200E2"/>
    <w:rsid w:val="00C33079"/>
    <w:rsid w:val="00C43B31"/>
    <w:rsid w:val="00CA3D0C"/>
    <w:rsid w:val="00CA74ED"/>
    <w:rsid w:val="00CB6651"/>
    <w:rsid w:val="00CB6887"/>
    <w:rsid w:val="00CD4C7B"/>
    <w:rsid w:val="00CD71AD"/>
    <w:rsid w:val="00D22038"/>
    <w:rsid w:val="00D31DA1"/>
    <w:rsid w:val="00D628F5"/>
    <w:rsid w:val="00D738D6"/>
    <w:rsid w:val="00D80795"/>
    <w:rsid w:val="00D87E00"/>
    <w:rsid w:val="00D9134D"/>
    <w:rsid w:val="00D97CD9"/>
    <w:rsid w:val="00DA7A03"/>
    <w:rsid w:val="00DB1818"/>
    <w:rsid w:val="00DC309B"/>
    <w:rsid w:val="00DC4DA2"/>
    <w:rsid w:val="00DE1406"/>
    <w:rsid w:val="00DF4E6F"/>
    <w:rsid w:val="00E07838"/>
    <w:rsid w:val="00E13320"/>
    <w:rsid w:val="00E275C2"/>
    <w:rsid w:val="00E30D92"/>
    <w:rsid w:val="00E340BC"/>
    <w:rsid w:val="00E4418E"/>
    <w:rsid w:val="00E54327"/>
    <w:rsid w:val="00E62835"/>
    <w:rsid w:val="00E719F5"/>
    <w:rsid w:val="00E71A14"/>
    <w:rsid w:val="00E77645"/>
    <w:rsid w:val="00E80F4B"/>
    <w:rsid w:val="00E828DA"/>
    <w:rsid w:val="00E852FF"/>
    <w:rsid w:val="00E90ABE"/>
    <w:rsid w:val="00EA22F8"/>
    <w:rsid w:val="00EB0C2C"/>
    <w:rsid w:val="00EC4A25"/>
    <w:rsid w:val="00ED5D5F"/>
    <w:rsid w:val="00EE0A1E"/>
    <w:rsid w:val="00EF35E0"/>
    <w:rsid w:val="00F025A2"/>
    <w:rsid w:val="00F034A3"/>
    <w:rsid w:val="00F2026E"/>
    <w:rsid w:val="00F2210A"/>
    <w:rsid w:val="00F37743"/>
    <w:rsid w:val="00F402A8"/>
    <w:rsid w:val="00F54A3D"/>
    <w:rsid w:val="00F653B8"/>
    <w:rsid w:val="00F76F8F"/>
    <w:rsid w:val="00FA1266"/>
    <w:rsid w:val="00FB2BEA"/>
    <w:rsid w:val="00FC1192"/>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30CC9"/>
  <w15:chartTrackingRefBased/>
  <w15:docId w15:val="{1272C275-BF15-47AA-A13B-5FC1D1CE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5C2"/>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customStyle="1" w:styleId="Heading1Char">
    <w:name w:val="Heading 1 Char"/>
    <w:link w:val="Heading1"/>
    <w:rsid w:val="007B0A52"/>
    <w:rPr>
      <w:rFonts w:ascii="Arial" w:hAnsi="Arial"/>
      <w:sz w:val="36"/>
      <w:lang w:val="en-GB" w:eastAsia="en-US"/>
    </w:rPr>
  </w:style>
  <w:style w:type="character" w:customStyle="1" w:styleId="Heading2Char">
    <w:name w:val="Heading 2 Char"/>
    <w:link w:val="Heading2"/>
    <w:rsid w:val="00E275C2"/>
    <w:rPr>
      <w:rFonts w:ascii="Arial" w:hAnsi="Arial"/>
      <w:sz w:val="32"/>
      <w:lang w:val="en-GB" w:eastAsia="en-US"/>
    </w:rPr>
  </w:style>
  <w:style w:type="character" w:customStyle="1" w:styleId="Heading3Char">
    <w:name w:val="Heading 3 Char"/>
    <w:link w:val="Heading3"/>
    <w:rsid w:val="00E719F5"/>
    <w:rPr>
      <w:rFonts w:ascii="Arial" w:hAnsi="Arial"/>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gpp.org/ftp/TSG_RAN/WG3_Iu/TSGR3_119bis-e/Docs/R3-231634.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TDoc</Template>
  <TotalTime>0</TotalTime>
  <Pages>2</Pages>
  <Words>520</Words>
  <Characters>2970</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3484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Ericsson User</cp:lastModifiedBy>
  <cp:revision>2</cp:revision>
  <dcterms:created xsi:type="dcterms:W3CDTF">2023-04-21T09:34:00Z</dcterms:created>
  <dcterms:modified xsi:type="dcterms:W3CDTF">2023-04-21T09:34:00Z</dcterms:modified>
</cp:coreProperties>
</file>