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77074E02" w:rsidR="00527357" w:rsidRPr="00BE6063" w:rsidRDefault="00C9756E" w:rsidP="00527357">
      <w:pPr>
        <w:pStyle w:val="aff1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#114</w:t>
      </w:r>
      <w:r w:rsidR="002B2AE2">
        <w:rPr>
          <w:rFonts w:ascii="Arial" w:hAnsi="Arial" w:cs="Arial"/>
          <w:b/>
          <w:sz w:val="24"/>
          <w:szCs w:val="24"/>
          <w:lang w:val="en-US"/>
        </w:rPr>
        <w:t>bis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4C4ECD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2</w:t>
      </w:r>
      <w:r w:rsidR="00054BC1">
        <w:rPr>
          <w:rFonts w:ascii="Arial" w:hAnsi="Arial" w:cs="Arial"/>
          <w:b/>
          <w:iCs/>
          <w:sz w:val="24"/>
          <w:szCs w:val="24"/>
          <w:lang w:val="en-US"/>
        </w:rPr>
        <w:t>0243</w:t>
      </w:r>
      <w:bookmarkStart w:id="0" w:name="_GoBack"/>
      <w:bookmarkEnd w:id="0"/>
    </w:p>
    <w:p w14:paraId="63A394CA" w14:textId="0169E2EF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17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–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26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2B2A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January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 w:rsidR="004C4EC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5177876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CF7A27">
        <w:rPr>
          <w:b/>
          <w:bCs/>
          <w:sz w:val="24"/>
          <w:szCs w:val="24"/>
          <w:lang w:val="pt-BR"/>
        </w:rPr>
        <w:t>11.2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6F7830FD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C9756E">
        <w:rPr>
          <w:b/>
          <w:bCs/>
          <w:sz w:val="24"/>
          <w:szCs w:val="24"/>
        </w:rPr>
        <w:tab/>
      </w:r>
      <w:r w:rsidR="00CF7A27">
        <w:rPr>
          <w:b/>
          <w:bCs/>
          <w:sz w:val="24"/>
          <w:szCs w:val="24"/>
        </w:rPr>
        <w:t>RedCap Mobility Handling</w:t>
      </w:r>
      <w:r w:rsidR="000F37CA">
        <w:rPr>
          <w:b/>
          <w:bCs/>
          <w:sz w:val="24"/>
          <w:szCs w:val="24"/>
        </w:rPr>
        <w:t xml:space="preserve"> and Capability Exchange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6561F222" w14:textId="6CCAFA42" w:rsidR="00C164DD" w:rsidRPr="00C164DD" w:rsidRDefault="00C164DD" w:rsidP="00C164DD">
      <w:pPr>
        <w:rPr>
          <w:sz w:val="21"/>
          <w:szCs w:val="21"/>
          <w:lang w:eastAsia="ja-JP"/>
        </w:rPr>
      </w:pPr>
      <w:r w:rsidRPr="00C164DD">
        <w:rPr>
          <w:sz w:val="21"/>
          <w:szCs w:val="21"/>
          <w:lang w:eastAsia="ja-JP"/>
        </w:rPr>
        <w:t>This contribution discusses</w:t>
      </w:r>
      <w:r>
        <w:rPr>
          <w:sz w:val="21"/>
          <w:szCs w:val="21"/>
          <w:lang w:eastAsia="ja-JP"/>
        </w:rPr>
        <w:t xml:space="preserve"> whether there is a need to support for the RedCap capability exchange.</w:t>
      </w:r>
    </w:p>
    <w:p w14:paraId="6F5901B0" w14:textId="64A9AAA7" w:rsidR="00670830" w:rsidRDefault="00670830" w:rsidP="00670830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0830" w14:paraId="50CA85DA" w14:textId="77777777" w:rsidTr="00670830">
        <w:tc>
          <w:tcPr>
            <w:tcW w:w="9629" w:type="dxa"/>
          </w:tcPr>
          <w:p w14:paraId="0C0483EE" w14:textId="77777777" w:rsidR="00670830" w:rsidRDefault="00670830" w:rsidP="00670830">
            <w:pPr>
              <w:pStyle w:val="2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left" w:pos="0"/>
              </w:tabs>
              <w:spacing w:before="60" w:beforeAutospacing="1" w:after="0"/>
              <w:outlineLvl w:val="1"/>
              <w:rPr>
                <w:rFonts w:ascii="Calibri" w:hAnsi="Calibri" w:cs="Calibri"/>
                <w:lang w:eastAsia="ja-JP"/>
              </w:rPr>
            </w:pPr>
            <w:bookmarkStart w:id="1" w:name="_Toc91363850"/>
            <w:r>
              <w:rPr>
                <w:rFonts w:ascii="Calibri" w:hAnsi="Calibri" w:cs="Calibri"/>
              </w:rPr>
              <w:t>1</w:t>
            </w:r>
            <w:r>
              <w:rPr>
                <w:rFonts w:ascii="Calibri" w:eastAsia="SimSun" w:hAnsi="Calibri" w:cs="Calibri"/>
              </w:rPr>
              <w:t>1</w:t>
            </w:r>
            <w:r>
              <w:rPr>
                <w:rFonts w:ascii="Calibri" w:hAnsi="Calibri" w:cs="Calibri"/>
              </w:rPr>
              <w:t>.2. Support for RedCap Capability Exchange</w:t>
            </w:r>
            <w:bookmarkEnd w:id="1"/>
          </w:p>
          <w:p w14:paraId="2445EC19" w14:textId="77777777" w:rsidR="00670830" w:rsidRDefault="00670830" w:rsidP="0067083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color w:val="D60093"/>
              </w:rPr>
              <w:t>QUOTA: 1</w:t>
            </w:r>
          </w:p>
          <w:p w14:paraId="297F3C1F" w14:textId="77777777" w:rsidR="00670830" w:rsidRDefault="00670830" w:rsidP="00670830">
            <w:pP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  <w:t xml:space="preserve">LS to RAN2 </w:t>
            </w:r>
            <w:hyperlink r:id="rId8" w:history="1">
              <w:r>
                <w:rPr>
                  <w:rStyle w:val="af9"/>
                  <w:rFonts w:ascii="Calibri" w:hAnsi="Calibri" w:cs="Calibri"/>
                  <w:iCs/>
                  <w:kern w:val="2"/>
                  <w:sz w:val="16"/>
                  <w:szCs w:val="16"/>
                </w:rPr>
                <w:t>R3-214422</w:t>
              </w:r>
            </w:hyperlink>
            <w: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  <w:t xml:space="preserve"> Agreed</w:t>
            </w:r>
          </w:p>
          <w:p w14:paraId="11323E37" w14:textId="77777777" w:rsidR="00670830" w:rsidRDefault="00670830" w:rsidP="00670830">
            <w:pP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ja-JP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val="en-US" w:eastAsia="ja-JP"/>
              </w:rPr>
              <w:t>RAN3#114e:</w:t>
            </w:r>
          </w:p>
          <w:p w14:paraId="4F898C5C" w14:textId="77777777" w:rsidR="00670830" w:rsidRDefault="00670830" w:rsidP="00670830">
            <w:pP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  <w:t>Consider the following mobility handling scenarios for RedCap UEs, in terms of the target of mobility,</w:t>
            </w:r>
          </w:p>
          <w:p w14:paraId="6ADA9117" w14:textId="77777777" w:rsidR="00670830" w:rsidRDefault="00670830" w:rsidP="00670830">
            <w:pPr>
              <w:spacing w:line="360" w:lineRule="auto"/>
              <w:ind w:left="397" w:hanging="397"/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  <w:t>A.     Legacy gNB (Pre Rel-17)</w:t>
            </w:r>
          </w:p>
          <w:p w14:paraId="5DFD203B" w14:textId="77777777" w:rsidR="00670830" w:rsidRDefault="00670830" w:rsidP="00670830">
            <w:pPr>
              <w:spacing w:line="360" w:lineRule="auto"/>
              <w:ind w:left="397" w:hanging="397"/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  <w:t>B.      New gNB (Rel-17) permanently barring RedCap UE</w:t>
            </w:r>
          </w:p>
          <w:p w14:paraId="52CA6175" w14:textId="77777777" w:rsidR="00670830" w:rsidRDefault="00670830" w:rsidP="00670830">
            <w:pPr>
              <w:spacing w:line="360" w:lineRule="auto"/>
              <w:ind w:left="397" w:hanging="397"/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  <w:t>C.     New gNB (Rel-17) where RedCap UEs are temporarily barred, e.g., for 1Rx or 2Rx RedCap UE; How frequent the barring would happen depends on RAN2 reply</w:t>
            </w:r>
          </w:p>
          <w:p w14:paraId="3909A02B" w14:textId="77777777" w:rsidR="00670830" w:rsidRDefault="00670830" w:rsidP="00670830">
            <w:pPr>
              <w:spacing w:line="360" w:lineRule="auto"/>
              <w:ind w:left="397" w:hanging="397"/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kern w:val="2"/>
                <w:sz w:val="16"/>
                <w:szCs w:val="16"/>
              </w:rPr>
              <w:t>D.     New gNB (Rel-17) allowing RedCap UE</w:t>
            </w:r>
          </w:p>
          <w:p w14:paraId="41526338" w14:textId="77777777" w:rsidR="00670830" w:rsidRDefault="00670830" w:rsidP="00670830">
            <w:pPr>
              <w:spacing w:line="252" w:lineRule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ja-JP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val="en-US" w:eastAsia="ja-JP"/>
              </w:rPr>
              <w:t>Wait for RAN2 reply LS, continue the solutions discussion</w:t>
            </w:r>
          </w:p>
          <w:p w14:paraId="2205BA58" w14:textId="10B52DC5" w:rsidR="00670830" w:rsidRDefault="00670830" w:rsidP="00670830"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val="en-US" w:eastAsia="ja-JP"/>
              </w:rPr>
              <w:t>To be continued...</w:t>
            </w:r>
          </w:p>
        </w:tc>
      </w:tr>
    </w:tbl>
    <w:p w14:paraId="05A788C4" w14:textId="77777777" w:rsidR="00C33255" w:rsidRDefault="00C33255" w:rsidP="00B7625C">
      <w:pPr>
        <w:rPr>
          <w:sz w:val="21"/>
          <w:szCs w:val="21"/>
          <w:lang w:eastAsia="ja-JP"/>
        </w:rPr>
      </w:pPr>
    </w:p>
    <w:p w14:paraId="7725F2D9" w14:textId="77777777" w:rsidR="00CF7A27" w:rsidRDefault="00CF7A27" w:rsidP="00CF7A27">
      <w:pPr>
        <w:rPr>
          <w:sz w:val="21"/>
          <w:szCs w:val="21"/>
          <w:lang w:eastAsia="ja-JP"/>
        </w:rPr>
      </w:pP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6925FF79" w14:textId="52B0D4B2" w:rsidR="00101F8E" w:rsidRDefault="00101F8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 four scenarios that disc</w:t>
      </w:r>
      <w:r w:rsidR="00BB2545">
        <w:rPr>
          <w:sz w:val="21"/>
          <w:szCs w:val="21"/>
          <w:lang w:eastAsia="ja-JP"/>
        </w:rPr>
        <w:t xml:space="preserve">ussed in last RAN3#114e meeting, </w:t>
      </w:r>
      <w:r w:rsidR="00BB2545" w:rsidRPr="00BB2545">
        <w:rPr>
          <w:sz w:val="21"/>
          <w:szCs w:val="21"/>
          <w:lang w:eastAsia="ja-JP"/>
        </w:rPr>
        <w:t xml:space="preserve">mobility handling scenarios for RedCap UEs, in </w:t>
      </w:r>
      <w:r w:rsidR="00BB2545">
        <w:rPr>
          <w:sz w:val="21"/>
          <w:szCs w:val="21"/>
          <w:lang w:eastAsia="ja-JP"/>
        </w:rPr>
        <w:t>terms of the target of mobility:</w:t>
      </w:r>
    </w:p>
    <w:p w14:paraId="71C6C109" w14:textId="77777777" w:rsidR="00101F8E" w:rsidRPr="00CF7A27" w:rsidRDefault="00101F8E" w:rsidP="00101F8E">
      <w:pPr>
        <w:rPr>
          <w:sz w:val="21"/>
          <w:szCs w:val="21"/>
          <w:lang w:eastAsia="ja-JP"/>
        </w:rPr>
      </w:pPr>
      <w:r w:rsidRPr="00CF7A27">
        <w:rPr>
          <w:sz w:val="21"/>
          <w:szCs w:val="21"/>
          <w:lang w:eastAsia="ja-JP"/>
        </w:rPr>
        <w:t>A.     Legacy gNB (Pre Rel-17)</w:t>
      </w:r>
    </w:p>
    <w:p w14:paraId="70E86EAD" w14:textId="77777777" w:rsidR="00101F8E" w:rsidRPr="00CF7A27" w:rsidRDefault="00101F8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B.     </w:t>
      </w:r>
      <w:r w:rsidRPr="00CF7A27">
        <w:rPr>
          <w:sz w:val="21"/>
          <w:szCs w:val="21"/>
          <w:lang w:eastAsia="ja-JP"/>
        </w:rPr>
        <w:t>New gNB (Rel-17) permanently barring RedCap UE</w:t>
      </w:r>
    </w:p>
    <w:p w14:paraId="1FEADF28" w14:textId="77777777" w:rsidR="00101F8E" w:rsidRPr="00CF7A27" w:rsidRDefault="00101F8E" w:rsidP="00101F8E">
      <w:pPr>
        <w:rPr>
          <w:sz w:val="21"/>
          <w:szCs w:val="21"/>
          <w:lang w:eastAsia="ja-JP"/>
        </w:rPr>
      </w:pPr>
      <w:r w:rsidRPr="00CF7A27">
        <w:rPr>
          <w:sz w:val="21"/>
          <w:szCs w:val="21"/>
          <w:lang w:eastAsia="ja-JP"/>
        </w:rPr>
        <w:t>C.     New gNB (Rel-17) where RedCap UEs are temporarily barred, e.g., for 1Rx or 2Rx RedCap UE; How frequent the barring would happen depends on RAN2 reply</w:t>
      </w:r>
    </w:p>
    <w:p w14:paraId="107FC233" w14:textId="77777777" w:rsidR="00101F8E" w:rsidRDefault="00101F8E" w:rsidP="00101F8E">
      <w:pPr>
        <w:rPr>
          <w:sz w:val="21"/>
          <w:szCs w:val="21"/>
          <w:lang w:eastAsia="ja-JP"/>
        </w:rPr>
      </w:pPr>
      <w:r w:rsidRPr="00CF7A27">
        <w:rPr>
          <w:sz w:val="21"/>
          <w:szCs w:val="21"/>
          <w:lang w:eastAsia="ja-JP"/>
        </w:rPr>
        <w:t>D.     New gNB (Rel-17) allowing RedCap UE</w:t>
      </w:r>
    </w:p>
    <w:p w14:paraId="1FD6024A" w14:textId="77777777" w:rsidR="00101F8E" w:rsidRDefault="00101F8E" w:rsidP="00101F8E">
      <w:pPr>
        <w:rPr>
          <w:sz w:val="21"/>
          <w:szCs w:val="21"/>
          <w:lang w:eastAsia="ja-JP"/>
        </w:rPr>
      </w:pPr>
    </w:p>
    <w:p w14:paraId="633540B8" w14:textId="1EF8E8CE" w:rsidR="00101F8E" w:rsidRDefault="00657A5D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scenario A, as answered by the RAN2 LS in </w:t>
      </w:r>
      <w:hyperlink r:id="rId9" w:history="1">
        <w:r w:rsidR="00101F8E" w:rsidRPr="00E91BFC">
          <w:rPr>
            <w:rFonts w:eastAsia="ＭＳ Ｐゴシック"/>
            <w:b/>
            <w:bCs/>
            <w:color w:val="0000FF"/>
            <w:sz w:val="21"/>
            <w:szCs w:val="21"/>
            <w:u w:val="single"/>
            <w:lang w:val="en-US" w:eastAsia="ja-JP"/>
          </w:rPr>
          <w:t>R3-220101</w:t>
        </w:r>
      </w:hyperlink>
      <w:r w:rsidR="00101F8E" w:rsidRPr="00E91BFC">
        <w:rPr>
          <w:sz w:val="21"/>
          <w:szCs w:val="21"/>
          <w:lang w:eastAsia="ja-JP"/>
        </w:rPr>
        <w:t xml:space="preserve"> </w:t>
      </w:r>
      <w:r w:rsidR="00101F8E">
        <w:rPr>
          <w:sz w:val="21"/>
          <w:szCs w:val="21"/>
          <w:lang w:eastAsia="ja-JP"/>
        </w:rPr>
        <w:t xml:space="preserve">(R2-2111360) </w:t>
      </w:r>
      <w:r>
        <w:rPr>
          <w:sz w:val="21"/>
          <w:szCs w:val="21"/>
          <w:lang w:eastAsia="ja-JP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1F8E" w14:paraId="6071C41B" w14:textId="77777777" w:rsidTr="00101F8E">
        <w:tc>
          <w:tcPr>
            <w:tcW w:w="9629" w:type="dxa"/>
          </w:tcPr>
          <w:p w14:paraId="049B9A0E" w14:textId="320A7765" w:rsidR="00101F8E" w:rsidRDefault="00101F8E" w:rsidP="00101F8E">
            <w:pPr>
              <w:rPr>
                <w:sz w:val="21"/>
                <w:szCs w:val="21"/>
                <w:lang w:eastAsia="ja-JP"/>
              </w:rPr>
            </w:pPr>
            <w:r w:rsidRPr="00FB2278">
              <w:rPr>
                <w:rFonts w:ascii="Arial" w:hAnsi="Arial" w:cs="Arial"/>
                <w:i/>
                <w:iCs/>
                <w:color w:val="000000"/>
                <w:lang w:val="en-US" w:eastAsia="ko-KR"/>
              </w:rPr>
              <w:lastRenderedPageBreak/>
              <w:t>RAN2 can confirm it is not possible for a legacy gNB to identify a RedCap UE via RedCap UE radio capabilities.  A legacy target gNB does not understand e.g. new values or fields introduced in the radio capability signalling for RedCap UEs</w:t>
            </w:r>
            <w:r w:rsidRPr="00FB2278">
              <w:rPr>
                <w:rFonts w:ascii="Arial" w:hAnsi="Arial" w:cs="Arial"/>
                <w:color w:val="000000"/>
                <w:lang w:val="en-US" w:eastAsia="ko-KR"/>
              </w:rPr>
              <w:t> </w:t>
            </w:r>
            <w:r w:rsidRPr="00FB2278">
              <w:rPr>
                <w:rFonts w:ascii="Arial" w:hAnsi="Arial" w:cs="Arial"/>
                <w:i/>
                <w:iCs/>
                <w:color w:val="000000"/>
                <w:lang w:val="en-US" w:eastAsia="ko-KR"/>
              </w:rPr>
              <w:t>and cannot signal new cause values. </w:t>
            </w:r>
          </w:p>
        </w:tc>
      </w:tr>
    </w:tbl>
    <w:p w14:paraId="2F946164" w14:textId="1343CB96" w:rsidR="00101F8E" w:rsidRDefault="00657A5D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Therefore </w:t>
      </w:r>
      <w:r w:rsidR="00101F8E">
        <w:rPr>
          <w:sz w:val="21"/>
          <w:szCs w:val="21"/>
          <w:lang w:eastAsia="ja-JP"/>
        </w:rPr>
        <w:t>no way fo</w:t>
      </w:r>
      <w:r>
        <w:rPr>
          <w:sz w:val="21"/>
          <w:szCs w:val="21"/>
          <w:lang w:eastAsia="ja-JP"/>
        </w:rPr>
        <w:t>r the legacy gNB to do anything. For Rel-17 new gNB that support RedCap, the only way to know if the target gNB support RedCap, is by OAM setting.</w:t>
      </w:r>
    </w:p>
    <w:p w14:paraId="6A6909A6" w14:textId="3C83AAD2" w:rsidR="00101F8E" w:rsidRDefault="00101F8E" w:rsidP="00101F8E">
      <w:pPr>
        <w:rPr>
          <w:sz w:val="21"/>
          <w:szCs w:val="21"/>
          <w:lang w:eastAsia="ja-JP"/>
        </w:rPr>
      </w:pPr>
    </w:p>
    <w:p w14:paraId="79AE6753" w14:textId="0FAD0702" w:rsidR="00196997" w:rsidRDefault="00657A5D" w:rsidP="00657A5D">
      <w:pPr>
        <w:rPr>
          <w:sz w:val="21"/>
          <w:szCs w:val="21"/>
          <w:lang w:eastAsia="ja-JP"/>
        </w:rPr>
      </w:pPr>
      <w:r w:rsidRPr="00196997">
        <w:rPr>
          <w:b/>
          <w:sz w:val="21"/>
          <w:szCs w:val="21"/>
          <w:lang w:eastAsia="ja-JP"/>
        </w:rPr>
        <w:t>For scenario D</w:t>
      </w:r>
      <w:r w:rsidR="00196997">
        <w:rPr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</w:p>
    <w:p w14:paraId="616EE29F" w14:textId="0098A4C6" w:rsidR="00657A5D" w:rsidRDefault="00196997" w:rsidP="00196997">
      <w:pPr>
        <w:ind w:left="84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S</w:t>
      </w:r>
      <w:r w:rsidR="00657A5D">
        <w:rPr>
          <w:sz w:val="21"/>
          <w:szCs w:val="21"/>
          <w:lang w:eastAsia="ja-JP"/>
        </w:rPr>
        <w:t xml:space="preserve">till, the capability </w:t>
      </w:r>
      <w:r w:rsidR="007D0696">
        <w:rPr>
          <w:sz w:val="21"/>
          <w:szCs w:val="21"/>
          <w:lang w:eastAsia="ja-JP"/>
        </w:rPr>
        <w:t xml:space="preserve">of target </w:t>
      </w:r>
      <w:r w:rsidR="00657A5D">
        <w:rPr>
          <w:sz w:val="21"/>
          <w:szCs w:val="21"/>
          <w:lang w:eastAsia="ja-JP"/>
        </w:rPr>
        <w:t xml:space="preserve">is known by OAM setting, then </w:t>
      </w:r>
      <w:r w:rsidR="00BB2545">
        <w:rPr>
          <w:rFonts w:hint="eastAsia"/>
          <w:sz w:val="21"/>
          <w:szCs w:val="21"/>
          <w:lang w:eastAsia="ja-JP"/>
        </w:rPr>
        <w:t>b</w:t>
      </w:r>
      <w:r w:rsidR="00BB2545">
        <w:rPr>
          <w:sz w:val="21"/>
          <w:szCs w:val="21"/>
          <w:lang w:eastAsia="ja-JP"/>
        </w:rPr>
        <w:t xml:space="preserve">oth source and target </w:t>
      </w:r>
      <w:r w:rsidR="00657A5D">
        <w:rPr>
          <w:sz w:val="21"/>
          <w:szCs w:val="21"/>
          <w:lang w:eastAsia="ja-JP"/>
        </w:rPr>
        <w:t xml:space="preserve">there is no issue exists. </w:t>
      </w:r>
    </w:p>
    <w:p w14:paraId="61B96D50" w14:textId="6B7ACBA4" w:rsidR="00196997" w:rsidRDefault="00101F8E" w:rsidP="00101F8E">
      <w:pPr>
        <w:rPr>
          <w:sz w:val="21"/>
          <w:szCs w:val="21"/>
          <w:lang w:eastAsia="ja-JP"/>
        </w:rPr>
      </w:pPr>
      <w:r w:rsidRPr="00196997">
        <w:rPr>
          <w:b/>
          <w:sz w:val="21"/>
          <w:szCs w:val="21"/>
          <w:lang w:eastAsia="ja-JP"/>
        </w:rPr>
        <w:t>For scenario B</w:t>
      </w:r>
      <w:r w:rsidR="00196997">
        <w:rPr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</w:p>
    <w:p w14:paraId="542B913F" w14:textId="5E20509F" w:rsidR="00657A5D" w:rsidRDefault="00196997" w:rsidP="00196997">
      <w:pPr>
        <w:ind w:left="84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</w:t>
      </w:r>
      <w:r w:rsidR="00101F8E">
        <w:rPr>
          <w:sz w:val="21"/>
          <w:szCs w:val="21"/>
          <w:lang w:eastAsia="ja-JP"/>
        </w:rPr>
        <w:t>f the target gNB</w:t>
      </w:r>
      <w:r w:rsidR="007D0696">
        <w:rPr>
          <w:sz w:val="21"/>
          <w:szCs w:val="21"/>
          <w:lang w:eastAsia="ja-JP"/>
        </w:rPr>
        <w:t xml:space="preserve"> is</w:t>
      </w:r>
      <w:r w:rsidR="00101F8E">
        <w:rPr>
          <w:sz w:val="21"/>
          <w:szCs w:val="21"/>
          <w:lang w:eastAsia="ja-JP"/>
        </w:rPr>
        <w:t xml:space="preserve"> permanently bar</w:t>
      </w:r>
      <w:r w:rsidR="00657A5D">
        <w:rPr>
          <w:sz w:val="21"/>
          <w:szCs w:val="21"/>
          <w:lang w:eastAsia="ja-JP"/>
        </w:rPr>
        <w:t>ring</w:t>
      </w:r>
      <w:r w:rsidR="00101F8E">
        <w:rPr>
          <w:sz w:val="21"/>
          <w:szCs w:val="21"/>
          <w:lang w:eastAsia="ja-JP"/>
        </w:rPr>
        <w:t xml:space="preserve"> the RedCap UE, then it </w:t>
      </w:r>
      <w:r w:rsidR="007D0696">
        <w:rPr>
          <w:sz w:val="21"/>
          <w:szCs w:val="21"/>
          <w:lang w:eastAsia="ja-JP"/>
        </w:rPr>
        <w:t xml:space="preserve">is like none-support of RedCap UE, this is also know in the source gNB by OAM setting. </w:t>
      </w:r>
    </w:p>
    <w:p w14:paraId="74192B02" w14:textId="0306873F" w:rsidR="00196997" w:rsidRDefault="007D0696" w:rsidP="00101F8E">
      <w:pPr>
        <w:rPr>
          <w:sz w:val="21"/>
          <w:szCs w:val="21"/>
          <w:lang w:eastAsia="ja-JP"/>
        </w:rPr>
      </w:pPr>
      <w:r w:rsidRPr="00196997">
        <w:rPr>
          <w:b/>
          <w:sz w:val="21"/>
          <w:szCs w:val="21"/>
          <w:lang w:eastAsia="ja-JP"/>
        </w:rPr>
        <w:t>For scenario C</w:t>
      </w:r>
      <w:r w:rsidR="00196997">
        <w:rPr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</w:p>
    <w:p w14:paraId="12E4BE91" w14:textId="69AAE46E" w:rsidR="00196997" w:rsidRDefault="00196997" w:rsidP="00196997">
      <w:pPr>
        <w:ind w:left="84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</w:t>
      </w:r>
      <w:r w:rsidR="007D0696">
        <w:rPr>
          <w:sz w:val="21"/>
          <w:szCs w:val="21"/>
          <w:lang w:eastAsia="ja-JP"/>
        </w:rPr>
        <w:t xml:space="preserve">f the target gNB is temporarily barring the RedCap UE, then during the barring, it can fail by Handover Failure with appropriate cause value e.g. “RedCap UE is </w:t>
      </w:r>
      <w:r>
        <w:rPr>
          <w:sz w:val="21"/>
          <w:szCs w:val="21"/>
          <w:lang w:eastAsia="ja-JP"/>
        </w:rPr>
        <w:t xml:space="preserve">temporarily </w:t>
      </w:r>
      <w:r w:rsidR="007D0696">
        <w:rPr>
          <w:sz w:val="21"/>
          <w:szCs w:val="21"/>
          <w:lang w:eastAsia="ja-JP"/>
        </w:rPr>
        <w:t>not allowed”.</w:t>
      </w:r>
      <w:r>
        <w:rPr>
          <w:sz w:val="21"/>
          <w:szCs w:val="21"/>
          <w:lang w:eastAsia="ja-JP"/>
        </w:rPr>
        <w:t xml:space="preserve"> </w:t>
      </w:r>
    </w:p>
    <w:p w14:paraId="71524413" w14:textId="6C48C773" w:rsidR="00196997" w:rsidRDefault="007D0696" w:rsidP="00196997">
      <w:pPr>
        <w:ind w:left="84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Since it is temporarily, after sometime, the barring may be lifted then start to allow RedCap UE. In this case, this is probably the scenario that last RAN3#114e is assuming, and then let the target gNB (or neighbour gNB) to exchange its system information</w:t>
      </w:r>
      <w:r w:rsidR="00E91BFC">
        <w:rPr>
          <w:sz w:val="21"/>
          <w:szCs w:val="21"/>
          <w:lang w:eastAsia="ja-JP"/>
        </w:rPr>
        <w:t xml:space="preserve"> that including RedCap-specific indicator e.g. RedCap-specific IntraFreqReselection Indicator (IFRI), as answered by RAN2 in the</w:t>
      </w:r>
      <w:r w:rsidR="00196997">
        <w:rPr>
          <w:sz w:val="21"/>
          <w:szCs w:val="21"/>
          <w:lang w:eastAsia="ja-JP"/>
        </w:rPr>
        <w:t>i</w:t>
      </w:r>
      <w:r w:rsidR="00E91BFC">
        <w:rPr>
          <w:sz w:val="21"/>
          <w:szCs w:val="21"/>
          <w:lang w:eastAsia="ja-JP"/>
        </w:rPr>
        <w:t>r LS (</w:t>
      </w:r>
      <w:hyperlink r:id="rId10" w:history="1">
        <w:r w:rsidR="00E91BFC" w:rsidRPr="00E91BFC">
          <w:rPr>
            <w:rFonts w:eastAsia="ＭＳ Ｐゴシック"/>
            <w:b/>
            <w:bCs/>
            <w:color w:val="0000FF"/>
            <w:sz w:val="21"/>
            <w:szCs w:val="21"/>
            <w:u w:val="single"/>
            <w:lang w:val="en-US" w:eastAsia="ja-JP"/>
          </w:rPr>
          <w:t>R3-220101</w:t>
        </w:r>
      </w:hyperlink>
      <w:r w:rsidR="00E91BFC" w:rsidRPr="00E91BFC">
        <w:rPr>
          <w:sz w:val="21"/>
          <w:szCs w:val="21"/>
          <w:lang w:eastAsia="ja-JP"/>
        </w:rPr>
        <w:t xml:space="preserve"> </w:t>
      </w:r>
      <w:r w:rsidR="00E91BFC">
        <w:rPr>
          <w:sz w:val="21"/>
          <w:szCs w:val="21"/>
          <w:lang w:eastAsia="ja-JP"/>
        </w:rPr>
        <w:t>(R2-2111360))</w:t>
      </w:r>
      <w:r w:rsidR="00196997">
        <w:rPr>
          <w:sz w:val="21"/>
          <w:szCs w:val="21"/>
          <w:lang w:eastAsia="ja-JP"/>
        </w:rPr>
        <w:t>.</w:t>
      </w:r>
      <w:r w:rsidR="00196997">
        <w:rPr>
          <w:rFonts w:hint="eastAsia"/>
          <w:sz w:val="21"/>
          <w:szCs w:val="21"/>
          <w:lang w:eastAsia="ja-JP"/>
        </w:rPr>
        <w:t xml:space="preserve"> </w:t>
      </w:r>
      <w:r w:rsidR="00450B6A">
        <w:rPr>
          <w:sz w:val="21"/>
          <w:szCs w:val="21"/>
          <w:lang w:eastAsia="ja-JP"/>
        </w:rPr>
        <w:t xml:space="preserve"> However, in legacy many kind of cell barring has been existing, RAN3 interfaces has never exchanged such kind of cell barring information with its neighbour.</w:t>
      </w:r>
    </w:p>
    <w:p w14:paraId="74FEE5F1" w14:textId="4ED9FAA4" w:rsidR="00196997" w:rsidRDefault="00450B6A" w:rsidP="00196997">
      <w:pPr>
        <w:ind w:left="84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Furthermore, it is understood that the cause value “RedCap UE is temporarily not allowed” is enough, as this is similar with the existing cause value “”Measurement Temporarily not Available”.</w:t>
      </w:r>
    </w:p>
    <w:p w14:paraId="64A1D085" w14:textId="03E37D6C" w:rsidR="00101F8E" w:rsidRDefault="00450B6A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Therefore,</w:t>
      </w:r>
      <w:r w:rsidR="00101F8E">
        <w:rPr>
          <w:sz w:val="21"/>
          <w:szCs w:val="21"/>
          <w:lang w:eastAsia="ja-JP"/>
        </w:rPr>
        <w:t xml:space="preserve"> n</w:t>
      </w:r>
      <w:r w:rsidR="00EA379E">
        <w:rPr>
          <w:sz w:val="21"/>
          <w:szCs w:val="21"/>
          <w:lang w:eastAsia="ja-JP"/>
        </w:rPr>
        <w:t xml:space="preserve">o need </w:t>
      </w:r>
      <w:r>
        <w:rPr>
          <w:sz w:val="21"/>
          <w:szCs w:val="21"/>
          <w:lang w:eastAsia="ja-JP"/>
        </w:rPr>
        <w:t xml:space="preserve">to have the RedCap supporting capability exchange </w:t>
      </w:r>
      <w:r w:rsidR="00EA379E">
        <w:rPr>
          <w:sz w:val="21"/>
          <w:szCs w:val="21"/>
          <w:lang w:eastAsia="ja-JP"/>
        </w:rPr>
        <w:t>because there is no special difference compare to legacy functions and we are in the way that rely on OAM configuration.</w:t>
      </w:r>
    </w:p>
    <w:p w14:paraId="34D86F2A" w14:textId="3B48C551" w:rsidR="000F24F7" w:rsidRPr="000F24F7" w:rsidRDefault="005C36B3" w:rsidP="00101F8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Proposal: T</w:t>
      </w:r>
      <w:r w:rsidR="00450B6A">
        <w:rPr>
          <w:b/>
          <w:sz w:val="21"/>
          <w:szCs w:val="21"/>
          <w:lang w:eastAsia="ja-JP"/>
        </w:rPr>
        <w:t>here is no need to have</w:t>
      </w:r>
      <w:r w:rsidR="000F24F7" w:rsidRPr="000F24F7">
        <w:rPr>
          <w:b/>
          <w:sz w:val="21"/>
          <w:szCs w:val="21"/>
          <w:lang w:eastAsia="ja-JP"/>
        </w:rPr>
        <w:t xml:space="preserve"> node capability exchange.</w:t>
      </w:r>
      <w:r>
        <w:rPr>
          <w:b/>
          <w:sz w:val="21"/>
          <w:szCs w:val="21"/>
          <w:lang w:eastAsia="ja-JP"/>
        </w:rPr>
        <w:t xml:space="preserve"> If a node is temporarily barring RedCap UE, return appropriate Cause value in Handover Failure to source node is enough.</w:t>
      </w:r>
    </w:p>
    <w:p w14:paraId="4AE38FCE" w14:textId="72E36C63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781D366F" w14:textId="77777777" w:rsidR="005C36B3" w:rsidRPr="000F24F7" w:rsidRDefault="005C36B3" w:rsidP="005C36B3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Proposal: There is no need to have</w:t>
      </w:r>
      <w:r w:rsidRPr="000F24F7">
        <w:rPr>
          <w:b/>
          <w:sz w:val="21"/>
          <w:szCs w:val="21"/>
          <w:lang w:eastAsia="ja-JP"/>
        </w:rPr>
        <w:t xml:space="preserve"> node capability exchange.</w:t>
      </w:r>
      <w:r>
        <w:rPr>
          <w:b/>
          <w:sz w:val="21"/>
          <w:szCs w:val="21"/>
          <w:lang w:eastAsia="ja-JP"/>
        </w:rPr>
        <w:t xml:space="preserve"> If a node is temporarily barring RedCap UE, return appropriate Cause value in Handover Failure to source node is enough.</w:t>
      </w:r>
    </w:p>
    <w:p w14:paraId="3A052D75" w14:textId="77777777" w:rsidR="00053970" w:rsidRDefault="00053970" w:rsidP="00D51B79">
      <w:pPr>
        <w:rPr>
          <w:b/>
          <w:sz w:val="21"/>
          <w:szCs w:val="21"/>
          <w:lang w:eastAsia="ja-JP"/>
        </w:rPr>
      </w:pPr>
    </w:p>
    <w:p w14:paraId="10A7511E" w14:textId="33906037" w:rsidR="004478DF" w:rsidRDefault="004478DF" w:rsidP="00D51B79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References:</w:t>
      </w:r>
    </w:p>
    <w:p w14:paraId="44C7EFBA" w14:textId="4B5D92DB" w:rsidR="000F24F7" w:rsidRPr="000F24F7" w:rsidRDefault="000F24F7" w:rsidP="00D51B79">
      <w:pPr>
        <w:rPr>
          <w:sz w:val="21"/>
          <w:szCs w:val="21"/>
          <w:lang w:eastAsia="ja-JP"/>
        </w:rPr>
      </w:pPr>
      <w:r w:rsidRPr="000F24F7">
        <w:rPr>
          <w:rFonts w:hint="eastAsia"/>
          <w:sz w:val="21"/>
          <w:szCs w:val="21"/>
          <w:lang w:eastAsia="ja-JP"/>
        </w:rPr>
        <w:t>R</w:t>
      </w:r>
      <w:r w:rsidRPr="000F24F7">
        <w:rPr>
          <w:sz w:val="21"/>
          <w:szCs w:val="21"/>
          <w:lang w:eastAsia="ja-JP"/>
        </w:rPr>
        <w:t>3-215860 SoD of Support for RedCap Capability Exchange</w:t>
      </w:r>
    </w:p>
    <w:p w14:paraId="3EC981F8" w14:textId="2B3DF76F" w:rsidR="000F24F7" w:rsidRDefault="000853BF" w:rsidP="00D51B79">
      <w:pPr>
        <w:rPr>
          <w:b/>
          <w:sz w:val="21"/>
          <w:szCs w:val="21"/>
          <w:lang w:eastAsia="ja-JP"/>
        </w:rPr>
      </w:pPr>
      <w:hyperlink r:id="rId11" w:history="1">
        <w:r w:rsidR="00E91BFC" w:rsidRPr="00E91BFC">
          <w:rPr>
            <w:rFonts w:eastAsia="ＭＳ Ｐゴシック"/>
            <w:b/>
            <w:bCs/>
            <w:color w:val="0000FF"/>
            <w:sz w:val="21"/>
            <w:szCs w:val="21"/>
            <w:u w:val="single"/>
            <w:lang w:val="en-US" w:eastAsia="ja-JP"/>
          </w:rPr>
          <w:t>R3-220101</w:t>
        </w:r>
      </w:hyperlink>
      <w:r w:rsidR="00E91BFC" w:rsidRPr="00E91BFC">
        <w:rPr>
          <w:sz w:val="21"/>
          <w:szCs w:val="21"/>
          <w:lang w:eastAsia="ja-JP"/>
        </w:rPr>
        <w:t xml:space="preserve"> </w:t>
      </w:r>
      <w:r w:rsidR="00E91BFC">
        <w:rPr>
          <w:sz w:val="21"/>
          <w:szCs w:val="21"/>
          <w:lang w:eastAsia="ja-JP"/>
        </w:rPr>
        <w:t xml:space="preserve">(R2-2111360) </w:t>
      </w:r>
      <w:r w:rsidR="00E91BFC" w:rsidRPr="00E91BFC">
        <w:rPr>
          <w:sz w:val="21"/>
          <w:szCs w:val="21"/>
          <w:lang w:eastAsia="ja-JP"/>
        </w:rPr>
        <w:t>LS reply on the coordination between gNBs supporting RedCap UEs</w:t>
      </w:r>
      <w:r w:rsidR="00E91BFC">
        <w:rPr>
          <w:sz w:val="21"/>
          <w:szCs w:val="21"/>
          <w:lang w:eastAsia="ja-JP"/>
        </w:rPr>
        <w:t xml:space="preserve"> (RAN2)</w:t>
      </w:r>
    </w:p>
    <w:sectPr w:rsidR="000F24F7" w:rsidSect="00A05843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04D12" w14:textId="77777777" w:rsidR="000853BF" w:rsidRDefault="000853BF">
      <w:r>
        <w:separator/>
      </w:r>
    </w:p>
  </w:endnote>
  <w:endnote w:type="continuationSeparator" w:id="0">
    <w:p w14:paraId="10BB76EC" w14:textId="77777777" w:rsidR="000853BF" w:rsidRDefault="000853BF">
      <w:r>
        <w:continuationSeparator/>
      </w:r>
    </w:p>
  </w:endnote>
  <w:endnote w:type="continuationNotice" w:id="1">
    <w:p w14:paraId="3313A8A2" w14:textId="77777777" w:rsidR="000853BF" w:rsidRDefault="000853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5F3A" w:rsidRDefault="007E5F3A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7E5F3A" w:rsidRDefault="007E5F3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1F475AEE" w:rsidR="007E5F3A" w:rsidRDefault="007E5F3A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B0446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7E5F3A" w:rsidRDefault="007E5F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98C98" w14:textId="77777777" w:rsidR="000853BF" w:rsidRDefault="000853BF">
      <w:r>
        <w:separator/>
      </w:r>
    </w:p>
  </w:footnote>
  <w:footnote w:type="continuationSeparator" w:id="0">
    <w:p w14:paraId="471491CE" w14:textId="77777777" w:rsidR="000853BF" w:rsidRDefault="000853BF">
      <w:r>
        <w:continuationSeparator/>
      </w:r>
    </w:p>
  </w:footnote>
  <w:footnote w:type="continuationNotice" w:id="1">
    <w:p w14:paraId="2382FB6B" w14:textId="77777777" w:rsidR="000853BF" w:rsidRDefault="000853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5F3A" w:rsidRDefault="007E5F3A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8"/>
  </w:num>
  <w:num w:numId="5">
    <w:abstractNumId w:val="12"/>
  </w:num>
  <w:num w:numId="6">
    <w:abstractNumId w:val="1"/>
  </w:num>
  <w:num w:numId="7">
    <w:abstractNumId w:val="6"/>
  </w:num>
  <w:num w:numId="8">
    <w:abstractNumId w:val="2"/>
  </w:num>
  <w:num w:numId="9">
    <w:abstractNumId w:val="21"/>
  </w:num>
  <w:num w:numId="10">
    <w:abstractNumId w:val="1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7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5"/>
  </w:num>
  <w:num w:numId="19">
    <w:abstractNumId w:val="13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B27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36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uiPriority w:val="99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Mention">
    <w:name w:val="Mention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UnresolvedMention">
    <w:name w:val="Unresolved Mention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2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3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4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5">
    <w:name w:val="コメント内容 (文字)1"/>
    <w:basedOn w:val="14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6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9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a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c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&#20250;&#35758;&#36164;&#26009;\20211101-RAN3%23114e\&#20250;&#35758;&#20934;&#22791;\Inbox\R3-214422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14bis-e/Docs/R3-220101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3_Iu/TSGR3_114bis-e/Docs/R3-22010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4bis-e/Docs/R3-220101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F40D4-B956-485F-8CE6-9CEB4BCD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4178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29</cp:revision>
  <cp:lastPrinted>2014-09-01T09:19:00Z</cp:lastPrinted>
  <dcterms:created xsi:type="dcterms:W3CDTF">2021-10-19T06:39:00Z</dcterms:created>
  <dcterms:modified xsi:type="dcterms:W3CDTF">2022-01-07T00:17:00Z</dcterms:modified>
</cp:coreProperties>
</file>