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9CCA" w14:textId="332F49DE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5B79D2">
        <w:rPr>
          <w:noProof w:val="0"/>
          <w:sz w:val="24"/>
          <w:szCs w:val="24"/>
        </w:rPr>
        <w:t>1</w:t>
      </w:r>
      <w:r w:rsidR="00973900">
        <w:rPr>
          <w:noProof w:val="0"/>
          <w:sz w:val="24"/>
          <w:szCs w:val="24"/>
        </w:rPr>
        <w:t>3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605D08">
        <w:rPr>
          <w:bCs/>
          <w:noProof w:val="0"/>
          <w:sz w:val="24"/>
          <w:szCs w:val="24"/>
        </w:rPr>
        <w:t>1</w:t>
      </w:r>
      <w:r w:rsidR="006E3C16">
        <w:rPr>
          <w:bCs/>
          <w:noProof w:val="0"/>
          <w:sz w:val="24"/>
          <w:szCs w:val="24"/>
        </w:rPr>
        <w:t>4257</w:t>
      </w:r>
    </w:p>
    <w:p w14:paraId="1822B173" w14:textId="25AF06C7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973900" w:rsidRPr="00973900">
        <w:rPr>
          <w:rFonts w:cs="Arial"/>
          <w:sz w:val="24"/>
          <w:szCs w:val="24"/>
          <w:lang w:val="en-US"/>
        </w:rPr>
        <w:t>16 – 26 August</w:t>
      </w:r>
      <w:r w:rsidR="00605D08" w:rsidRPr="00605D08">
        <w:rPr>
          <w:rFonts w:cs="Arial"/>
          <w:sz w:val="24"/>
          <w:szCs w:val="24"/>
          <w:lang w:val="en-US"/>
        </w:rPr>
        <w:t>, 2021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14F9BE13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6E3C16">
        <w:rPr>
          <w:rFonts w:cs="Arial"/>
          <w:b/>
          <w:bCs/>
          <w:sz w:val="24"/>
          <w:lang w:val="en-US" w:eastAsia="ja-JP"/>
        </w:rPr>
        <w:t>9.3.4.1</w:t>
      </w:r>
    </w:p>
    <w:p w14:paraId="47FEC04C" w14:textId="41E8A6DD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8672E" w:rsidRPr="006109D0">
        <w:rPr>
          <w:rFonts w:ascii="Arial" w:hAnsi="Arial" w:cs="Arial"/>
          <w:b/>
          <w:bCs/>
          <w:sz w:val="24"/>
        </w:rPr>
        <w:t xml:space="preserve">Nokia </w:t>
      </w:r>
      <w:r w:rsidR="0058672E">
        <w:rPr>
          <w:rFonts w:ascii="Arial" w:hAnsi="Arial" w:cs="Arial"/>
          <w:b/>
          <w:bCs/>
          <w:sz w:val="24"/>
        </w:rPr>
        <w:t>(m</w:t>
      </w:r>
      <w:r w:rsidR="0058672E" w:rsidRPr="006109D0">
        <w:rPr>
          <w:rFonts w:ascii="Arial" w:hAnsi="Arial" w:cs="Arial"/>
          <w:b/>
          <w:bCs/>
          <w:sz w:val="24"/>
        </w:rPr>
        <w:t>oderator</w:t>
      </w:r>
      <w:r w:rsidR="0058672E">
        <w:rPr>
          <w:rFonts w:ascii="Arial" w:hAnsi="Arial" w:cs="Arial"/>
          <w:b/>
          <w:bCs/>
          <w:sz w:val="24"/>
        </w:rPr>
        <w:t>)</w:t>
      </w:r>
    </w:p>
    <w:p w14:paraId="13240CF6" w14:textId="6F0D4242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72118" w:rsidRPr="00C72118">
        <w:rPr>
          <w:rFonts w:ascii="Arial" w:hAnsi="Arial" w:cs="Arial"/>
          <w:b/>
          <w:bCs/>
          <w:sz w:val="24"/>
        </w:rPr>
        <w:t>CB: # 106_MultiPLMNClarification</w:t>
      </w:r>
      <w:r w:rsidR="00C72118">
        <w:rPr>
          <w:rFonts w:ascii="Arial" w:hAnsi="Arial" w:cs="Arial"/>
          <w:b/>
          <w:bCs/>
          <w:sz w:val="24"/>
        </w:rPr>
        <w:t xml:space="preserve"> </w:t>
      </w:r>
      <w:r w:rsidR="00C72118" w:rsidRPr="001C7F98">
        <w:rPr>
          <w:rFonts w:ascii="Arial" w:hAnsi="Arial" w:cs="Arial"/>
          <w:b/>
          <w:bCs/>
          <w:sz w:val="24"/>
        </w:rPr>
        <w:t>- Summary of email discussion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3C55E971" w:rsidR="00702E82" w:rsidRPr="001B797E" w:rsidRDefault="00702E82" w:rsidP="00702E82">
      <w:r>
        <w:t>This paper provides summary of discussions at RAN#1</w:t>
      </w:r>
      <w:r w:rsidR="00A62F66">
        <w:t>1</w:t>
      </w:r>
      <w:r w:rsidR="00723DBD">
        <w:t>3</w:t>
      </w:r>
      <w:r>
        <w:t>-e on:</w:t>
      </w:r>
    </w:p>
    <w:p w14:paraId="45A4C510" w14:textId="77777777" w:rsidR="00660185" w:rsidRDefault="00660185" w:rsidP="00660185">
      <w:pPr>
        <w:widowControl w:val="0"/>
        <w:ind w:left="144" w:hanging="144"/>
        <w:rPr>
          <w:rFonts w:eastAsia="DengXian" w:cs="Calibri"/>
          <w:b/>
          <w:color w:val="FF00FF"/>
          <w:sz w:val="18"/>
          <w:szCs w:val="24"/>
          <w:lang w:eastAsia="zh-CN"/>
        </w:rPr>
      </w:pPr>
      <w:r>
        <w:rPr>
          <w:rFonts w:eastAsia="DengXian" w:cs="Calibri"/>
          <w:b/>
          <w:color w:val="FF00FF"/>
          <w:sz w:val="18"/>
          <w:szCs w:val="24"/>
          <w:lang w:eastAsia="zh-CN"/>
        </w:rPr>
        <w:t>CB: # 106_MultiPLMNClarification</w:t>
      </w:r>
    </w:p>
    <w:p w14:paraId="5D28C017" w14:textId="77777777" w:rsidR="00660185" w:rsidRDefault="00660185" w:rsidP="00660185">
      <w:pPr>
        <w:widowControl w:val="0"/>
        <w:ind w:left="144" w:hanging="144"/>
        <w:rPr>
          <w:rFonts w:eastAsia="DengXian" w:cs="Calibri"/>
          <w:b/>
          <w:color w:val="FF00FF"/>
          <w:sz w:val="18"/>
          <w:szCs w:val="24"/>
          <w:lang w:eastAsia="zh-CN"/>
        </w:rPr>
      </w:pPr>
      <w:r>
        <w:rPr>
          <w:rFonts w:eastAsia="DengXian" w:cs="Calibri"/>
          <w:b/>
          <w:color w:val="FF00FF"/>
          <w:sz w:val="18"/>
          <w:szCs w:val="24"/>
          <w:lang w:eastAsia="zh-CN"/>
        </w:rPr>
        <w:t>-  Clarify the scenarios and the issues</w:t>
      </w:r>
    </w:p>
    <w:p w14:paraId="7F5E24EB" w14:textId="46E96B31" w:rsidR="00660185" w:rsidRDefault="00660185" w:rsidP="00660185">
      <w:pPr>
        <w:widowControl w:val="0"/>
        <w:ind w:left="144" w:hanging="144"/>
        <w:rPr>
          <w:rFonts w:eastAsia="DengXian" w:cs="Calibri"/>
          <w:color w:val="000000"/>
          <w:sz w:val="18"/>
          <w:szCs w:val="24"/>
          <w:lang w:eastAsia="zh-CN"/>
        </w:rPr>
      </w:pPr>
      <w:r>
        <w:rPr>
          <w:rFonts w:eastAsia="DengXian" w:cs="Calibri"/>
          <w:color w:val="000000"/>
          <w:sz w:val="18"/>
          <w:szCs w:val="24"/>
          <w:lang w:eastAsia="zh-CN"/>
        </w:rPr>
        <w:t>(</w:t>
      </w:r>
      <w:proofErr w:type="spellStart"/>
      <w:r>
        <w:rPr>
          <w:rFonts w:eastAsia="DengXian" w:cs="Calibri"/>
          <w:color w:val="000000"/>
          <w:sz w:val="18"/>
          <w:szCs w:val="24"/>
          <w:lang w:eastAsia="zh-CN"/>
        </w:rPr>
        <w:t>Nok</w:t>
      </w:r>
      <w:proofErr w:type="spellEnd"/>
      <w:r>
        <w:rPr>
          <w:rFonts w:eastAsia="DengXian" w:cs="Calibri"/>
          <w:color w:val="000000"/>
          <w:sz w:val="18"/>
          <w:szCs w:val="24"/>
          <w:lang w:eastAsia="zh-CN"/>
        </w:rPr>
        <w:t xml:space="preserve"> - moderator)</w:t>
      </w:r>
    </w:p>
    <w:p w14:paraId="03C21A29" w14:textId="43D80B61" w:rsidR="00660185" w:rsidRPr="00660185" w:rsidRDefault="00660185" w:rsidP="00660185">
      <w:r w:rsidRPr="00660185">
        <w:t>The discussion was triggered by discussion paper 3269 and associated F1AP CRs</w:t>
      </w:r>
      <w:r>
        <w:t xml:space="preserve"> (3270, 3271) proposing correction from Rel-15 onwards.</w:t>
      </w:r>
      <w:r w:rsidRPr="00660185">
        <w:t>.</w:t>
      </w:r>
    </w:p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6909ED6F" w14:textId="7F498A1D" w:rsidR="007B0A52" w:rsidRDefault="007B0A52" w:rsidP="007B0A52">
      <w:pPr>
        <w:pStyle w:val="Heading2"/>
      </w:pPr>
      <w:r>
        <w:t>3.1</w:t>
      </w:r>
      <w:r w:rsidR="00660185">
        <w:tab/>
        <w:t>Clarify the scenario</w:t>
      </w:r>
      <w:r w:rsidR="006A64C8">
        <w:t xml:space="preserve"> intended by the specification</w:t>
      </w:r>
    </w:p>
    <w:p w14:paraId="2C6C50B9" w14:textId="604F7232" w:rsidR="00660185" w:rsidRDefault="00BE1260" w:rsidP="007B0A52">
      <w:r>
        <w:t xml:space="preserve">The discussion paper </w:t>
      </w:r>
      <w:r w:rsidR="00660185">
        <w:t xml:space="preserve">3269 describes </w:t>
      </w:r>
      <w:r w:rsidR="00237FC2">
        <w:t xml:space="preserve">example scenarios where a </w:t>
      </w:r>
      <w:r w:rsidR="00660185">
        <w:t xml:space="preserve">PLMN or SNPN may be unavailable </w:t>
      </w:r>
      <w:r w:rsidR="00237FC2">
        <w:t xml:space="preserve">at the gNB-CU. This can happen e.g. </w:t>
      </w:r>
      <w:r w:rsidR="00660185">
        <w:t xml:space="preserve">in case of </w:t>
      </w:r>
      <w:r w:rsidR="00237FC2">
        <w:t>i</w:t>
      </w:r>
      <w:r w:rsidR="00237FC2" w:rsidRPr="00237FC2">
        <w:t>ntroduction</w:t>
      </w:r>
      <w:r w:rsidR="00237FC2">
        <w:t xml:space="preserve"> or </w:t>
      </w:r>
      <w:r w:rsidR="00237FC2" w:rsidRPr="00237FC2">
        <w:t>removal of an operator from RAN sharing</w:t>
      </w:r>
      <w:r w:rsidR="00237FC2">
        <w:t xml:space="preserve">, or temporary outage of a core network. </w:t>
      </w:r>
      <w:r w:rsidR="00EF3E03">
        <w:t>The list of available PLMNs and SNPN</w:t>
      </w:r>
      <w:r>
        <w:t xml:space="preserve"> ID</w:t>
      </w:r>
      <w:r w:rsidR="00EF3E03">
        <w:t xml:space="preserve">s are signalled from the CU to the DU in the </w:t>
      </w:r>
      <w:r w:rsidR="00EF3E03" w:rsidRPr="00EF3E03">
        <w:rPr>
          <w:i/>
          <w:iCs/>
        </w:rPr>
        <w:t>Available PLMN List</w:t>
      </w:r>
      <w:r w:rsidR="00EF3E03" w:rsidRPr="00EF3E03">
        <w:t xml:space="preserve"> IE</w:t>
      </w:r>
      <w:r w:rsidR="00EF3E03">
        <w:t xml:space="preserve"> and the </w:t>
      </w:r>
      <w:r w:rsidR="00EF3E03" w:rsidRPr="00EF3E03">
        <w:rPr>
          <w:i/>
          <w:iCs/>
        </w:rPr>
        <w:t>Available SNPN ID List</w:t>
      </w:r>
      <w:r w:rsidR="00EF3E03" w:rsidRPr="00EF3E03">
        <w:t xml:space="preserve"> IE</w:t>
      </w:r>
      <w:r w:rsidR="00EF3E03">
        <w:t>.</w:t>
      </w:r>
      <w:r>
        <w:t xml:space="preserve"> </w:t>
      </w:r>
      <w:r w:rsidR="006D508D">
        <w:t>F1AP describes action to be taken by the gNB-DU in this case</w:t>
      </w:r>
      <w:r w:rsidR="002E17E5">
        <w:t xml:space="preserve">, i.e. </w:t>
      </w:r>
      <w:r w:rsidR="006D508D">
        <w:t>only available PLMN</w:t>
      </w:r>
      <w:r>
        <w:t>(</w:t>
      </w:r>
      <w:r w:rsidR="006D508D">
        <w:t>s</w:t>
      </w:r>
      <w:r>
        <w:t>)</w:t>
      </w:r>
      <w:r w:rsidR="006D508D">
        <w:t xml:space="preserve"> or SNPN</w:t>
      </w:r>
      <w:r>
        <w:t>(</w:t>
      </w:r>
      <w:r w:rsidR="006D508D">
        <w:t>s</w:t>
      </w:r>
      <w:r>
        <w:t>)</w:t>
      </w:r>
      <w:r w:rsidR="006D508D">
        <w:t xml:space="preserve"> are broadcast.</w:t>
      </w:r>
    </w:p>
    <w:p w14:paraId="291B20C3" w14:textId="13E20F35" w:rsidR="00EF3E03" w:rsidRDefault="00BE1260" w:rsidP="007B0A52">
      <w:r>
        <w:t xml:space="preserve">For the purpose of making the PLMN again visible to UEs as fast as possible when the PLMN becomes available at the gNB-CU, </w:t>
      </w:r>
      <w:r w:rsidR="002E17E5">
        <w:t>the discussion paper 3269</w:t>
      </w:r>
      <w:r>
        <w:t xml:space="preserve"> further assumes that </w:t>
      </w:r>
      <w:r w:rsidRPr="00BE1260">
        <w:t>the gNB-CU inform</w:t>
      </w:r>
      <w:r>
        <w:t>s</w:t>
      </w:r>
      <w:r w:rsidRPr="00BE1260">
        <w:t xml:space="preserve"> the gNB-DU when any unavailable PLMN </w:t>
      </w:r>
      <w:r>
        <w:t xml:space="preserve">or SNPN </w:t>
      </w:r>
      <w:r w:rsidRPr="00BE1260">
        <w:t>again becomes available</w:t>
      </w:r>
      <w:r>
        <w:t xml:space="preserve">. This </w:t>
      </w:r>
      <w:r w:rsidR="002C0E71">
        <w:t>is supported by</w:t>
      </w:r>
      <w:r>
        <w:t xml:space="preserve"> triggering the gNB-CU Configuration Update procedure, conveying the mentioned IEs (</w:t>
      </w:r>
      <w:r w:rsidRPr="00EF3E03">
        <w:rPr>
          <w:i/>
          <w:iCs/>
        </w:rPr>
        <w:t>Available PLMN List</w:t>
      </w:r>
      <w:r w:rsidRPr="00EF3E03">
        <w:t xml:space="preserve"> IE</w:t>
      </w:r>
      <w:r>
        <w:t xml:space="preserve">, </w:t>
      </w:r>
      <w:r w:rsidRPr="00EF3E03">
        <w:rPr>
          <w:i/>
          <w:iCs/>
        </w:rPr>
        <w:t>Available SNPN ID List</w:t>
      </w:r>
      <w:r w:rsidRPr="00EF3E03">
        <w:t xml:space="preserve"> IE</w:t>
      </w:r>
      <w:r>
        <w:t>) including the PLMN/SNPN ID that has newly become available. Upon reception of this information, the gNB-DU will again broadcast the PLMN/SNPN ID.</w:t>
      </w:r>
    </w:p>
    <w:p w14:paraId="0E5CF0F1" w14:textId="1DFED251" w:rsidR="007B0A52" w:rsidRPr="006A64C8" w:rsidRDefault="006A64C8" w:rsidP="007B0A52">
      <w:pPr>
        <w:rPr>
          <w:b/>
          <w:bCs/>
        </w:rPr>
      </w:pPr>
      <w:r w:rsidRPr="006A64C8">
        <w:rPr>
          <w:b/>
          <w:bCs/>
        </w:rPr>
        <w:t>Q1: Do you agree that the above description corresponds to the scenario intended by the specification</w:t>
      </w:r>
      <w:r w:rsidR="002E17E5" w:rsidRPr="006A64C8">
        <w:rPr>
          <w:b/>
          <w:bCs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7530B8E2" w:rsidR="007B0A52" w:rsidRDefault="002E4D6E" w:rsidP="00DF5331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0FE8BE13" w14:textId="4F841A88" w:rsidR="007B0A52" w:rsidRDefault="002E4D6E" w:rsidP="00DF5331">
            <w:r>
              <w:t>Yes</w:t>
            </w:r>
          </w:p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Default="007B0A52" w:rsidP="00DF5331"/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5F04B6E3" w14:textId="2960CB93" w:rsidR="007B0A52" w:rsidRDefault="007B0A52" w:rsidP="007B0A52"/>
    <w:p w14:paraId="091ADDD3" w14:textId="5F9DA1FD" w:rsidR="00E275C2" w:rsidRDefault="00E275C2" w:rsidP="00E275C2">
      <w:pPr>
        <w:pStyle w:val="Heading2"/>
      </w:pPr>
      <w:r>
        <w:t xml:space="preserve">3.2 </w:t>
      </w:r>
      <w:r w:rsidR="00660185">
        <w:tab/>
        <w:t>Clarify the issues</w:t>
      </w:r>
    </w:p>
    <w:p w14:paraId="53692482" w14:textId="3BD2CFBC" w:rsidR="002E4D6E" w:rsidRDefault="002E4D6E" w:rsidP="002E4D6E">
      <w:pPr>
        <w:pStyle w:val="Heading3"/>
      </w:pPr>
      <w:r>
        <w:t>3.2.1</w:t>
      </w:r>
      <w:r>
        <w:tab/>
        <w:t>Issue on gNB-DU side</w:t>
      </w:r>
    </w:p>
    <w:p w14:paraId="66BC97FB" w14:textId="2A9016DA" w:rsidR="00E275C2" w:rsidRDefault="002E17E5" w:rsidP="00E275C2">
      <w:r>
        <w:t xml:space="preserve">As per TS 38.473, the </w:t>
      </w:r>
      <w:r w:rsidRPr="002E17E5">
        <w:rPr>
          <w:i/>
          <w:iCs/>
        </w:rPr>
        <w:t>Served PLMNs</w:t>
      </w:r>
      <w:r>
        <w:t xml:space="preserve"> IE (contained in the </w:t>
      </w:r>
      <w:r w:rsidRPr="002E17E5">
        <w:rPr>
          <w:i/>
          <w:iCs/>
        </w:rPr>
        <w:t>Served Cell Information</w:t>
      </w:r>
      <w:r>
        <w:t xml:space="preserve"> IE) is described as conveying "</w:t>
      </w:r>
      <w:r w:rsidRPr="002E17E5">
        <w:rPr>
          <w:rFonts w:ascii="Arial" w:hAnsi="Arial" w:cs="Arial"/>
          <w:sz w:val="18"/>
          <w:u w:val="single"/>
          <w:lang w:eastAsia="ja-JP"/>
        </w:rPr>
        <w:t>Broadcast</w:t>
      </w:r>
      <w:r w:rsidRPr="00EA5FA7">
        <w:rPr>
          <w:rFonts w:ascii="Arial" w:hAnsi="Arial" w:cs="Arial"/>
          <w:sz w:val="18"/>
          <w:lang w:eastAsia="ja-JP"/>
        </w:rPr>
        <w:t xml:space="preserve"> PLMNs</w:t>
      </w:r>
      <w:r>
        <w:rPr>
          <w:rFonts w:ascii="Arial" w:hAnsi="Arial" w:cs="Arial"/>
          <w:sz w:val="18"/>
          <w:lang w:eastAsia="ja-JP"/>
        </w:rPr>
        <w:t xml:space="preserve"> in SIB 1 </w:t>
      </w:r>
      <w:r w:rsidRPr="0022111A">
        <w:rPr>
          <w:rFonts w:ascii="Arial" w:hAnsi="Arial" w:cs="Arial"/>
          <w:sz w:val="18"/>
          <w:lang w:eastAsia="ja-JP"/>
        </w:rPr>
        <w:t xml:space="preserve">associated to the NR Cell Identity in the </w:t>
      </w:r>
      <w:r w:rsidRPr="00DF06FD">
        <w:rPr>
          <w:rFonts w:ascii="Arial" w:hAnsi="Arial" w:cs="Arial"/>
          <w:i/>
          <w:iCs/>
          <w:sz w:val="18"/>
          <w:lang w:eastAsia="ja-JP"/>
        </w:rPr>
        <w:t>NR CGI</w:t>
      </w:r>
      <w:r w:rsidRPr="0022111A">
        <w:rPr>
          <w:rFonts w:ascii="Arial" w:hAnsi="Arial" w:cs="Arial"/>
          <w:sz w:val="18"/>
          <w:lang w:eastAsia="ja-JP"/>
        </w:rPr>
        <w:t xml:space="preserve"> IE</w:t>
      </w:r>
      <w:r>
        <w:t xml:space="preserve">". Based on the current specification, </w:t>
      </w:r>
      <w:r w:rsidR="009E1902">
        <w:t>following</w:t>
      </w:r>
      <w:r w:rsidR="00F2763E">
        <w:t xml:space="preserve"> </w:t>
      </w:r>
      <w:r>
        <w:t xml:space="preserve">the scenario </w:t>
      </w:r>
      <w:r w:rsidR="00F2763E">
        <w:t xml:space="preserve">described in first paragraph of section 3.1, the gNB-DU </w:t>
      </w:r>
      <w:r w:rsidR="002E4D6E">
        <w:t>might</w:t>
      </w:r>
      <w:r w:rsidR="00F2763E">
        <w:t xml:space="preserve"> trigger a gNB-DU Configuration Update procedure </w:t>
      </w:r>
      <w:r w:rsidR="00120679">
        <w:t>including</w:t>
      </w:r>
      <w:r w:rsidR="00F2763E">
        <w:t xml:space="preserve"> </w:t>
      </w:r>
      <w:r w:rsidR="006A64C8">
        <w:t xml:space="preserve">in the </w:t>
      </w:r>
      <w:r w:rsidR="006A64C8" w:rsidRPr="006A64C8">
        <w:rPr>
          <w:i/>
          <w:iCs/>
        </w:rPr>
        <w:t>Served PLMNs</w:t>
      </w:r>
      <w:r w:rsidR="006A64C8">
        <w:t xml:space="preserve"> IE </w:t>
      </w:r>
      <w:r w:rsidR="00F2763E">
        <w:t xml:space="preserve">only PLMNs/SNPN IDs that are </w:t>
      </w:r>
      <w:proofErr w:type="gramStart"/>
      <w:r w:rsidR="00F2763E">
        <w:t>actually broadcast</w:t>
      </w:r>
      <w:proofErr w:type="gramEnd"/>
      <w:r w:rsidR="00F2763E">
        <w:t xml:space="preserve">. </w:t>
      </w:r>
    </w:p>
    <w:p w14:paraId="7EC2B356" w14:textId="360D12CD" w:rsidR="006A64C8" w:rsidRPr="006A64C8" w:rsidRDefault="006A64C8" w:rsidP="00E275C2">
      <w:pPr>
        <w:rPr>
          <w:b/>
          <w:bCs/>
        </w:rPr>
      </w:pPr>
      <w:r w:rsidRPr="006A64C8">
        <w:rPr>
          <w:b/>
          <w:bCs/>
        </w:rPr>
        <w:t>Q</w:t>
      </w:r>
      <w:r>
        <w:rPr>
          <w:b/>
          <w:bCs/>
        </w:rPr>
        <w:t>2</w:t>
      </w:r>
      <w:r w:rsidRPr="006A64C8">
        <w:rPr>
          <w:b/>
          <w:bCs/>
        </w:rPr>
        <w:t xml:space="preserve">: </w:t>
      </w:r>
      <w:r w:rsidR="002E4D6E">
        <w:rPr>
          <w:b/>
          <w:bCs/>
        </w:rPr>
        <w:t>For the mentioned scenario, in your view, will</w:t>
      </w:r>
      <w:r w:rsidRPr="006A64C8">
        <w:rPr>
          <w:b/>
          <w:bCs/>
        </w:rPr>
        <w:t xml:space="preserve"> the gNB-DU will trigger a gNB-DU Configuration Update procedure conveying a </w:t>
      </w:r>
      <w:r w:rsidRPr="006A64C8">
        <w:rPr>
          <w:b/>
          <w:bCs/>
          <w:i/>
          <w:iCs/>
        </w:rPr>
        <w:t>Served PLMNs</w:t>
      </w:r>
      <w:r w:rsidRPr="006A64C8">
        <w:rPr>
          <w:b/>
          <w:bCs/>
        </w:rPr>
        <w:t xml:space="preserve"> IE </w:t>
      </w:r>
      <w:r>
        <w:rPr>
          <w:b/>
          <w:bCs/>
        </w:rPr>
        <w:t xml:space="preserve">including </w:t>
      </w:r>
      <w:r w:rsidRPr="006A64C8">
        <w:rPr>
          <w:b/>
          <w:bCs/>
        </w:rPr>
        <w:t xml:space="preserve">only PLMNs/SNPN IDs that are </w:t>
      </w:r>
      <w:proofErr w:type="gramStart"/>
      <w:r w:rsidRPr="006A64C8">
        <w:rPr>
          <w:b/>
          <w:bCs/>
        </w:rPr>
        <w:t>actually broadcast</w:t>
      </w:r>
      <w:proofErr w:type="gramEnd"/>
      <w:r w:rsidRPr="006A64C8">
        <w:rPr>
          <w:b/>
          <w:bCs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6A64C8" w14:paraId="52A56FD7" w14:textId="77777777" w:rsidTr="00EB3B0A">
        <w:tc>
          <w:tcPr>
            <w:tcW w:w="1668" w:type="dxa"/>
            <w:shd w:val="clear" w:color="auto" w:fill="auto"/>
          </w:tcPr>
          <w:p w14:paraId="197E2E59" w14:textId="77777777" w:rsidR="006A64C8" w:rsidRDefault="006A64C8" w:rsidP="00EB3B0A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8C4D82A" w14:textId="77777777" w:rsidR="006A64C8" w:rsidRDefault="006A64C8" w:rsidP="00EB3B0A">
            <w:r>
              <w:t>Comment</w:t>
            </w:r>
          </w:p>
        </w:tc>
      </w:tr>
      <w:tr w:rsidR="006A64C8" w14:paraId="35B29A9E" w14:textId="77777777" w:rsidTr="00EB3B0A">
        <w:tc>
          <w:tcPr>
            <w:tcW w:w="1668" w:type="dxa"/>
            <w:shd w:val="clear" w:color="auto" w:fill="auto"/>
          </w:tcPr>
          <w:p w14:paraId="2FC067DE" w14:textId="437E7029" w:rsidR="006A64C8" w:rsidRDefault="002E4D6E" w:rsidP="00EB3B0A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035D848C" w14:textId="27C1B766" w:rsidR="006A64C8" w:rsidRDefault="00120679" w:rsidP="00EB3B0A">
            <w:r>
              <w:t xml:space="preserve">Yes, such risk exists. </w:t>
            </w:r>
            <w:r w:rsidR="002E4D6E">
              <w:t xml:space="preserve">We believe that a gNB-DU </w:t>
            </w:r>
            <w:r w:rsidR="006F6F17">
              <w:t xml:space="preserve">ideally </w:t>
            </w:r>
            <w:r w:rsidR="002E4D6E">
              <w:t>should send</w:t>
            </w:r>
            <w:r w:rsidR="002E4D6E" w:rsidRPr="002E4D6E">
              <w:t xml:space="preserve"> </w:t>
            </w:r>
            <w:r w:rsidR="002E4D6E" w:rsidRPr="002E4D6E">
              <w:rPr>
                <w:i/>
                <w:iCs/>
              </w:rPr>
              <w:t>Served PLMNs</w:t>
            </w:r>
            <w:r w:rsidR="002E4D6E" w:rsidRPr="002E4D6E">
              <w:t xml:space="preserve"> IE including </w:t>
            </w:r>
            <w:r w:rsidR="002E4D6E">
              <w:t xml:space="preserve">all </w:t>
            </w:r>
            <w:r w:rsidR="002E4D6E" w:rsidRPr="002E4D6E">
              <w:rPr>
                <w:b/>
                <w:bCs/>
              </w:rPr>
              <w:t>configured</w:t>
            </w:r>
            <w:r w:rsidR="002E4D6E">
              <w:t xml:space="preserve"> PLMNs, and not </w:t>
            </w:r>
            <w:r w:rsidR="002E4D6E" w:rsidRPr="002E4D6E">
              <w:t xml:space="preserve">only PLMNs/SNPN IDs that are </w:t>
            </w:r>
            <w:proofErr w:type="gramStart"/>
            <w:r w:rsidR="002E4D6E" w:rsidRPr="002E4D6E">
              <w:t>actually broadcast</w:t>
            </w:r>
            <w:proofErr w:type="gramEnd"/>
            <w:r w:rsidR="002E4D6E">
              <w:t xml:space="preserve">, to the gNB-CU. </w:t>
            </w:r>
            <w:proofErr w:type="gramStart"/>
            <w:r w:rsidR="002E4D6E">
              <w:t>However</w:t>
            </w:r>
            <w:proofErr w:type="gramEnd"/>
            <w:r w:rsidR="002E4D6E">
              <w:t xml:space="preserve"> we believe that the semantics text of current specification creates a risk that a gNB-DU implementation only sends actually broadcast </w:t>
            </w:r>
            <w:r w:rsidR="002E4D6E" w:rsidRPr="002E4D6E">
              <w:t>PLMNs/SNPN IDs</w:t>
            </w:r>
            <w:r w:rsidR="002E4D6E">
              <w:t xml:space="preserve"> in the </w:t>
            </w:r>
            <w:r w:rsidR="002E4D6E" w:rsidRPr="002E4D6E">
              <w:rPr>
                <w:i/>
                <w:iCs/>
              </w:rPr>
              <w:t>Served PLMNs</w:t>
            </w:r>
            <w:r w:rsidR="002E4D6E" w:rsidRPr="002E4D6E">
              <w:t xml:space="preserve"> IE</w:t>
            </w:r>
            <w:r w:rsidR="002E4D6E">
              <w:t xml:space="preserve">. This would </w:t>
            </w:r>
            <w:r w:rsidR="007F4EFF">
              <w:t xml:space="preserve">create a risk for </w:t>
            </w:r>
            <w:proofErr w:type="spellStart"/>
            <w:r w:rsidR="002E4D6E">
              <w:t>misoperation</w:t>
            </w:r>
            <w:proofErr w:type="spellEnd"/>
            <w:r w:rsidR="002E4D6E">
              <w:t xml:space="preserve"> (see </w:t>
            </w:r>
            <w:r w:rsidR="006F6F17">
              <w:t>section 3.2.2 below</w:t>
            </w:r>
            <w:r w:rsidR="002E4D6E">
              <w:t>).</w:t>
            </w:r>
          </w:p>
        </w:tc>
      </w:tr>
      <w:tr w:rsidR="006A64C8" w14:paraId="72AB5264" w14:textId="77777777" w:rsidTr="00EB3B0A">
        <w:tc>
          <w:tcPr>
            <w:tcW w:w="1668" w:type="dxa"/>
            <w:shd w:val="clear" w:color="auto" w:fill="auto"/>
          </w:tcPr>
          <w:p w14:paraId="1FE27C3D" w14:textId="77777777" w:rsidR="006A64C8" w:rsidRDefault="006A64C8" w:rsidP="00EB3B0A"/>
        </w:tc>
        <w:tc>
          <w:tcPr>
            <w:tcW w:w="7620" w:type="dxa"/>
            <w:shd w:val="clear" w:color="auto" w:fill="auto"/>
          </w:tcPr>
          <w:p w14:paraId="4EC4E5A9" w14:textId="77777777" w:rsidR="006A64C8" w:rsidRDefault="006A64C8" w:rsidP="00EB3B0A"/>
        </w:tc>
      </w:tr>
      <w:tr w:rsidR="006A64C8" w14:paraId="677F72BC" w14:textId="77777777" w:rsidTr="00EB3B0A">
        <w:tc>
          <w:tcPr>
            <w:tcW w:w="1668" w:type="dxa"/>
            <w:shd w:val="clear" w:color="auto" w:fill="auto"/>
          </w:tcPr>
          <w:p w14:paraId="3184C9E7" w14:textId="77777777" w:rsidR="006A64C8" w:rsidRDefault="006A64C8" w:rsidP="00EB3B0A"/>
        </w:tc>
        <w:tc>
          <w:tcPr>
            <w:tcW w:w="7620" w:type="dxa"/>
            <w:shd w:val="clear" w:color="auto" w:fill="auto"/>
          </w:tcPr>
          <w:p w14:paraId="4E427B42" w14:textId="77777777" w:rsidR="006A64C8" w:rsidRDefault="006A64C8" w:rsidP="00EB3B0A"/>
        </w:tc>
      </w:tr>
    </w:tbl>
    <w:p w14:paraId="2619BFD6" w14:textId="77777777" w:rsidR="006A64C8" w:rsidRDefault="006A64C8" w:rsidP="00E275C2"/>
    <w:p w14:paraId="716FBA54" w14:textId="76514633" w:rsidR="00120679" w:rsidRDefault="00120679" w:rsidP="00120679">
      <w:pPr>
        <w:pStyle w:val="Heading3"/>
      </w:pPr>
      <w:r>
        <w:t>3.2.2</w:t>
      </w:r>
      <w:r>
        <w:tab/>
        <w:t>Issue on gNB-CU side</w:t>
      </w:r>
    </w:p>
    <w:p w14:paraId="6BF1D866" w14:textId="2BFD10CA" w:rsidR="00F2763E" w:rsidRDefault="00120679" w:rsidP="00E275C2">
      <w:r>
        <w:t xml:space="preserve">We would also like to clarify the behaviour on gNB-CU upon reception of </w:t>
      </w:r>
      <w:r w:rsidRPr="006A64C8">
        <w:rPr>
          <w:i/>
          <w:iCs/>
        </w:rPr>
        <w:t>Served PLMNs</w:t>
      </w:r>
      <w:r>
        <w:t xml:space="preserve"> IE containing only PLMNs/SNPN IDs that are </w:t>
      </w:r>
      <w:proofErr w:type="gramStart"/>
      <w:r>
        <w:t>actually broadcast</w:t>
      </w:r>
      <w:proofErr w:type="gramEnd"/>
      <w:r>
        <w:t xml:space="preserve">. We believe that the current specification creates a risk </w:t>
      </w:r>
      <w:r w:rsidR="00B77CDC">
        <w:t>for two different interpretations:</w:t>
      </w:r>
    </w:p>
    <w:p w14:paraId="46507B46" w14:textId="6803176F" w:rsidR="00F2763E" w:rsidRDefault="00B77CDC" w:rsidP="00F2763E">
      <w:pPr>
        <w:numPr>
          <w:ilvl w:val="0"/>
          <w:numId w:val="5"/>
        </w:numPr>
      </w:pPr>
      <w:r>
        <w:t>Interpretation</w:t>
      </w:r>
      <w:r w:rsidR="00F2763E">
        <w:t xml:space="preserve"> 1: the unavailable PLMN/SNPN ID has been </w:t>
      </w:r>
      <w:proofErr w:type="spellStart"/>
      <w:r w:rsidR="00F2763E">
        <w:t>deconfigured</w:t>
      </w:r>
      <w:proofErr w:type="spellEnd"/>
      <w:r w:rsidR="00F2763E">
        <w:t xml:space="preserve"> by the OAM of the gNB-DU</w:t>
      </w:r>
      <w:r>
        <w:t xml:space="preserve">. In this case, the gNB-CU </w:t>
      </w:r>
      <w:r w:rsidRPr="002C0E71">
        <w:rPr>
          <w:b/>
          <w:bCs/>
        </w:rPr>
        <w:t>shall not inform</w:t>
      </w:r>
      <w:r>
        <w:t xml:space="preserve"> the gNB-DU when the unavailable PLMN/SNPN ID again becomes available.</w:t>
      </w:r>
    </w:p>
    <w:p w14:paraId="08779BD8" w14:textId="5273D0ED" w:rsidR="002C0E71" w:rsidRDefault="00B77CDC" w:rsidP="002C0E71">
      <w:pPr>
        <w:numPr>
          <w:ilvl w:val="0"/>
          <w:numId w:val="5"/>
        </w:numPr>
      </w:pPr>
      <w:r>
        <w:t>Interpretation</w:t>
      </w:r>
      <w:r w:rsidR="00F2763E">
        <w:t xml:space="preserve"> 2: the unavailable PLMN/SNPN ID is still configured in the gNB-DU</w:t>
      </w:r>
      <w:r w:rsidR="00120679">
        <w:t>, but not broadcast</w:t>
      </w:r>
      <w:r w:rsidR="00F2763E">
        <w:t xml:space="preserve">. </w:t>
      </w:r>
      <w:r>
        <w:t xml:space="preserve">In this case, the gNB-CU </w:t>
      </w:r>
      <w:r w:rsidRPr="002C0E71">
        <w:rPr>
          <w:b/>
          <w:bCs/>
        </w:rPr>
        <w:t>shall inform</w:t>
      </w:r>
      <w:r>
        <w:t xml:space="preserve"> the gNB-DU when the unavailable PLMN/SNPN ID again becomes available.</w:t>
      </w:r>
    </w:p>
    <w:p w14:paraId="47804197" w14:textId="59BF53EA" w:rsidR="002C0E71" w:rsidRPr="00D463A2" w:rsidRDefault="009E1902" w:rsidP="00E275C2">
      <w:r w:rsidRPr="00DC1A1F">
        <w:rPr>
          <w:b/>
          <w:bCs/>
        </w:rPr>
        <w:t xml:space="preserve">Q3: </w:t>
      </w:r>
      <w:r w:rsidR="00B77CDC">
        <w:rPr>
          <w:b/>
          <w:bCs/>
        </w:rPr>
        <w:t>Which interpretation is correct in your view</w:t>
      </w:r>
      <w:r w:rsidR="00DC1A1F" w:rsidRPr="00DC1A1F">
        <w:rPr>
          <w:b/>
          <w:bCs/>
        </w:rPr>
        <w:t>?</w:t>
      </w:r>
      <w:r w:rsidRPr="00DC1A1F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5A431C6D" w:rsidR="00E275C2" w:rsidRDefault="00120679" w:rsidP="004F788C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5DCDC435" w14:textId="4107BC5F" w:rsidR="00E275C2" w:rsidRDefault="00B77CDC" w:rsidP="004F788C">
            <w:r>
              <w:t>We believe that the current specification is unclear in the sense that no IE permits the gNB-CU to know, in this situation, which PLMNs/SNPN IDs are configured in the gNB-DU. In our view, the gNB-CU shall only inform the gNB-DU about PLMNs</w:t>
            </w:r>
            <w:r w:rsidR="006F6F17">
              <w:t>/SNPN IDs</w:t>
            </w:r>
            <w:r>
              <w:t xml:space="preserve"> that are configured in the gNB-DU. We believe that the intention of the </w:t>
            </w:r>
            <w:r w:rsidRPr="00B77CDC">
              <w:rPr>
                <w:i/>
                <w:iCs/>
              </w:rPr>
              <w:t>Served PLMNs</w:t>
            </w:r>
            <w:r>
              <w:t xml:space="preserve"> IE is to inform</w:t>
            </w:r>
            <w:r w:rsidR="006F6F17">
              <w:t xml:space="preserve"> the gNB-CU</w:t>
            </w:r>
            <w:r>
              <w:t xml:space="preserve"> about </w:t>
            </w:r>
            <w:r w:rsidR="006F6F17">
              <w:t>PLMNS/SNPN IDs configured in the gNB-DU, hence our proposal to correct the semantics description of this IE.</w:t>
            </w:r>
          </w:p>
          <w:p w14:paraId="326D4D8A" w14:textId="57EEBD68" w:rsidR="006F6F17" w:rsidRDefault="006F6F17" w:rsidP="004F788C">
            <w:r>
              <w:t xml:space="preserve">Such correction would prevent triggering of signalling from gNB-DU side described in section 3.2.1, and hence any risk of </w:t>
            </w:r>
            <w:proofErr w:type="spellStart"/>
            <w:r>
              <w:t>misoperation</w:t>
            </w:r>
            <w:proofErr w:type="spellEnd"/>
            <w:r>
              <w:t>.</w:t>
            </w:r>
          </w:p>
          <w:p w14:paraId="00E2A34F" w14:textId="6D78B713" w:rsidR="006F6F17" w:rsidRDefault="006F6F17" w:rsidP="004F788C">
            <w:r>
              <w:t>Such correction would also allow the gNB-CU side to safely assume interpretation 1.</w:t>
            </w:r>
          </w:p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0EFD99B" w14:textId="77777777" w:rsidR="00E275C2" w:rsidRDefault="00E275C2" w:rsidP="004F788C"/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</w:tbl>
    <w:p w14:paraId="016E8CC4" w14:textId="77777777" w:rsidR="00E275C2" w:rsidRPr="00EC57F9" w:rsidRDefault="00E275C2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660185" w14:paraId="5455436B" w14:textId="77777777" w:rsidTr="00EB3B0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2C34" w14:textId="77777777" w:rsidR="00660185" w:rsidRDefault="00B51E9D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7" w:history="1">
              <w:r w:rsidR="00660185">
                <w:rPr>
                  <w:rFonts w:cs="Calibri"/>
                  <w:sz w:val="18"/>
                  <w:szCs w:val="24"/>
                  <w:highlight w:val="yellow"/>
                </w:rPr>
                <w:t>R3-213269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3A53A" w14:textId="77777777" w:rsidR="00660185" w:rsidRDefault="00660185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F1AP correction for multi-PLMN deployments (Nokia, Nokia Shanghai Bell, Orange,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6FD8" w14:textId="77777777" w:rsidR="00660185" w:rsidRDefault="00660185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Discussion</w:t>
            </w:r>
          </w:p>
          <w:p w14:paraId="5FDDA023" w14:textId="77777777" w:rsidR="00660185" w:rsidRDefault="00660185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</w:p>
        </w:tc>
      </w:tr>
      <w:tr w:rsidR="00660185" w14:paraId="06397DE7" w14:textId="77777777" w:rsidTr="00EB3B0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3E81" w14:textId="77777777" w:rsidR="00660185" w:rsidRDefault="00B51E9D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8" w:history="1">
              <w:r w:rsidR="00660185">
                <w:rPr>
                  <w:rFonts w:cs="Calibri"/>
                  <w:sz w:val="18"/>
                  <w:szCs w:val="24"/>
                  <w:highlight w:val="yellow"/>
                </w:rPr>
                <w:t>R3-213270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C483" w14:textId="77777777" w:rsidR="00660185" w:rsidRDefault="00660185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Correction for multi-PLMN deployments (Nokia, Nokia Shanghai Bell, Orange,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9B3C7" w14:textId="77777777" w:rsidR="00660185" w:rsidRDefault="00660185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CR0723r2, TS 38.473 v15.14.0, Rel-15, Cat. F</w:t>
            </w:r>
          </w:p>
          <w:p w14:paraId="2D829922" w14:textId="77777777" w:rsidR="00660185" w:rsidRDefault="00660185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***</w:t>
            </w:r>
          </w:p>
        </w:tc>
      </w:tr>
      <w:tr w:rsidR="00660185" w14:paraId="22ABB0F9" w14:textId="77777777" w:rsidTr="00EB3B0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FC482" w14:textId="77777777" w:rsidR="00660185" w:rsidRDefault="00B51E9D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9" w:history="1">
              <w:r w:rsidR="00660185">
                <w:rPr>
                  <w:rFonts w:cs="Calibri"/>
                  <w:sz w:val="18"/>
                  <w:szCs w:val="24"/>
                  <w:highlight w:val="yellow"/>
                </w:rPr>
                <w:t>R3-213271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94E8" w14:textId="77777777" w:rsidR="00660185" w:rsidRDefault="00660185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Correction for multi-PLMN deployments (Nokia, Nokia Shanghai Bell, Orange,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74E6B" w14:textId="77777777" w:rsidR="00660185" w:rsidRDefault="00660185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CR0724r2, TS 38.473 v16.6.0, Rel-16, Cat. A</w:t>
            </w:r>
          </w:p>
          <w:p w14:paraId="3B6812F2" w14:textId="77777777" w:rsidR="00660185" w:rsidRDefault="00660185" w:rsidP="00EB3B0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***</w:t>
            </w:r>
          </w:p>
        </w:tc>
      </w:tr>
    </w:tbl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15FBF" w14:textId="77777777" w:rsidR="00B51E9D" w:rsidRDefault="00B51E9D">
      <w:r>
        <w:separator/>
      </w:r>
    </w:p>
  </w:endnote>
  <w:endnote w:type="continuationSeparator" w:id="0">
    <w:p w14:paraId="0A928E1E" w14:textId="77777777" w:rsidR="00B51E9D" w:rsidRDefault="00B5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E956F" w14:textId="77777777" w:rsidR="00B51E9D" w:rsidRDefault="00B51E9D">
      <w:r>
        <w:separator/>
      </w:r>
    </w:p>
  </w:footnote>
  <w:footnote w:type="continuationSeparator" w:id="0">
    <w:p w14:paraId="38B521AE" w14:textId="77777777" w:rsidR="00B51E9D" w:rsidRDefault="00B5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4B5FE9"/>
    <w:multiLevelType w:val="hybridMultilevel"/>
    <w:tmpl w:val="79D20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B7BCF"/>
    <w:rsid w:val="000C556D"/>
    <w:rsid w:val="000D376D"/>
    <w:rsid w:val="000D58AB"/>
    <w:rsid w:val="001075B7"/>
    <w:rsid w:val="00120679"/>
    <w:rsid w:val="00120DF1"/>
    <w:rsid w:val="001370F2"/>
    <w:rsid w:val="001549DD"/>
    <w:rsid w:val="00174B9D"/>
    <w:rsid w:val="00194CD0"/>
    <w:rsid w:val="001B08B3"/>
    <w:rsid w:val="001C4281"/>
    <w:rsid w:val="001D0D3F"/>
    <w:rsid w:val="001F168B"/>
    <w:rsid w:val="001F70B7"/>
    <w:rsid w:val="0022606D"/>
    <w:rsid w:val="002305DD"/>
    <w:rsid w:val="00237FC2"/>
    <w:rsid w:val="00243BC7"/>
    <w:rsid w:val="002623FC"/>
    <w:rsid w:val="002747EC"/>
    <w:rsid w:val="002855BF"/>
    <w:rsid w:val="002C0E71"/>
    <w:rsid w:val="002E1692"/>
    <w:rsid w:val="002E17E5"/>
    <w:rsid w:val="002E4D6E"/>
    <w:rsid w:val="002F0D22"/>
    <w:rsid w:val="003172DC"/>
    <w:rsid w:val="00326069"/>
    <w:rsid w:val="003454FC"/>
    <w:rsid w:val="0035462D"/>
    <w:rsid w:val="00363177"/>
    <w:rsid w:val="003A6A90"/>
    <w:rsid w:val="003B3FB3"/>
    <w:rsid w:val="003C4E37"/>
    <w:rsid w:val="003E16BE"/>
    <w:rsid w:val="003E7223"/>
    <w:rsid w:val="00401855"/>
    <w:rsid w:val="00436258"/>
    <w:rsid w:val="00464695"/>
    <w:rsid w:val="004D3578"/>
    <w:rsid w:val="004D380D"/>
    <w:rsid w:val="004D3F58"/>
    <w:rsid w:val="004D5E47"/>
    <w:rsid w:val="004E213A"/>
    <w:rsid w:val="004E21FC"/>
    <w:rsid w:val="00503171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605D08"/>
    <w:rsid w:val="00605E3E"/>
    <w:rsid w:val="00606DA9"/>
    <w:rsid w:val="00611566"/>
    <w:rsid w:val="00656E1E"/>
    <w:rsid w:val="00660185"/>
    <w:rsid w:val="006604E4"/>
    <w:rsid w:val="006A64C8"/>
    <w:rsid w:val="006C54B5"/>
    <w:rsid w:val="006D1E24"/>
    <w:rsid w:val="006D508D"/>
    <w:rsid w:val="006E3C16"/>
    <w:rsid w:val="006E6555"/>
    <w:rsid w:val="006F6F17"/>
    <w:rsid w:val="00702E82"/>
    <w:rsid w:val="00723DBD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C095F"/>
    <w:rsid w:val="007D5902"/>
    <w:rsid w:val="007E3011"/>
    <w:rsid w:val="007F4EFF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D8C"/>
    <w:rsid w:val="0093553B"/>
    <w:rsid w:val="00942EC2"/>
    <w:rsid w:val="00954BCB"/>
    <w:rsid w:val="00961B32"/>
    <w:rsid w:val="00971683"/>
    <w:rsid w:val="00972FD7"/>
    <w:rsid w:val="00973900"/>
    <w:rsid w:val="00974BB0"/>
    <w:rsid w:val="0098314E"/>
    <w:rsid w:val="009A6E4F"/>
    <w:rsid w:val="009C4D5C"/>
    <w:rsid w:val="009D0A28"/>
    <w:rsid w:val="009E1902"/>
    <w:rsid w:val="009F3B54"/>
    <w:rsid w:val="009F7E6E"/>
    <w:rsid w:val="00A10F02"/>
    <w:rsid w:val="00A32D62"/>
    <w:rsid w:val="00A5074A"/>
    <w:rsid w:val="00A53724"/>
    <w:rsid w:val="00A56A11"/>
    <w:rsid w:val="00A62F66"/>
    <w:rsid w:val="00A64267"/>
    <w:rsid w:val="00A82346"/>
    <w:rsid w:val="00A8361A"/>
    <w:rsid w:val="00A9671C"/>
    <w:rsid w:val="00AD4BCF"/>
    <w:rsid w:val="00AF78D5"/>
    <w:rsid w:val="00B1063A"/>
    <w:rsid w:val="00B15449"/>
    <w:rsid w:val="00B51E9D"/>
    <w:rsid w:val="00B77CDC"/>
    <w:rsid w:val="00B9781E"/>
    <w:rsid w:val="00BE1260"/>
    <w:rsid w:val="00BF79F1"/>
    <w:rsid w:val="00C03035"/>
    <w:rsid w:val="00C33079"/>
    <w:rsid w:val="00C43B31"/>
    <w:rsid w:val="00C72118"/>
    <w:rsid w:val="00CA3D0C"/>
    <w:rsid w:val="00CA74ED"/>
    <w:rsid w:val="00CB6651"/>
    <w:rsid w:val="00CB6887"/>
    <w:rsid w:val="00CD4C7B"/>
    <w:rsid w:val="00D22038"/>
    <w:rsid w:val="00D628F5"/>
    <w:rsid w:val="00D738D6"/>
    <w:rsid w:val="00D80795"/>
    <w:rsid w:val="00D87E00"/>
    <w:rsid w:val="00D9134D"/>
    <w:rsid w:val="00D97CD9"/>
    <w:rsid w:val="00DA7A03"/>
    <w:rsid w:val="00DB1818"/>
    <w:rsid w:val="00DC1A1F"/>
    <w:rsid w:val="00DC309B"/>
    <w:rsid w:val="00DC4DA2"/>
    <w:rsid w:val="00DE1406"/>
    <w:rsid w:val="00E07838"/>
    <w:rsid w:val="00E13320"/>
    <w:rsid w:val="00E275C2"/>
    <w:rsid w:val="00E340BC"/>
    <w:rsid w:val="00E4418E"/>
    <w:rsid w:val="00E62835"/>
    <w:rsid w:val="00E77645"/>
    <w:rsid w:val="00E828DA"/>
    <w:rsid w:val="00E852FF"/>
    <w:rsid w:val="00E90ABE"/>
    <w:rsid w:val="00EA22F8"/>
    <w:rsid w:val="00EB0C2C"/>
    <w:rsid w:val="00EC4A25"/>
    <w:rsid w:val="00EE0A1E"/>
    <w:rsid w:val="00EF3E03"/>
    <w:rsid w:val="00F025A2"/>
    <w:rsid w:val="00F034A3"/>
    <w:rsid w:val="00F2026E"/>
    <w:rsid w:val="00F2210A"/>
    <w:rsid w:val="00F2763E"/>
    <w:rsid w:val="00F37743"/>
    <w:rsid w:val="00F402A8"/>
    <w:rsid w:val="00F508AF"/>
    <w:rsid w:val="00F54A3D"/>
    <w:rsid w:val="00F653B8"/>
    <w:rsid w:val="00F76F8F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4C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EF3E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EF3E03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3Char">
    <w:name w:val="Heading 3 Char"/>
    <w:link w:val="Heading3"/>
    <w:rsid w:val="00120679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13-e\Docs\R3-213270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20250;&#35758;&#30828;&#30424;\TSGR3_113-e\Docs\R3-213269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20250;&#35758;&#30828;&#30424;\TSGR3_113-e\Docs\R3-21327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147</TotalTime>
  <Pages>3</Pages>
  <Words>785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5098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Håkon</cp:lastModifiedBy>
  <cp:revision>33</cp:revision>
  <dcterms:created xsi:type="dcterms:W3CDTF">2019-06-29T13:33:00Z</dcterms:created>
  <dcterms:modified xsi:type="dcterms:W3CDTF">2021-08-18T17:07:00Z</dcterms:modified>
</cp:coreProperties>
</file>