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39CCA" w14:textId="32920A7B" w:rsidR="00CD4C7B" w:rsidRPr="00B266B0" w:rsidRDefault="00CD4C7B" w:rsidP="00CD4C7B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B266B0">
        <w:rPr>
          <w:bCs/>
          <w:noProof w:val="0"/>
          <w:sz w:val="24"/>
          <w:szCs w:val="24"/>
        </w:rPr>
        <w:t>3GPP T</w:t>
      </w:r>
      <w:bookmarkStart w:id="0" w:name="_Ref452454252"/>
      <w:bookmarkEnd w:id="0"/>
      <w:r w:rsidRPr="00B266B0">
        <w:rPr>
          <w:bCs/>
          <w:noProof w:val="0"/>
          <w:sz w:val="24"/>
          <w:szCs w:val="24"/>
        </w:rPr>
        <w:t xml:space="preserve">SG-RAN </w:t>
      </w:r>
      <w:r w:rsidR="003454FC">
        <w:rPr>
          <w:noProof w:val="0"/>
          <w:sz w:val="24"/>
          <w:szCs w:val="24"/>
        </w:rPr>
        <w:t>WG3</w:t>
      </w:r>
      <w:r w:rsidRPr="00B266B0">
        <w:rPr>
          <w:noProof w:val="0"/>
          <w:sz w:val="24"/>
          <w:szCs w:val="24"/>
        </w:rPr>
        <w:t xml:space="preserve"> </w:t>
      </w:r>
      <w:r w:rsidR="009F7E6E" w:rsidRPr="009F7E6E">
        <w:rPr>
          <w:noProof w:val="0"/>
          <w:sz w:val="24"/>
          <w:szCs w:val="24"/>
        </w:rPr>
        <w:t>Meeting #1</w:t>
      </w:r>
      <w:r w:rsidR="005B79D2">
        <w:rPr>
          <w:noProof w:val="0"/>
          <w:sz w:val="24"/>
          <w:szCs w:val="24"/>
        </w:rPr>
        <w:t>1</w:t>
      </w:r>
      <w:r w:rsidR="00605D08">
        <w:rPr>
          <w:noProof w:val="0"/>
          <w:sz w:val="24"/>
          <w:szCs w:val="24"/>
        </w:rPr>
        <w:t>1</w:t>
      </w:r>
      <w:r w:rsidR="00797D4B">
        <w:rPr>
          <w:noProof w:val="0"/>
          <w:sz w:val="24"/>
          <w:szCs w:val="24"/>
        </w:rPr>
        <w:t>-e</w:t>
      </w:r>
      <w:r w:rsidRPr="00B266B0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 w:rsidR="003454FC">
        <w:rPr>
          <w:bCs/>
          <w:noProof w:val="0"/>
          <w:sz w:val="24"/>
          <w:szCs w:val="24"/>
        </w:rPr>
        <w:t>3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 w:rsidR="00797D4B">
        <w:rPr>
          <w:bCs/>
          <w:noProof w:val="0"/>
          <w:sz w:val="24"/>
          <w:szCs w:val="24"/>
        </w:rPr>
        <w:t>2</w:t>
      </w:r>
      <w:r w:rsidR="00605D08">
        <w:rPr>
          <w:bCs/>
          <w:noProof w:val="0"/>
          <w:sz w:val="24"/>
          <w:szCs w:val="24"/>
        </w:rPr>
        <w:t>1</w:t>
      </w:r>
      <w:r w:rsidR="004E7D99">
        <w:rPr>
          <w:bCs/>
          <w:noProof w:val="0"/>
          <w:sz w:val="24"/>
          <w:szCs w:val="24"/>
        </w:rPr>
        <w:t>1012</w:t>
      </w:r>
    </w:p>
    <w:p w14:paraId="1822B173" w14:textId="1C7E5AAA" w:rsidR="00CD4C7B" w:rsidRPr="00B1063A" w:rsidRDefault="00797D4B" w:rsidP="00CD4C7B">
      <w:pPr>
        <w:pStyle w:val="Header"/>
        <w:tabs>
          <w:tab w:val="right" w:pos="9639"/>
        </w:tabs>
        <w:rPr>
          <w:bCs/>
          <w:noProof w:val="0"/>
          <w:sz w:val="24"/>
          <w:szCs w:val="24"/>
          <w:lang w:val="en-US"/>
        </w:rPr>
      </w:pPr>
      <w:bookmarkStart w:id="1" w:name="_Hlk490060723"/>
      <w:r>
        <w:rPr>
          <w:rFonts w:cs="Arial"/>
          <w:sz w:val="24"/>
          <w:szCs w:val="24"/>
          <w:lang w:val="en-US"/>
        </w:rPr>
        <w:t>E-meeting</w:t>
      </w:r>
      <w:r w:rsidR="001370F2" w:rsidRPr="00B1063A">
        <w:rPr>
          <w:rFonts w:cs="Arial"/>
          <w:sz w:val="24"/>
          <w:szCs w:val="24"/>
          <w:lang w:val="en-US"/>
        </w:rPr>
        <w:t xml:space="preserve">, </w:t>
      </w:r>
      <w:bookmarkEnd w:id="1"/>
      <w:r w:rsidR="00605D08" w:rsidRPr="00605D08">
        <w:rPr>
          <w:rFonts w:cs="Arial"/>
          <w:sz w:val="24"/>
          <w:szCs w:val="24"/>
          <w:lang w:val="en-US"/>
        </w:rPr>
        <w:t>25 January – 4 February, 2021</w:t>
      </w:r>
    </w:p>
    <w:p w14:paraId="05FE47DF" w14:textId="77777777" w:rsidR="00CD4C7B" w:rsidRPr="00B1063A" w:rsidRDefault="00CD4C7B" w:rsidP="00CD4C7B">
      <w:pPr>
        <w:pStyle w:val="Header"/>
        <w:rPr>
          <w:bCs/>
          <w:noProof w:val="0"/>
          <w:sz w:val="24"/>
          <w:lang w:val="en-US"/>
        </w:rPr>
      </w:pPr>
    </w:p>
    <w:p w14:paraId="0717E73E" w14:textId="77777777" w:rsidR="00CD4C7B" w:rsidRPr="00B1063A" w:rsidRDefault="00CD4C7B" w:rsidP="00CD4C7B">
      <w:pPr>
        <w:pStyle w:val="Header"/>
        <w:rPr>
          <w:bCs/>
          <w:noProof w:val="0"/>
          <w:sz w:val="24"/>
          <w:lang w:val="en-US"/>
        </w:rPr>
      </w:pPr>
    </w:p>
    <w:p w14:paraId="3B0EF5F6" w14:textId="62CA66E7" w:rsidR="00CD4C7B" w:rsidRPr="00B1063A" w:rsidRDefault="00CD4C7B" w:rsidP="00CD4C7B">
      <w:pPr>
        <w:pStyle w:val="CRCoverPage"/>
        <w:tabs>
          <w:tab w:val="left" w:pos="1985"/>
        </w:tabs>
        <w:rPr>
          <w:rFonts w:cs="Arial"/>
          <w:b/>
          <w:bCs/>
          <w:sz w:val="24"/>
          <w:lang w:val="en-US" w:eastAsia="ja-JP"/>
        </w:rPr>
      </w:pPr>
      <w:r w:rsidRPr="00B1063A">
        <w:rPr>
          <w:rFonts w:cs="Arial"/>
          <w:b/>
          <w:bCs/>
          <w:sz w:val="24"/>
          <w:lang w:val="en-US"/>
        </w:rPr>
        <w:t>Agenda item:</w:t>
      </w:r>
      <w:r w:rsidRPr="00B1063A">
        <w:rPr>
          <w:rFonts w:cs="Arial"/>
          <w:b/>
          <w:bCs/>
          <w:sz w:val="24"/>
          <w:lang w:val="en-US"/>
        </w:rPr>
        <w:tab/>
      </w:r>
      <w:r w:rsidR="004E7D99">
        <w:rPr>
          <w:rFonts w:cs="Arial"/>
          <w:b/>
          <w:bCs/>
          <w:sz w:val="24"/>
          <w:lang w:val="en-US" w:eastAsia="ja-JP"/>
        </w:rPr>
        <w:t>15.2</w:t>
      </w:r>
    </w:p>
    <w:p w14:paraId="47FEC04C" w14:textId="41E8A6DD" w:rsidR="00CD4C7B" w:rsidRPr="00B266B0" w:rsidRDefault="00CD4C7B" w:rsidP="00CD4C7B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="0058672E" w:rsidRPr="006109D0">
        <w:rPr>
          <w:rFonts w:ascii="Arial" w:hAnsi="Arial" w:cs="Arial"/>
          <w:b/>
          <w:bCs/>
          <w:sz w:val="24"/>
        </w:rPr>
        <w:t xml:space="preserve">Nokia </w:t>
      </w:r>
      <w:r w:rsidR="0058672E">
        <w:rPr>
          <w:rFonts w:ascii="Arial" w:hAnsi="Arial" w:cs="Arial"/>
          <w:b/>
          <w:bCs/>
          <w:sz w:val="24"/>
        </w:rPr>
        <w:t>(m</w:t>
      </w:r>
      <w:r w:rsidR="0058672E" w:rsidRPr="006109D0">
        <w:rPr>
          <w:rFonts w:ascii="Arial" w:hAnsi="Arial" w:cs="Arial"/>
          <w:b/>
          <w:bCs/>
          <w:sz w:val="24"/>
        </w:rPr>
        <w:t>oderator</w:t>
      </w:r>
      <w:r w:rsidR="0058672E">
        <w:rPr>
          <w:rFonts w:ascii="Arial" w:hAnsi="Arial" w:cs="Arial"/>
          <w:b/>
          <w:bCs/>
          <w:sz w:val="24"/>
        </w:rPr>
        <w:t>)</w:t>
      </w:r>
    </w:p>
    <w:p w14:paraId="13240CF6" w14:textId="26B6C735" w:rsidR="00CD4C7B" w:rsidRDefault="00CD4C7B" w:rsidP="00CD4C7B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4E7D99" w:rsidRPr="004E7D99">
        <w:rPr>
          <w:rFonts w:ascii="Arial" w:hAnsi="Arial" w:cs="Arial"/>
          <w:b/>
          <w:bCs/>
          <w:sz w:val="24"/>
        </w:rPr>
        <w:t>CB: # NRQoE2-Mobility - Summary of email discussion</w:t>
      </w:r>
    </w:p>
    <w:p w14:paraId="6911FBAD" w14:textId="1CEF997A" w:rsidR="00CD4C7B" w:rsidRPr="00B266B0" w:rsidRDefault="00CD4C7B" w:rsidP="00CD4C7B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</w:r>
      <w:r w:rsidR="007B0A52">
        <w:rPr>
          <w:rFonts w:ascii="Arial" w:hAnsi="Arial" w:cs="Arial"/>
          <w:b/>
          <w:bCs/>
          <w:sz w:val="24"/>
        </w:rPr>
        <w:t>Approval</w:t>
      </w:r>
    </w:p>
    <w:p w14:paraId="71F11288" w14:textId="77777777" w:rsidR="00CD4C7B" w:rsidRPr="006E13D1" w:rsidRDefault="00CD4C7B" w:rsidP="00CD4C7B">
      <w:pPr>
        <w:pStyle w:val="Heading1"/>
      </w:pPr>
      <w:r w:rsidRPr="006E13D1">
        <w:t>1</w:t>
      </w:r>
      <w:r w:rsidRPr="006E13D1">
        <w:tab/>
      </w:r>
      <w:r w:rsidR="0056573F">
        <w:t>Introduction</w:t>
      </w:r>
    </w:p>
    <w:p w14:paraId="05683F77" w14:textId="529E5CE5" w:rsidR="00702E82" w:rsidRPr="001B797E" w:rsidRDefault="00702E82" w:rsidP="00702E82">
      <w:r>
        <w:t>This paper provides summary of discussions at RAN#1</w:t>
      </w:r>
      <w:r w:rsidR="00A62F66">
        <w:t>1</w:t>
      </w:r>
      <w:r w:rsidR="004E7D99">
        <w:t>1</w:t>
      </w:r>
      <w:r>
        <w:t>-e on:</w:t>
      </w:r>
    </w:p>
    <w:p w14:paraId="06EC5E3E" w14:textId="77777777" w:rsidR="004E7D99" w:rsidRDefault="004E7D99" w:rsidP="004E7D99">
      <w:pPr>
        <w:ind w:left="144" w:hanging="144"/>
        <w:rPr>
          <w:rFonts w:ascii="Calibri" w:hAnsi="Calibri" w:cs="Calibri"/>
          <w:b/>
          <w:bCs/>
          <w:color w:val="7030A0"/>
          <w:sz w:val="18"/>
          <w:szCs w:val="18"/>
          <w:lang w:val="en-US" w:eastAsia="zh-CN"/>
        </w:rPr>
      </w:pPr>
      <w:r>
        <w:rPr>
          <w:rFonts w:ascii="Calibri" w:hAnsi="Calibri" w:cs="Calibri"/>
          <w:b/>
          <w:bCs/>
          <w:color w:val="7030A0"/>
          <w:sz w:val="18"/>
          <w:szCs w:val="18"/>
          <w:lang w:val="en-US" w:eastAsia="zh-CN"/>
        </w:rPr>
        <w:t xml:space="preserve">CB: </w:t>
      </w:r>
      <w:r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  <w:t># NRQoE2-Mobility</w:t>
      </w:r>
    </w:p>
    <w:p w14:paraId="34E82E6A" w14:textId="77777777" w:rsidR="004E7D99" w:rsidRDefault="004E7D99" w:rsidP="006A12D6">
      <w:pPr>
        <w:spacing w:after="0"/>
        <w:ind w:left="144" w:hanging="144"/>
        <w:rPr>
          <w:rFonts w:ascii="Calibri" w:hAnsi="Calibri" w:cs="Calibri"/>
          <w:b/>
          <w:bCs/>
          <w:color w:val="7030A0"/>
          <w:sz w:val="18"/>
          <w:szCs w:val="18"/>
          <w:lang w:val="en-US" w:eastAsia="ja-JP"/>
        </w:rPr>
      </w:pPr>
      <w:r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  <w:t>- Remove FFS on “Management-based QoE measurement shall not overwrite a corresponding signalling-based existing configuration”?</w:t>
      </w:r>
    </w:p>
    <w:p w14:paraId="4A4973B2" w14:textId="77777777" w:rsidR="004E7D99" w:rsidRDefault="004E7D99" w:rsidP="006A12D6">
      <w:pPr>
        <w:spacing w:after="0"/>
        <w:ind w:left="144" w:hanging="144"/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</w:pPr>
      <w:r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  <w:t xml:space="preserve">- </w:t>
      </w:r>
      <w:r>
        <w:rPr>
          <w:rFonts w:ascii="Calibri" w:hAnsi="Calibri" w:cs="Calibri"/>
          <w:b/>
          <w:bCs/>
          <w:color w:val="7030A0"/>
          <w:sz w:val="18"/>
          <w:szCs w:val="18"/>
          <w:lang w:val="en-US" w:eastAsia="zh-CN"/>
        </w:rPr>
        <w:t>Whether to exchange m</w:t>
      </w:r>
      <w:r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  <w:t xml:space="preserve">anagement-based QoE measurement configuration between source and target at mobility? </w:t>
      </w:r>
      <w:r>
        <w:rPr>
          <w:rFonts w:ascii="Calibri" w:hAnsi="Calibri" w:cs="Calibri"/>
          <w:b/>
          <w:bCs/>
          <w:color w:val="7030A0"/>
          <w:sz w:val="18"/>
          <w:szCs w:val="18"/>
          <w:lang w:val="en-US" w:eastAsia="zh-CN"/>
        </w:rPr>
        <w:t>No</w:t>
      </w:r>
      <w:r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  <w:t>, CATT, Nokia, ZTE, HW, CMCC</w:t>
      </w:r>
    </w:p>
    <w:p w14:paraId="7EE84FAC" w14:textId="77777777" w:rsidR="004E7D99" w:rsidRDefault="004E7D99" w:rsidP="006A12D6">
      <w:pPr>
        <w:spacing w:after="0"/>
        <w:ind w:left="144" w:hanging="144"/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</w:pPr>
      <w:r>
        <w:rPr>
          <w:rFonts w:ascii="Calibri" w:hAnsi="Calibri" w:cs="Calibri"/>
          <w:b/>
          <w:bCs/>
          <w:color w:val="7030A0"/>
          <w:sz w:val="18"/>
          <w:szCs w:val="18"/>
          <w:lang w:val="en-US" w:eastAsia="zh-CN"/>
        </w:rPr>
        <w:t xml:space="preserve">- </w:t>
      </w:r>
      <w:r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  <w:t>Framework type indication at mobility?</w:t>
      </w:r>
    </w:p>
    <w:p w14:paraId="31457BC9" w14:textId="77777777" w:rsidR="004E7D99" w:rsidRDefault="004E7D99" w:rsidP="006A12D6">
      <w:pPr>
        <w:spacing w:after="0"/>
        <w:ind w:left="144" w:hanging="144"/>
        <w:rPr>
          <w:rFonts w:ascii="Calibri" w:hAnsi="Calibri" w:cs="Calibri"/>
          <w:b/>
          <w:bCs/>
          <w:color w:val="7030A0"/>
          <w:sz w:val="18"/>
          <w:szCs w:val="18"/>
          <w:lang w:val="en-US" w:eastAsia="zh-CN"/>
        </w:rPr>
      </w:pPr>
      <w:r>
        <w:rPr>
          <w:rFonts w:ascii="Calibri" w:hAnsi="Calibri" w:cs="Calibri"/>
          <w:b/>
          <w:bCs/>
          <w:color w:val="7030A0"/>
          <w:sz w:val="18"/>
          <w:szCs w:val="18"/>
          <w:lang w:val="en-US" w:eastAsia="zh-CN"/>
        </w:rPr>
        <w:t>- How to support supporting QoE measurements in mobility scenarios fulfilling SA4 requirements i.e., avoid stopping a QoE measurement for an ongoing session, even if the UE moves across area boundaries?</w:t>
      </w:r>
    </w:p>
    <w:p w14:paraId="51AAA310" w14:textId="77777777" w:rsidR="004E7D99" w:rsidRDefault="004E7D99" w:rsidP="006A12D6">
      <w:pPr>
        <w:spacing w:after="0"/>
        <w:rPr>
          <w:rFonts w:ascii="Calibri" w:hAnsi="Calibri" w:cs="Calibri"/>
          <w:b/>
          <w:bCs/>
          <w:color w:val="7030A0"/>
          <w:sz w:val="18"/>
          <w:szCs w:val="18"/>
          <w:lang w:val="en-US" w:eastAsia="ja-JP"/>
        </w:rPr>
      </w:pPr>
      <w:r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  <w:t>- Sending the release command to the UE upon the UE’s moving outside the configured area for QoE measurement?</w:t>
      </w:r>
    </w:p>
    <w:p w14:paraId="1A3E7CE0" w14:textId="77777777" w:rsidR="004E7D99" w:rsidRDefault="004E7D99" w:rsidP="006A12D6">
      <w:pPr>
        <w:spacing w:after="0"/>
        <w:rPr>
          <w:rFonts w:ascii="Calibri" w:hAnsi="Calibri" w:cs="Calibri"/>
          <w:b/>
          <w:bCs/>
          <w:color w:val="7030A0"/>
          <w:sz w:val="18"/>
          <w:szCs w:val="18"/>
          <w:lang w:val="en-US" w:eastAsia="zh-CN"/>
        </w:rPr>
      </w:pPr>
      <w:r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  <w:t>- Support inter-RAT mobility in R17? Support inter-system mobility in R17? If yes, how to support?</w:t>
      </w:r>
      <w:r>
        <w:rPr>
          <w:rFonts w:ascii="Calibri" w:hAnsi="Calibri" w:cs="Calibri"/>
          <w:b/>
          <w:bCs/>
          <w:color w:val="7030A0"/>
          <w:sz w:val="18"/>
          <w:szCs w:val="18"/>
          <w:lang w:val="en-US" w:eastAsia="zh-CN"/>
        </w:rPr>
        <w:t xml:space="preserve"> </w:t>
      </w:r>
      <w:r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  <w:t>How to handle the case when the target RAT</w:t>
      </w:r>
      <w:r>
        <w:rPr>
          <w:rFonts w:ascii="Calibri" w:hAnsi="Calibri" w:cs="Calibri"/>
          <w:b/>
          <w:bCs/>
          <w:color w:val="7030A0"/>
          <w:sz w:val="18"/>
          <w:szCs w:val="18"/>
          <w:lang w:val="en-US" w:eastAsia="zh-CN"/>
        </w:rPr>
        <w:t>/system</w:t>
      </w:r>
      <w:r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  <w:t xml:space="preserve"> does not support QoE measurement signalling?</w:t>
      </w:r>
    </w:p>
    <w:p w14:paraId="6A494B9A" w14:textId="77777777" w:rsidR="004E7D99" w:rsidRDefault="004E7D99" w:rsidP="006A12D6">
      <w:pPr>
        <w:spacing w:after="0"/>
        <w:rPr>
          <w:rFonts w:ascii="Calibri" w:hAnsi="Calibri" w:cs="Calibri"/>
          <w:b/>
          <w:bCs/>
          <w:color w:val="7030A0"/>
          <w:sz w:val="18"/>
          <w:szCs w:val="18"/>
          <w:lang w:val="en-US" w:eastAsia="ja-JP"/>
        </w:rPr>
      </w:pPr>
      <w:r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  <w:t>- Support MR-DC scenario in R17? If yes, how to support?</w:t>
      </w:r>
    </w:p>
    <w:p w14:paraId="18E655EC" w14:textId="77777777" w:rsidR="004E7D99" w:rsidRDefault="004E7D99" w:rsidP="006A12D6">
      <w:pPr>
        <w:spacing w:after="0"/>
        <w:ind w:left="144" w:hanging="144"/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</w:pPr>
      <w:r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  <w:t>- Capture agreements as TP for TR</w:t>
      </w:r>
    </w:p>
    <w:p w14:paraId="577B05B1" w14:textId="7A5FF8E9" w:rsidR="004E7D99" w:rsidRDefault="004E7D99" w:rsidP="004E7D99">
      <w:pPr>
        <w:ind w:left="144" w:hanging="144"/>
        <w:rPr>
          <w:rFonts w:ascii="Calibri" w:hAnsi="Calibri" w:cs="Calibri"/>
          <w:color w:val="000000"/>
          <w:sz w:val="18"/>
          <w:szCs w:val="18"/>
          <w:lang w:val="en-US"/>
        </w:rPr>
      </w:pPr>
      <w:r>
        <w:rPr>
          <w:rFonts w:ascii="Calibri" w:hAnsi="Calibri" w:cs="Calibri"/>
          <w:color w:val="000000"/>
          <w:sz w:val="18"/>
          <w:szCs w:val="18"/>
          <w:lang w:val="en-US"/>
        </w:rPr>
        <w:t>(</w:t>
      </w:r>
      <w:r>
        <w:rPr>
          <w:rFonts w:ascii="Calibri" w:hAnsi="Calibri" w:cs="Calibri"/>
          <w:color w:val="000000"/>
          <w:sz w:val="18"/>
          <w:szCs w:val="18"/>
          <w:lang w:val="en-US" w:eastAsia="zh-CN"/>
        </w:rPr>
        <w:t>Nok</w:t>
      </w:r>
      <w:r>
        <w:rPr>
          <w:rFonts w:ascii="Calibri" w:hAnsi="Calibri" w:cs="Calibri"/>
          <w:color w:val="000000"/>
          <w:sz w:val="18"/>
          <w:szCs w:val="18"/>
          <w:lang w:val="en-US"/>
        </w:rPr>
        <w:t xml:space="preserve"> - moderator)</w:t>
      </w:r>
    </w:p>
    <w:p w14:paraId="4EDD071E" w14:textId="1A34D868" w:rsidR="00780226" w:rsidRPr="00780226" w:rsidRDefault="00780226" w:rsidP="00780226">
      <w:pPr>
        <w:rPr>
          <w:b/>
          <w:bCs/>
          <w:color w:val="FF0000"/>
        </w:rPr>
      </w:pPr>
      <w:bookmarkStart w:id="2" w:name="_Hlk62467227"/>
      <w:r>
        <w:rPr>
          <w:b/>
          <w:bCs/>
          <w:color w:val="FF0000"/>
        </w:rPr>
        <w:t>If possible</w:t>
      </w:r>
      <w:r w:rsidR="0079790F">
        <w:rPr>
          <w:b/>
          <w:bCs/>
          <w:color w:val="FF0000"/>
        </w:rPr>
        <w:t>,</w:t>
      </w:r>
      <w:r>
        <w:rPr>
          <w:b/>
          <w:bCs/>
          <w:color w:val="FF0000"/>
        </w:rPr>
        <w:t xml:space="preserve"> p</w:t>
      </w:r>
      <w:r w:rsidRPr="00780226">
        <w:rPr>
          <w:b/>
          <w:bCs/>
          <w:color w:val="FF0000"/>
        </w:rPr>
        <w:t>lease provide comments for phase 1 by Friday, Jan. 28, EOB</w:t>
      </w:r>
      <w:r w:rsidR="00CD18C4">
        <w:rPr>
          <w:b/>
          <w:bCs/>
          <w:color w:val="FF0000"/>
        </w:rPr>
        <w:t xml:space="preserve"> so we can check whether clear phase 1 agreements can be formulated and in that case</w:t>
      </w:r>
      <w:r w:rsidRPr="00780226">
        <w:rPr>
          <w:b/>
          <w:bCs/>
          <w:color w:val="FF0000"/>
        </w:rPr>
        <w:t xml:space="preserve"> </w:t>
      </w:r>
      <w:r w:rsidR="00CD18C4">
        <w:rPr>
          <w:b/>
          <w:bCs/>
          <w:color w:val="FF0000"/>
        </w:rPr>
        <w:t xml:space="preserve">also </w:t>
      </w:r>
      <w:bookmarkStart w:id="3" w:name="_GoBack"/>
      <w:bookmarkEnd w:id="3"/>
      <w:r w:rsidRPr="00780226">
        <w:rPr>
          <w:b/>
          <w:bCs/>
          <w:color w:val="FF0000"/>
        </w:rPr>
        <w:t>start preparing phase 2 (TP for the TR) before the online session on Tuesday, Feb. 2.</w:t>
      </w:r>
    </w:p>
    <w:bookmarkEnd w:id="2"/>
    <w:p w14:paraId="479DA40B" w14:textId="1789C681" w:rsidR="00CD4C7B" w:rsidRPr="006E13D1" w:rsidRDefault="00CD4C7B" w:rsidP="00CD4C7B">
      <w:pPr>
        <w:pStyle w:val="Heading1"/>
      </w:pPr>
      <w:r w:rsidRPr="006E13D1">
        <w:t>2</w:t>
      </w:r>
      <w:r w:rsidRPr="006E13D1">
        <w:tab/>
      </w:r>
      <w:r w:rsidR="007B0A52">
        <w:t xml:space="preserve">For the Chairman’s Notes </w:t>
      </w:r>
    </w:p>
    <w:p w14:paraId="62566A3C" w14:textId="2B59EBBA" w:rsidR="007B0A52" w:rsidRDefault="007B0A52" w:rsidP="007B0A52">
      <w:r w:rsidRPr="007B0A52">
        <w:rPr>
          <w:highlight w:val="yellow"/>
        </w:rPr>
        <w:t>[To be completed]</w:t>
      </w:r>
    </w:p>
    <w:p w14:paraId="05AB05FA" w14:textId="33B4FE5F" w:rsidR="00CD4C7B" w:rsidRPr="00972FD7" w:rsidRDefault="00CD4C7B" w:rsidP="00CD4C7B">
      <w:pPr>
        <w:pStyle w:val="00BodyText"/>
        <w:spacing w:after="0"/>
        <w:rPr>
          <w:rFonts w:ascii="Times New Roman" w:hAnsi="Times New Roman"/>
          <w:sz w:val="20"/>
          <w:lang w:val="en-GB"/>
        </w:rPr>
      </w:pPr>
    </w:p>
    <w:p w14:paraId="0ABF5A04" w14:textId="267F0FB2" w:rsidR="007B0A52" w:rsidRPr="006E13D1" w:rsidRDefault="007B0A52" w:rsidP="007B0A52">
      <w:pPr>
        <w:pStyle w:val="Heading1"/>
      </w:pPr>
      <w:r>
        <w:t>3</w:t>
      </w:r>
      <w:r w:rsidRPr="006E13D1">
        <w:tab/>
      </w:r>
      <w:r>
        <w:t>Discussion</w:t>
      </w:r>
    </w:p>
    <w:p w14:paraId="58EA90C7" w14:textId="7B9C224A" w:rsidR="004E7D99" w:rsidRDefault="004E7D99" w:rsidP="004E7D99">
      <w:pPr>
        <w:pStyle w:val="Heading2"/>
      </w:pPr>
      <w:r>
        <w:t>3.1 Phase 1</w:t>
      </w:r>
    </w:p>
    <w:p w14:paraId="6909ED6F" w14:textId="09C17676" w:rsidR="007B0A52" w:rsidRDefault="007B0A52" w:rsidP="004E7D99">
      <w:pPr>
        <w:pStyle w:val="Heading3"/>
      </w:pPr>
      <w:r>
        <w:t>3.1</w:t>
      </w:r>
      <w:r w:rsidR="004E7D99">
        <w:t>.1</w:t>
      </w:r>
      <w:r>
        <w:t xml:space="preserve"> Issue 1</w:t>
      </w:r>
      <w:r w:rsidR="004E7D99">
        <w:t xml:space="preserve"> - Measurement reporting continuity in </w:t>
      </w:r>
      <w:r w:rsidR="006A12D6">
        <w:t xml:space="preserve">intra-RAT </w:t>
      </w:r>
      <w:r w:rsidR="004E7D99">
        <w:t>mobility scenarios</w:t>
      </w:r>
    </w:p>
    <w:p w14:paraId="0E5CF0F1" w14:textId="21D7A209" w:rsidR="007B0A52" w:rsidRDefault="00F93120" w:rsidP="007B0A52">
      <w:r>
        <w:t>The following</w:t>
      </w:r>
      <w:r w:rsidR="006A12D6">
        <w:t xml:space="preserve"> questions captured by the chairman relate to measurement reporting continuity in intra-RAT mobility scenarios. These questions are:</w:t>
      </w:r>
    </w:p>
    <w:p w14:paraId="6750058F" w14:textId="77777777" w:rsidR="006A12D6" w:rsidRDefault="006A12D6" w:rsidP="006A12D6">
      <w:pPr>
        <w:spacing w:after="0"/>
        <w:ind w:left="144" w:hanging="144"/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</w:pPr>
      <w:r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  <w:t xml:space="preserve">- </w:t>
      </w:r>
      <w:r>
        <w:rPr>
          <w:rFonts w:ascii="Calibri" w:hAnsi="Calibri" w:cs="Calibri"/>
          <w:b/>
          <w:bCs/>
          <w:color w:val="7030A0"/>
          <w:sz w:val="18"/>
          <w:szCs w:val="18"/>
          <w:lang w:val="en-US" w:eastAsia="zh-CN"/>
        </w:rPr>
        <w:t>Whether to exchange m</w:t>
      </w:r>
      <w:r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  <w:t xml:space="preserve">anagement-based QoE measurement configuration between source and target at mobility? </w:t>
      </w:r>
      <w:r>
        <w:rPr>
          <w:rFonts w:ascii="Calibri" w:hAnsi="Calibri" w:cs="Calibri"/>
          <w:b/>
          <w:bCs/>
          <w:color w:val="7030A0"/>
          <w:sz w:val="18"/>
          <w:szCs w:val="18"/>
          <w:lang w:val="en-US" w:eastAsia="zh-CN"/>
        </w:rPr>
        <w:t>No</w:t>
      </w:r>
      <w:r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  <w:t>, CATT, Nokia, ZTE, HW, CMCC</w:t>
      </w:r>
    </w:p>
    <w:p w14:paraId="7BE135B4" w14:textId="6CA19304" w:rsidR="006A12D6" w:rsidRDefault="006A12D6" w:rsidP="006A12D6">
      <w:pPr>
        <w:spacing w:after="0"/>
        <w:ind w:left="144" w:hanging="144"/>
        <w:rPr>
          <w:rFonts w:ascii="Calibri" w:hAnsi="Calibri" w:cs="Calibri"/>
          <w:b/>
          <w:bCs/>
          <w:color w:val="7030A0"/>
          <w:sz w:val="18"/>
          <w:szCs w:val="18"/>
          <w:lang w:val="en-US" w:eastAsia="zh-CN"/>
        </w:rPr>
      </w:pPr>
      <w:r>
        <w:rPr>
          <w:rFonts w:ascii="Calibri" w:hAnsi="Calibri" w:cs="Calibri"/>
          <w:b/>
          <w:bCs/>
          <w:color w:val="7030A0"/>
          <w:sz w:val="18"/>
          <w:szCs w:val="18"/>
          <w:lang w:val="en-US" w:eastAsia="zh-CN"/>
        </w:rPr>
        <w:t xml:space="preserve">- How to support </w:t>
      </w:r>
      <w:r w:rsidRPr="001B2C35">
        <w:rPr>
          <w:rFonts w:ascii="Calibri" w:hAnsi="Calibri" w:cs="Calibri"/>
          <w:b/>
          <w:bCs/>
          <w:strike/>
          <w:color w:val="7030A0"/>
          <w:sz w:val="18"/>
          <w:szCs w:val="18"/>
          <w:lang w:val="en-US" w:eastAsia="zh-CN"/>
        </w:rPr>
        <w:t>supporting</w:t>
      </w:r>
      <w:r>
        <w:rPr>
          <w:rFonts w:ascii="Calibri" w:hAnsi="Calibri" w:cs="Calibri"/>
          <w:b/>
          <w:bCs/>
          <w:color w:val="7030A0"/>
          <w:sz w:val="18"/>
          <w:szCs w:val="18"/>
          <w:lang w:val="en-US" w:eastAsia="zh-CN"/>
        </w:rPr>
        <w:t xml:space="preserve"> QoE measurements in mobility scenarios fulfilling SA4 requirements i.e., avoid stopping a QoE measurement for an ongoing session, even if the UE moves across area boundaries?</w:t>
      </w:r>
    </w:p>
    <w:p w14:paraId="09D6380D" w14:textId="77777777" w:rsidR="006A12D6" w:rsidRDefault="006A12D6" w:rsidP="006A12D6">
      <w:pPr>
        <w:spacing w:after="0"/>
        <w:rPr>
          <w:rFonts w:ascii="Calibri" w:hAnsi="Calibri" w:cs="Calibri"/>
          <w:b/>
          <w:bCs/>
          <w:color w:val="7030A0"/>
          <w:sz w:val="18"/>
          <w:szCs w:val="18"/>
          <w:lang w:val="en-US" w:eastAsia="ja-JP"/>
        </w:rPr>
      </w:pPr>
      <w:r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  <w:lastRenderedPageBreak/>
        <w:t>- Sending the release command to the UE upon the UE’s moving outside the configured area for QoE measurement?</w:t>
      </w:r>
    </w:p>
    <w:p w14:paraId="649CC0E9" w14:textId="77777777" w:rsidR="006A12D6" w:rsidRPr="00D463A2" w:rsidRDefault="006A12D6" w:rsidP="007B0A5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7B0A52" w14:paraId="52866F10" w14:textId="77777777" w:rsidTr="00F402A8">
        <w:tc>
          <w:tcPr>
            <w:tcW w:w="1668" w:type="dxa"/>
            <w:shd w:val="clear" w:color="auto" w:fill="auto"/>
          </w:tcPr>
          <w:p w14:paraId="1E940B85" w14:textId="77777777" w:rsidR="007B0A52" w:rsidRDefault="007B0A52" w:rsidP="00DF5331"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 w14:paraId="308AA91C" w14:textId="77777777" w:rsidR="007B0A52" w:rsidRDefault="007B0A52" w:rsidP="00DF5331">
            <w:r>
              <w:t>Comment</w:t>
            </w:r>
          </w:p>
        </w:tc>
      </w:tr>
      <w:tr w:rsidR="007B0A52" w14:paraId="6ED0A362" w14:textId="77777777" w:rsidTr="00F402A8">
        <w:tc>
          <w:tcPr>
            <w:tcW w:w="1668" w:type="dxa"/>
            <w:shd w:val="clear" w:color="auto" w:fill="auto"/>
          </w:tcPr>
          <w:p w14:paraId="0A5F9521" w14:textId="77777777" w:rsidR="007B0A52" w:rsidRDefault="007B0A52" w:rsidP="00DF5331"/>
        </w:tc>
        <w:tc>
          <w:tcPr>
            <w:tcW w:w="7620" w:type="dxa"/>
            <w:shd w:val="clear" w:color="auto" w:fill="auto"/>
          </w:tcPr>
          <w:p w14:paraId="0FE8BE13" w14:textId="77777777" w:rsidR="007B0A52" w:rsidRDefault="007B0A52" w:rsidP="00DF5331"/>
        </w:tc>
      </w:tr>
      <w:tr w:rsidR="007B0A52" w14:paraId="113CDD66" w14:textId="77777777" w:rsidTr="00F402A8">
        <w:tc>
          <w:tcPr>
            <w:tcW w:w="1668" w:type="dxa"/>
            <w:shd w:val="clear" w:color="auto" w:fill="auto"/>
          </w:tcPr>
          <w:p w14:paraId="5518E78D" w14:textId="77777777" w:rsidR="007B0A52" w:rsidRDefault="007B0A52" w:rsidP="00DF5331"/>
        </w:tc>
        <w:tc>
          <w:tcPr>
            <w:tcW w:w="7620" w:type="dxa"/>
            <w:shd w:val="clear" w:color="auto" w:fill="auto"/>
          </w:tcPr>
          <w:p w14:paraId="3777FD4A" w14:textId="77777777" w:rsidR="007B0A52" w:rsidRDefault="007B0A52" w:rsidP="00DF5331"/>
        </w:tc>
      </w:tr>
      <w:tr w:rsidR="007B0A52" w14:paraId="778C5E25" w14:textId="77777777" w:rsidTr="00F402A8">
        <w:tc>
          <w:tcPr>
            <w:tcW w:w="1668" w:type="dxa"/>
            <w:shd w:val="clear" w:color="auto" w:fill="auto"/>
          </w:tcPr>
          <w:p w14:paraId="6706398A" w14:textId="77777777" w:rsidR="007B0A52" w:rsidRDefault="007B0A52" w:rsidP="00DF5331"/>
        </w:tc>
        <w:tc>
          <w:tcPr>
            <w:tcW w:w="7620" w:type="dxa"/>
            <w:shd w:val="clear" w:color="auto" w:fill="auto"/>
          </w:tcPr>
          <w:p w14:paraId="74DA58C4" w14:textId="77777777" w:rsidR="007B0A52" w:rsidRDefault="007B0A52" w:rsidP="00DF5331"/>
        </w:tc>
      </w:tr>
    </w:tbl>
    <w:p w14:paraId="5F04B6E3" w14:textId="2960CB93" w:rsidR="007B0A52" w:rsidRDefault="007B0A52" w:rsidP="007B0A52"/>
    <w:p w14:paraId="091ADDD3" w14:textId="4995AF5F" w:rsidR="00E275C2" w:rsidRDefault="00E275C2" w:rsidP="004E7D99">
      <w:pPr>
        <w:pStyle w:val="Heading3"/>
      </w:pPr>
      <w:r>
        <w:t>3.</w:t>
      </w:r>
      <w:r w:rsidR="004E7D99">
        <w:t>1.2</w:t>
      </w:r>
      <w:r>
        <w:t xml:space="preserve"> Issue 2</w:t>
      </w:r>
      <w:r w:rsidR="001B2C35">
        <w:t xml:space="preserve"> - Measurement reporting continuity in inter-RAT mobility scenarios</w:t>
      </w:r>
    </w:p>
    <w:p w14:paraId="389E2D14" w14:textId="77777777" w:rsidR="00CE714C" w:rsidRDefault="00CE714C" w:rsidP="00CE714C">
      <w:pPr>
        <w:spacing w:after="0"/>
        <w:rPr>
          <w:rFonts w:ascii="Calibri" w:hAnsi="Calibri" w:cs="Calibri"/>
          <w:b/>
          <w:bCs/>
          <w:color w:val="7030A0"/>
          <w:sz w:val="18"/>
          <w:szCs w:val="18"/>
          <w:lang w:val="en-US" w:eastAsia="zh-CN"/>
        </w:rPr>
      </w:pPr>
      <w:r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  <w:t>- Support inter-RAT mobility in R17? Support inter-system mobility in R17? If yes, how to support?</w:t>
      </w:r>
      <w:r>
        <w:rPr>
          <w:rFonts w:ascii="Calibri" w:hAnsi="Calibri" w:cs="Calibri"/>
          <w:b/>
          <w:bCs/>
          <w:color w:val="7030A0"/>
          <w:sz w:val="18"/>
          <w:szCs w:val="18"/>
          <w:lang w:val="en-US" w:eastAsia="zh-CN"/>
        </w:rPr>
        <w:t xml:space="preserve"> </w:t>
      </w:r>
      <w:r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  <w:t>How to handle the case when the target RAT</w:t>
      </w:r>
      <w:r>
        <w:rPr>
          <w:rFonts w:ascii="Calibri" w:hAnsi="Calibri" w:cs="Calibri"/>
          <w:b/>
          <w:bCs/>
          <w:color w:val="7030A0"/>
          <w:sz w:val="18"/>
          <w:szCs w:val="18"/>
          <w:lang w:val="en-US" w:eastAsia="zh-CN"/>
        </w:rPr>
        <w:t>/system</w:t>
      </w:r>
      <w:r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  <w:t xml:space="preserve"> does not support QoE measurement signalling?</w:t>
      </w:r>
    </w:p>
    <w:p w14:paraId="35372F1E" w14:textId="77777777" w:rsidR="001B2C35" w:rsidRPr="00D463A2" w:rsidRDefault="001B2C35" w:rsidP="00E275C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E275C2" w14:paraId="2DF2F129" w14:textId="77777777" w:rsidTr="004F788C">
        <w:tc>
          <w:tcPr>
            <w:tcW w:w="1668" w:type="dxa"/>
            <w:shd w:val="clear" w:color="auto" w:fill="auto"/>
          </w:tcPr>
          <w:p w14:paraId="6C1F6397" w14:textId="77777777" w:rsidR="00E275C2" w:rsidRDefault="00E275C2" w:rsidP="004F788C"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 w14:paraId="0B3C937E" w14:textId="77777777" w:rsidR="00E275C2" w:rsidRDefault="00E275C2" w:rsidP="004F788C">
            <w:r>
              <w:t>Comment</w:t>
            </w:r>
          </w:p>
        </w:tc>
      </w:tr>
      <w:tr w:rsidR="00E275C2" w14:paraId="119FCAD8" w14:textId="77777777" w:rsidTr="004F788C">
        <w:tc>
          <w:tcPr>
            <w:tcW w:w="1668" w:type="dxa"/>
            <w:shd w:val="clear" w:color="auto" w:fill="auto"/>
          </w:tcPr>
          <w:p w14:paraId="5C1A8810" w14:textId="77777777" w:rsidR="00E275C2" w:rsidRDefault="00E275C2" w:rsidP="004F788C"/>
        </w:tc>
        <w:tc>
          <w:tcPr>
            <w:tcW w:w="7620" w:type="dxa"/>
            <w:shd w:val="clear" w:color="auto" w:fill="auto"/>
          </w:tcPr>
          <w:p w14:paraId="00E2A34F" w14:textId="77777777" w:rsidR="00E275C2" w:rsidRDefault="00E275C2" w:rsidP="004F788C"/>
        </w:tc>
      </w:tr>
      <w:tr w:rsidR="00E275C2" w14:paraId="7C7BCFBE" w14:textId="77777777" w:rsidTr="004F788C">
        <w:tc>
          <w:tcPr>
            <w:tcW w:w="1668" w:type="dxa"/>
            <w:shd w:val="clear" w:color="auto" w:fill="auto"/>
          </w:tcPr>
          <w:p w14:paraId="3A357C57" w14:textId="77777777" w:rsidR="00E275C2" w:rsidRDefault="00E275C2" w:rsidP="004F788C"/>
        </w:tc>
        <w:tc>
          <w:tcPr>
            <w:tcW w:w="7620" w:type="dxa"/>
            <w:shd w:val="clear" w:color="auto" w:fill="auto"/>
          </w:tcPr>
          <w:p w14:paraId="30EFD99B" w14:textId="77777777" w:rsidR="00E275C2" w:rsidRDefault="00E275C2" w:rsidP="004F788C"/>
        </w:tc>
      </w:tr>
      <w:tr w:rsidR="00E275C2" w14:paraId="2705247A" w14:textId="77777777" w:rsidTr="004F788C">
        <w:tc>
          <w:tcPr>
            <w:tcW w:w="1668" w:type="dxa"/>
            <w:shd w:val="clear" w:color="auto" w:fill="auto"/>
          </w:tcPr>
          <w:p w14:paraId="34DDB452" w14:textId="77777777" w:rsidR="00E275C2" w:rsidRDefault="00E275C2" w:rsidP="004F788C"/>
        </w:tc>
        <w:tc>
          <w:tcPr>
            <w:tcW w:w="7620" w:type="dxa"/>
            <w:shd w:val="clear" w:color="auto" w:fill="auto"/>
          </w:tcPr>
          <w:p w14:paraId="385B70DA" w14:textId="77777777" w:rsidR="00E275C2" w:rsidRDefault="00E275C2" w:rsidP="004F788C"/>
        </w:tc>
      </w:tr>
    </w:tbl>
    <w:p w14:paraId="016E8CC4" w14:textId="1FB0CAA1" w:rsidR="00E275C2" w:rsidRDefault="00E275C2" w:rsidP="007B0A52"/>
    <w:p w14:paraId="0E3C3ABB" w14:textId="6D5D1A3C" w:rsidR="001B2C35" w:rsidRDefault="001B2C35" w:rsidP="001B2C35">
      <w:pPr>
        <w:pStyle w:val="Heading3"/>
      </w:pPr>
      <w:r>
        <w:t>3.1.</w:t>
      </w:r>
      <w:r w:rsidR="00B9213B">
        <w:t>3</w:t>
      </w:r>
      <w:r>
        <w:t xml:space="preserve"> Issue </w:t>
      </w:r>
      <w:r w:rsidR="00B9213B">
        <w:t>3</w:t>
      </w:r>
      <w:r>
        <w:t xml:space="preserve"> - </w:t>
      </w:r>
      <w:r w:rsidRPr="001B2C35">
        <w:t xml:space="preserve">Management-based QoE </w:t>
      </w:r>
      <w:r w:rsidR="00B9213B">
        <w:t>configuration</w:t>
      </w:r>
      <w:r w:rsidRPr="001B2C35">
        <w:t xml:space="preserve"> overwrit</w:t>
      </w:r>
      <w:r w:rsidR="00B9213B">
        <w:t>ing</w:t>
      </w:r>
      <w:r w:rsidRPr="001B2C35">
        <w:t xml:space="preserve"> a corresponding signalling-based existing configuration</w:t>
      </w:r>
    </w:p>
    <w:p w14:paraId="7ECF0AD0" w14:textId="77777777" w:rsidR="001B2C35" w:rsidRDefault="001B2C35" w:rsidP="001B2C35">
      <w:pPr>
        <w:spacing w:after="0"/>
        <w:ind w:left="144" w:hanging="144"/>
        <w:rPr>
          <w:rFonts w:ascii="Calibri" w:hAnsi="Calibri" w:cs="Calibri"/>
          <w:b/>
          <w:bCs/>
          <w:color w:val="7030A0"/>
          <w:sz w:val="18"/>
          <w:szCs w:val="18"/>
          <w:lang w:val="en-US" w:eastAsia="ja-JP"/>
        </w:rPr>
      </w:pPr>
      <w:r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  <w:t>- Remove FFS on “Management-based QoE measurement shall not overwrite a corresponding signalling-based existing configuration”?</w:t>
      </w:r>
    </w:p>
    <w:p w14:paraId="238CE73E" w14:textId="77777777" w:rsidR="001B2C35" w:rsidRDefault="001B2C35" w:rsidP="001B2C35">
      <w:pPr>
        <w:spacing w:after="0"/>
        <w:ind w:left="144" w:hanging="144"/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</w:pPr>
      <w:r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  <w:t xml:space="preserve">- Framework type indication at mobility? </w:t>
      </w:r>
      <w:r w:rsidRPr="001B2C35"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  <w:t>(i.e., “signalling based” or “management based”)</w:t>
      </w:r>
    </w:p>
    <w:p w14:paraId="5E1D6F9B" w14:textId="77777777" w:rsidR="000D009F" w:rsidRDefault="000D009F" w:rsidP="001B2C35"/>
    <w:p w14:paraId="629B6719" w14:textId="6D046ED9" w:rsidR="001B2C35" w:rsidRPr="00D463A2" w:rsidRDefault="00B9213B" w:rsidP="001B2C35">
      <w:r>
        <w:t>Discussion can be found in (at least) 0529 and 0847. Do we need any solution to avoid that a new m</w:t>
      </w:r>
      <w:r w:rsidRPr="00B9213B">
        <w:t xml:space="preserve">anagement-based QoE </w:t>
      </w:r>
      <w:r>
        <w:t xml:space="preserve">configuration </w:t>
      </w:r>
      <w:r w:rsidRPr="00B9213B">
        <w:t>overwrite</w:t>
      </w:r>
      <w:r>
        <w:t>s</w:t>
      </w:r>
      <w:r w:rsidRPr="00B9213B">
        <w:t xml:space="preserve"> a signalling-based configuration</w:t>
      </w:r>
      <w:r>
        <w:t xml:space="preserve">? Comment on the solution proposed in 0529? Any other solution? The topic </w:t>
      </w:r>
      <w:r w:rsidR="00CE714C">
        <w:t xml:space="preserve">has mobility impact but </w:t>
      </w:r>
      <w:r>
        <w:t xml:space="preserve">also seems linked to whether to support or not multiple QoE configurations in the UE which might be in the scope of the CB </w:t>
      </w:r>
      <w:r w:rsidRPr="00B9213B">
        <w:t>NRQoE3-RANConfig_Report</w:t>
      </w:r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1B2C35" w14:paraId="06DF3CBB" w14:textId="77777777" w:rsidTr="00A8124B">
        <w:tc>
          <w:tcPr>
            <w:tcW w:w="1668" w:type="dxa"/>
            <w:shd w:val="clear" w:color="auto" w:fill="auto"/>
          </w:tcPr>
          <w:p w14:paraId="6E794CD0" w14:textId="77777777" w:rsidR="001B2C35" w:rsidRDefault="001B2C35" w:rsidP="00A8124B"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 w14:paraId="3E84C751" w14:textId="77777777" w:rsidR="001B2C35" w:rsidRDefault="001B2C35" w:rsidP="00A8124B">
            <w:r>
              <w:t>Comment</w:t>
            </w:r>
          </w:p>
        </w:tc>
      </w:tr>
      <w:tr w:rsidR="001B2C35" w14:paraId="2D2285B4" w14:textId="77777777" w:rsidTr="00A8124B">
        <w:tc>
          <w:tcPr>
            <w:tcW w:w="1668" w:type="dxa"/>
            <w:shd w:val="clear" w:color="auto" w:fill="auto"/>
          </w:tcPr>
          <w:p w14:paraId="3D297E4B" w14:textId="77777777" w:rsidR="001B2C35" w:rsidRDefault="001B2C35" w:rsidP="00A8124B"/>
        </w:tc>
        <w:tc>
          <w:tcPr>
            <w:tcW w:w="7620" w:type="dxa"/>
            <w:shd w:val="clear" w:color="auto" w:fill="auto"/>
          </w:tcPr>
          <w:p w14:paraId="7BDECB19" w14:textId="77777777" w:rsidR="001B2C35" w:rsidRDefault="001B2C35" w:rsidP="00A8124B"/>
        </w:tc>
      </w:tr>
      <w:tr w:rsidR="001B2C35" w14:paraId="4FBD92E1" w14:textId="77777777" w:rsidTr="00A8124B">
        <w:tc>
          <w:tcPr>
            <w:tcW w:w="1668" w:type="dxa"/>
            <w:shd w:val="clear" w:color="auto" w:fill="auto"/>
          </w:tcPr>
          <w:p w14:paraId="20701B8A" w14:textId="77777777" w:rsidR="001B2C35" w:rsidRDefault="001B2C35" w:rsidP="00A8124B"/>
        </w:tc>
        <w:tc>
          <w:tcPr>
            <w:tcW w:w="7620" w:type="dxa"/>
            <w:shd w:val="clear" w:color="auto" w:fill="auto"/>
          </w:tcPr>
          <w:p w14:paraId="07DD4C1C" w14:textId="77777777" w:rsidR="001B2C35" w:rsidRDefault="001B2C35" w:rsidP="00A8124B"/>
        </w:tc>
      </w:tr>
      <w:tr w:rsidR="001B2C35" w14:paraId="0C8C827B" w14:textId="77777777" w:rsidTr="00A8124B">
        <w:tc>
          <w:tcPr>
            <w:tcW w:w="1668" w:type="dxa"/>
            <w:shd w:val="clear" w:color="auto" w:fill="auto"/>
          </w:tcPr>
          <w:p w14:paraId="36B8B13C" w14:textId="77777777" w:rsidR="001B2C35" w:rsidRDefault="001B2C35" w:rsidP="00A8124B"/>
        </w:tc>
        <w:tc>
          <w:tcPr>
            <w:tcW w:w="7620" w:type="dxa"/>
            <w:shd w:val="clear" w:color="auto" w:fill="auto"/>
          </w:tcPr>
          <w:p w14:paraId="6674090F" w14:textId="77777777" w:rsidR="001B2C35" w:rsidRDefault="001B2C35" w:rsidP="00A8124B"/>
        </w:tc>
      </w:tr>
    </w:tbl>
    <w:p w14:paraId="05767018" w14:textId="77777777" w:rsidR="001B2C35" w:rsidRDefault="001B2C35" w:rsidP="001B2C35"/>
    <w:p w14:paraId="2BB7002B" w14:textId="4CE60582" w:rsidR="001B2C35" w:rsidRDefault="001B2C35" w:rsidP="001B2C35">
      <w:pPr>
        <w:pStyle w:val="Heading3"/>
      </w:pPr>
      <w:r>
        <w:t xml:space="preserve">3.1.2 Issue </w:t>
      </w:r>
      <w:r w:rsidR="00CE714C">
        <w:t>4 - MR-DC scenario</w:t>
      </w:r>
    </w:p>
    <w:p w14:paraId="3077C32F" w14:textId="7D87B3E4" w:rsidR="00CE714C" w:rsidRDefault="00CE714C" w:rsidP="00CE714C">
      <w:pPr>
        <w:spacing w:after="0"/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</w:pPr>
      <w:r>
        <w:rPr>
          <w:rFonts w:ascii="Calibri" w:hAnsi="Calibri" w:cs="Calibri"/>
          <w:b/>
          <w:bCs/>
          <w:color w:val="7030A0"/>
          <w:sz w:val="18"/>
          <w:szCs w:val="18"/>
          <w:lang w:val="en-US"/>
        </w:rPr>
        <w:t>- Support MR-DC scenario in R17? If yes, how to support?</w:t>
      </w:r>
    </w:p>
    <w:p w14:paraId="5A0D3F84" w14:textId="77777777" w:rsidR="00CE714C" w:rsidRDefault="00CE714C" w:rsidP="00CE714C">
      <w:pPr>
        <w:spacing w:after="0"/>
        <w:rPr>
          <w:rFonts w:ascii="Calibri" w:hAnsi="Calibri" w:cs="Calibri"/>
          <w:b/>
          <w:bCs/>
          <w:color w:val="7030A0"/>
          <w:sz w:val="18"/>
          <w:szCs w:val="18"/>
          <w:lang w:val="en-US"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1B2C35" w14:paraId="1EBCE814" w14:textId="77777777" w:rsidTr="00A8124B">
        <w:tc>
          <w:tcPr>
            <w:tcW w:w="1668" w:type="dxa"/>
            <w:shd w:val="clear" w:color="auto" w:fill="auto"/>
          </w:tcPr>
          <w:p w14:paraId="38936656" w14:textId="77777777" w:rsidR="001B2C35" w:rsidRDefault="001B2C35" w:rsidP="00A8124B"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 w14:paraId="09C9D354" w14:textId="77777777" w:rsidR="001B2C35" w:rsidRDefault="001B2C35" w:rsidP="00A8124B">
            <w:r>
              <w:t>Comment</w:t>
            </w:r>
          </w:p>
        </w:tc>
      </w:tr>
      <w:tr w:rsidR="001B2C35" w14:paraId="0D05186F" w14:textId="77777777" w:rsidTr="00A8124B">
        <w:tc>
          <w:tcPr>
            <w:tcW w:w="1668" w:type="dxa"/>
            <w:shd w:val="clear" w:color="auto" w:fill="auto"/>
          </w:tcPr>
          <w:p w14:paraId="50200156" w14:textId="77777777" w:rsidR="001B2C35" w:rsidRDefault="001B2C35" w:rsidP="00A8124B"/>
        </w:tc>
        <w:tc>
          <w:tcPr>
            <w:tcW w:w="7620" w:type="dxa"/>
            <w:shd w:val="clear" w:color="auto" w:fill="auto"/>
          </w:tcPr>
          <w:p w14:paraId="76E01150" w14:textId="77777777" w:rsidR="001B2C35" w:rsidRDefault="001B2C35" w:rsidP="00A8124B"/>
        </w:tc>
      </w:tr>
      <w:tr w:rsidR="001B2C35" w14:paraId="03AC0891" w14:textId="77777777" w:rsidTr="00A8124B">
        <w:tc>
          <w:tcPr>
            <w:tcW w:w="1668" w:type="dxa"/>
            <w:shd w:val="clear" w:color="auto" w:fill="auto"/>
          </w:tcPr>
          <w:p w14:paraId="1787233B" w14:textId="77777777" w:rsidR="001B2C35" w:rsidRDefault="001B2C35" w:rsidP="00A8124B"/>
        </w:tc>
        <w:tc>
          <w:tcPr>
            <w:tcW w:w="7620" w:type="dxa"/>
            <w:shd w:val="clear" w:color="auto" w:fill="auto"/>
          </w:tcPr>
          <w:p w14:paraId="365F5E29" w14:textId="77777777" w:rsidR="001B2C35" w:rsidRDefault="001B2C35" w:rsidP="00A8124B"/>
        </w:tc>
      </w:tr>
      <w:tr w:rsidR="001B2C35" w14:paraId="241B071C" w14:textId="77777777" w:rsidTr="00A8124B">
        <w:tc>
          <w:tcPr>
            <w:tcW w:w="1668" w:type="dxa"/>
            <w:shd w:val="clear" w:color="auto" w:fill="auto"/>
          </w:tcPr>
          <w:p w14:paraId="79D14298" w14:textId="77777777" w:rsidR="001B2C35" w:rsidRDefault="001B2C35" w:rsidP="00A8124B"/>
        </w:tc>
        <w:tc>
          <w:tcPr>
            <w:tcW w:w="7620" w:type="dxa"/>
            <w:shd w:val="clear" w:color="auto" w:fill="auto"/>
          </w:tcPr>
          <w:p w14:paraId="6BF4A997" w14:textId="77777777" w:rsidR="001B2C35" w:rsidRDefault="001B2C35" w:rsidP="00A8124B"/>
        </w:tc>
      </w:tr>
    </w:tbl>
    <w:p w14:paraId="3BEC7D63" w14:textId="77777777" w:rsidR="001B2C35" w:rsidRDefault="001B2C35" w:rsidP="001B2C35"/>
    <w:p w14:paraId="5C5A45FF" w14:textId="77777777" w:rsidR="001B2C35" w:rsidRDefault="001B2C35" w:rsidP="007B0A52"/>
    <w:p w14:paraId="5F4324DD" w14:textId="4DA3079B" w:rsidR="004E7D99" w:rsidRDefault="004E7D99" w:rsidP="004E7D99">
      <w:pPr>
        <w:pStyle w:val="Heading2"/>
      </w:pPr>
      <w:r>
        <w:t xml:space="preserve">3.2 Phase 2 </w:t>
      </w:r>
      <w:r w:rsidR="00CE714C">
        <w:t>- TP handling</w:t>
      </w:r>
    </w:p>
    <w:p w14:paraId="0267AFA3" w14:textId="20700AF5" w:rsidR="00CE714C" w:rsidRPr="00CE714C" w:rsidRDefault="00CE714C" w:rsidP="00CE714C">
      <w:r>
        <w:t>TBD</w:t>
      </w:r>
    </w:p>
    <w:p w14:paraId="7392BBFF" w14:textId="77777777" w:rsidR="004E7D99" w:rsidRPr="00EC57F9" w:rsidRDefault="004E7D99" w:rsidP="007B0A52"/>
    <w:p w14:paraId="41AF7CA5" w14:textId="393640D8" w:rsidR="007B0A52" w:rsidRPr="006E13D1" w:rsidRDefault="007B0A52" w:rsidP="007B0A52">
      <w:pPr>
        <w:pStyle w:val="Heading1"/>
      </w:pPr>
      <w:r>
        <w:t>4</w:t>
      </w:r>
      <w:r w:rsidRPr="006E13D1">
        <w:tab/>
      </w:r>
      <w:r>
        <w:t>Conclusion, Recommendations [if needed]</w:t>
      </w:r>
    </w:p>
    <w:p w14:paraId="07375FBE" w14:textId="77777777" w:rsidR="007B0A52" w:rsidRPr="00EC57F9" w:rsidRDefault="007B0A52" w:rsidP="007B0A52">
      <w:r>
        <w:t>If needed</w:t>
      </w:r>
    </w:p>
    <w:p w14:paraId="193FD945" w14:textId="683CE106" w:rsidR="00CD4C7B" w:rsidRPr="006E13D1" w:rsidRDefault="007B0A52" w:rsidP="00CD4C7B">
      <w:pPr>
        <w:pStyle w:val="Heading1"/>
      </w:pPr>
      <w:r>
        <w:t>5</w:t>
      </w:r>
      <w:r>
        <w:tab/>
      </w:r>
      <w:r w:rsidR="00CD4C7B" w:rsidRPr="006E13D1">
        <w:t>References</w:t>
      </w:r>
    </w:p>
    <w:p w14:paraId="3EDC206E" w14:textId="10837DCF" w:rsidR="00CD4C7B" w:rsidRPr="006E13D1" w:rsidRDefault="00AF78D5" w:rsidP="00606DA9">
      <w:pPr>
        <w:overflowPunct w:val="0"/>
        <w:autoSpaceDE w:val="0"/>
        <w:autoSpaceDN w:val="0"/>
        <w:adjustRightInd w:val="0"/>
        <w:ind w:left="567" w:hanging="567"/>
        <w:textAlignment w:val="baseline"/>
      </w:pPr>
      <w:bookmarkStart w:id="4" w:name="_Ref75086397"/>
      <w:r>
        <w:t>[</w:t>
      </w:r>
      <w:r w:rsidR="00D628F5">
        <w:t>1</w:t>
      </w:r>
      <w:r>
        <w:t>]</w:t>
      </w:r>
      <w:r>
        <w:tab/>
      </w:r>
      <w:r>
        <w:tab/>
      </w:r>
      <w:r w:rsidR="00E90ABE">
        <w:t>R3-</w:t>
      </w:r>
      <w:r w:rsidR="00540B31">
        <w:t>2</w:t>
      </w:r>
      <w:r w:rsidR="00E828DA">
        <w:t>1</w:t>
      </w:r>
      <w:r w:rsidR="00CD4C7B" w:rsidRPr="006E13D1">
        <w:t xml:space="preserve">xxxx, </w:t>
      </w:r>
      <w:r w:rsidR="00CD4C7B" w:rsidRPr="00606DA9">
        <w:t>Title</w:t>
      </w:r>
      <w:r w:rsidR="00CD4C7B" w:rsidRPr="006E13D1">
        <w:t xml:space="preserve">, </w:t>
      </w:r>
      <w:bookmarkEnd w:id="4"/>
      <w:r w:rsidR="00CD4C7B" w:rsidRPr="006E13D1">
        <w:t>Company</w:t>
      </w:r>
    </w:p>
    <w:p w14:paraId="1DD4FB92" w14:textId="77777777" w:rsidR="00CD4C7B" w:rsidRPr="006E13D1" w:rsidRDefault="00CD4C7B" w:rsidP="00CD4C7B"/>
    <w:p w14:paraId="0EC3E131" w14:textId="77777777" w:rsidR="00CD4C7B" w:rsidRDefault="00CD4C7B" w:rsidP="00CD4C7B"/>
    <w:p w14:paraId="0BA2BD6A" w14:textId="77777777" w:rsidR="00080512" w:rsidRPr="00CD4C7B" w:rsidRDefault="00080512" w:rsidP="00CD4C7B"/>
    <w:sectPr w:rsidR="00080512" w:rsidRPr="00CD4C7B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2F3865" w14:textId="77777777" w:rsidR="0087204A" w:rsidRDefault="0087204A">
      <w:r>
        <w:separator/>
      </w:r>
    </w:p>
  </w:endnote>
  <w:endnote w:type="continuationSeparator" w:id="0">
    <w:p w14:paraId="71A95EE8" w14:textId="77777777" w:rsidR="0087204A" w:rsidRDefault="00872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CC339A" w14:textId="77777777" w:rsidR="0087204A" w:rsidRDefault="0087204A">
      <w:r>
        <w:separator/>
      </w:r>
    </w:p>
  </w:footnote>
  <w:footnote w:type="continuationSeparator" w:id="0">
    <w:p w14:paraId="65FC2232" w14:textId="77777777" w:rsidR="0087204A" w:rsidRDefault="00872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7BCF"/>
    <w:rsid w:val="00021F81"/>
    <w:rsid w:val="00033397"/>
    <w:rsid w:val="000342C7"/>
    <w:rsid w:val="00040095"/>
    <w:rsid w:val="0005563E"/>
    <w:rsid w:val="00080512"/>
    <w:rsid w:val="00083F0D"/>
    <w:rsid w:val="000B7BCF"/>
    <w:rsid w:val="000C556D"/>
    <w:rsid w:val="000D009F"/>
    <w:rsid w:val="000D376D"/>
    <w:rsid w:val="000D58AB"/>
    <w:rsid w:val="001075B7"/>
    <w:rsid w:val="00120DF1"/>
    <w:rsid w:val="001370F2"/>
    <w:rsid w:val="001549DD"/>
    <w:rsid w:val="00194CD0"/>
    <w:rsid w:val="001B08B3"/>
    <w:rsid w:val="001B2C35"/>
    <w:rsid w:val="001C4281"/>
    <w:rsid w:val="001D0D3F"/>
    <w:rsid w:val="001F168B"/>
    <w:rsid w:val="001F70B7"/>
    <w:rsid w:val="0022606D"/>
    <w:rsid w:val="002305DD"/>
    <w:rsid w:val="0024031B"/>
    <w:rsid w:val="00243BC7"/>
    <w:rsid w:val="002623FC"/>
    <w:rsid w:val="002747EC"/>
    <w:rsid w:val="002855BF"/>
    <w:rsid w:val="002E1692"/>
    <w:rsid w:val="002F0D22"/>
    <w:rsid w:val="003172DC"/>
    <w:rsid w:val="00326069"/>
    <w:rsid w:val="003454FC"/>
    <w:rsid w:val="0035462D"/>
    <w:rsid w:val="00363177"/>
    <w:rsid w:val="003B3FB3"/>
    <w:rsid w:val="003C4E37"/>
    <w:rsid w:val="003E16BE"/>
    <w:rsid w:val="003E7223"/>
    <w:rsid w:val="00401855"/>
    <w:rsid w:val="00436258"/>
    <w:rsid w:val="00464695"/>
    <w:rsid w:val="004D3578"/>
    <w:rsid w:val="004D380D"/>
    <w:rsid w:val="004D3F58"/>
    <w:rsid w:val="004D5E47"/>
    <w:rsid w:val="004E213A"/>
    <w:rsid w:val="004E21FC"/>
    <w:rsid w:val="004E7D99"/>
    <w:rsid w:val="00503171"/>
    <w:rsid w:val="005153FE"/>
    <w:rsid w:val="005240A4"/>
    <w:rsid w:val="00534DA0"/>
    <w:rsid w:val="00540B31"/>
    <w:rsid w:val="00543E6C"/>
    <w:rsid w:val="00544635"/>
    <w:rsid w:val="00565087"/>
    <w:rsid w:val="0056573F"/>
    <w:rsid w:val="00565BE9"/>
    <w:rsid w:val="00571CE2"/>
    <w:rsid w:val="00582E0B"/>
    <w:rsid w:val="0058672E"/>
    <w:rsid w:val="005A4971"/>
    <w:rsid w:val="005B1232"/>
    <w:rsid w:val="005B2EEF"/>
    <w:rsid w:val="005B79D2"/>
    <w:rsid w:val="005D4274"/>
    <w:rsid w:val="00605D08"/>
    <w:rsid w:val="00605E3E"/>
    <w:rsid w:val="00606DA9"/>
    <w:rsid w:val="00611566"/>
    <w:rsid w:val="00656E1E"/>
    <w:rsid w:val="006604E4"/>
    <w:rsid w:val="006A12D6"/>
    <w:rsid w:val="006C54B5"/>
    <w:rsid w:val="006D1E24"/>
    <w:rsid w:val="006E6555"/>
    <w:rsid w:val="00702E82"/>
    <w:rsid w:val="00731C31"/>
    <w:rsid w:val="00734A5B"/>
    <w:rsid w:val="00743525"/>
    <w:rsid w:val="00744E76"/>
    <w:rsid w:val="007476DB"/>
    <w:rsid w:val="00757D40"/>
    <w:rsid w:val="00774846"/>
    <w:rsid w:val="00780226"/>
    <w:rsid w:val="00781F0F"/>
    <w:rsid w:val="0078727C"/>
    <w:rsid w:val="0079790F"/>
    <w:rsid w:val="00797D4B"/>
    <w:rsid w:val="007B0A52"/>
    <w:rsid w:val="007C095F"/>
    <w:rsid w:val="007D5902"/>
    <w:rsid w:val="007E3011"/>
    <w:rsid w:val="00802106"/>
    <w:rsid w:val="008028A4"/>
    <w:rsid w:val="00806520"/>
    <w:rsid w:val="00840916"/>
    <w:rsid w:val="008520C6"/>
    <w:rsid w:val="00853EDD"/>
    <w:rsid w:val="008604EE"/>
    <w:rsid w:val="0087204A"/>
    <w:rsid w:val="008768CA"/>
    <w:rsid w:val="00880559"/>
    <w:rsid w:val="0090271F"/>
    <w:rsid w:val="00903D8C"/>
    <w:rsid w:val="00942EC2"/>
    <w:rsid w:val="00954BCB"/>
    <w:rsid w:val="00961B32"/>
    <w:rsid w:val="00971683"/>
    <w:rsid w:val="00972FD7"/>
    <w:rsid w:val="00974BB0"/>
    <w:rsid w:val="0098314E"/>
    <w:rsid w:val="009A6E4F"/>
    <w:rsid w:val="009C4D5C"/>
    <w:rsid w:val="009D0A28"/>
    <w:rsid w:val="009F3B54"/>
    <w:rsid w:val="009F7E6E"/>
    <w:rsid w:val="00A10F02"/>
    <w:rsid w:val="00A32D62"/>
    <w:rsid w:val="00A5074A"/>
    <w:rsid w:val="00A53724"/>
    <w:rsid w:val="00A56A11"/>
    <w:rsid w:val="00A62F66"/>
    <w:rsid w:val="00A64267"/>
    <w:rsid w:val="00A82346"/>
    <w:rsid w:val="00A8361A"/>
    <w:rsid w:val="00A9671C"/>
    <w:rsid w:val="00AD4BCF"/>
    <w:rsid w:val="00AF78D5"/>
    <w:rsid w:val="00B1063A"/>
    <w:rsid w:val="00B15449"/>
    <w:rsid w:val="00B9213B"/>
    <w:rsid w:val="00B9781E"/>
    <w:rsid w:val="00BF79F1"/>
    <w:rsid w:val="00C03035"/>
    <w:rsid w:val="00C3104F"/>
    <w:rsid w:val="00C33079"/>
    <w:rsid w:val="00C43B31"/>
    <w:rsid w:val="00CA3D0C"/>
    <w:rsid w:val="00CA74ED"/>
    <w:rsid w:val="00CB6651"/>
    <w:rsid w:val="00CB6887"/>
    <w:rsid w:val="00CD18C4"/>
    <w:rsid w:val="00CD4C7B"/>
    <w:rsid w:val="00CE714C"/>
    <w:rsid w:val="00D22038"/>
    <w:rsid w:val="00D628F5"/>
    <w:rsid w:val="00D738D6"/>
    <w:rsid w:val="00D80795"/>
    <w:rsid w:val="00D87E00"/>
    <w:rsid w:val="00D9134D"/>
    <w:rsid w:val="00D97CD9"/>
    <w:rsid w:val="00DA7A03"/>
    <w:rsid w:val="00DB1818"/>
    <w:rsid w:val="00DC309B"/>
    <w:rsid w:val="00DC4DA2"/>
    <w:rsid w:val="00DE1406"/>
    <w:rsid w:val="00E07838"/>
    <w:rsid w:val="00E13320"/>
    <w:rsid w:val="00E275C2"/>
    <w:rsid w:val="00E340BC"/>
    <w:rsid w:val="00E4418E"/>
    <w:rsid w:val="00E62835"/>
    <w:rsid w:val="00E77645"/>
    <w:rsid w:val="00E828DA"/>
    <w:rsid w:val="00E852FF"/>
    <w:rsid w:val="00E90ABE"/>
    <w:rsid w:val="00EA22F8"/>
    <w:rsid w:val="00EB0C2C"/>
    <w:rsid w:val="00EC4A25"/>
    <w:rsid w:val="00EE0A1E"/>
    <w:rsid w:val="00F025A2"/>
    <w:rsid w:val="00F2026E"/>
    <w:rsid w:val="00F2210A"/>
    <w:rsid w:val="00F37743"/>
    <w:rsid w:val="00F402A8"/>
    <w:rsid w:val="00F54A3D"/>
    <w:rsid w:val="00F653B8"/>
    <w:rsid w:val="00F76F8F"/>
    <w:rsid w:val="00F93120"/>
    <w:rsid w:val="00FA1266"/>
    <w:rsid w:val="00FB2BEA"/>
    <w:rsid w:val="00FC1192"/>
    <w:rsid w:val="00FF4BAA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330CC9"/>
  <w15:chartTrackingRefBased/>
  <w15:docId w15:val="{1272C275-BF15-47AA-A13B-5FC1D1CE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714C"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Normal"/>
    <w:rsid w:val="00CD4C7B"/>
    <w:pPr>
      <w:spacing w:after="220"/>
    </w:pPr>
    <w:rPr>
      <w:rFonts w:ascii="Arial" w:hAnsi="Arial"/>
      <w:sz w:val="22"/>
      <w:lang w:val="en-US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7476D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476DB"/>
    <w:rPr>
      <w:rFonts w:ascii="Tahoma" w:hAnsi="Tahoma" w:cs="Tahoma"/>
      <w:sz w:val="16"/>
      <w:szCs w:val="16"/>
      <w:lang w:val="en-GB"/>
    </w:rPr>
  </w:style>
  <w:style w:type="character" w:customStyle="1" w:styleId="Heading1Char">
    <w:name w:val="Heading 1 Char"/>
    <w:link w:val="Heading1"/>
    <w:rsid w:val="007B0A52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E275C2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1B2C35"/>
    <w:rPr>
      <w:rFonts w:ascii="Arial" w:hAnsi="Arial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2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74</TotalTime>
  <Pages>3</Pages>
  <Words>553</Words>
  <Characters>3042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3GPP TS ab.cde</vt:lpstr>
      <vt:lpstr>3GPP TS ab.cde</vt:lpstr>
    </vt:vector>
  </TitlesOfParts>
  <Company>Nokia Siemens Networks</Company>
  <LinksUpToDate>false</LinksUpToDate>
  <CharactersWithSpaces>3588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13 |12 |11 | 10 | 9 | 8 | 7 | 6 | 5 | 4)</dc:subject>
  <dc:creator>Benoist Sébire</dc:creator>
  <cp:keywords>&lt;keyword[, keyword, ]&gt;</cp:keywords>
  <cp:lastModifiedBy>Nokia</cp:lastModifiedBy>
  <cp:revision>30</cp:revision>
  <dcterms:created xsi:type="dcterms:W3CDTF">2019-06-29T13:33:00Z</dcterms:created>
  <dcterms:modified xsi:type="dcterms:W3CDTF">2021-01-25T10:41:00Z</dcterms:modified>
</cp:coreProperties>
</file>