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5D2C7C" w14:textId="745A6664" w:rsidR="00214E6A" w:rsidRPr="004A1A95" w:rsidRDefault="00214E6A" w:rsidP="00214E6A">
      <w:pPr>
        <w:pStyle w:val="3GPPHeader"/>
        <w:spacing w:after="60"/>
        <w:rPr>
          <w:sz w:val="32"/>
          <w:szCs w:val="32"/>
        </w:rPr>
      </w:pPr>
      <w:r>
        <w:t>3GPP RAN WG</w:t>
      </w:r>
      <w:r w:rsidR="000225EA">
        <w:t>3</w:t>
      </w:r>
      <w:r>
        <w:t xml:space="preserve"> Meeting #1</w:t>
      </w:r>
      <w:r w:rsidR="000225EA">
        <w:t>1</w:t>
      </w:r>
      <w:r w:rsidR="00E8013E">
        <w:t>1</w:t>
      </w:r>
      <w:r w:rsidR="00721025">
        <w:t>e</w:t>
      </w:r>
      <w:r w:rsidRPr="004A1A95">
        <w:tab/>
      </w:r>
      <w:r w:rsidR="00212B97" w:rsidRPr="00212B97">
        <w:rPr>
          <w:rFonts w:cs="Arial"/>
          <w:bCs/>
          <w:sz w:val="26"/>
          <w:szCs w:val="26"/>
        </w:rPr>
        <w:t>R3-</w:t>
      </w:r>
      <w:proofErr w:type="gramStart"/>
      <w:r w:rsidR="00212B97" w:rsidRPr="00212B97">
        <w:rPr>
          <w:rFonts w:cs="Arial"/>
          <w:bCs/>
          <w:sz w:val="26"/>
          <w:szCs w:val="26"/>
        </w:rPr>
        <w:t>210671</w:t>
      </w:r>
      <w:proofErr w:type="gramEnd"/>
    </w:p>
    <w:p w14:paraId="698051DC" w14:textId="06F927E8" w:rsidR="00214E6A" w:rsidRPr="00702A88" w:rsidRDefault="00AC76A8" w:rsidP="00214E6A">
      <w:pPr>
        <w:pStyle w:val="3GPPHeader"/>
      </w:pPr>
      <w:r>
        <w:t>eMeeting</w:t>
      </w:r>
      <w:r w:rsidR="00721025">
        <w:t>,</w:t>
      </w:r>
      <w:r w:rsidR="00214E6A" w:rsidRPr="00CC0905">
        <w:t xml:space="preserve"> </w:t>
      </w:r>
      <w:r w:rsidR="008F373B">
        <w:t>January 25</w:t>
      </w:r>
      <w:r w:rsidR="008F373B" w:rsidRPr="008F373B">
        <w:rPr>
          <w:vertAlign w:val="superscript"/>
        </w:rPr>
        <w:t>th</w:t>
      </w:r>
      <w:r w:rsidR="008F373B">
        <w:t xml:space="preserve"> - February</w:t>
      </w:r>
      <w:r w:rsidR="00214E6A">
        <w:t xml:space="preserve"> </w:t>
      </w:r>
      <w:r w:rsidR="008F373B">
        <w:t>4</w:t>
      </w:r>
      <w:proofErr w:type="gramStart"/>
      <w:r w:rsidR="008F373B" w:rsidRPr="008F373B">
        <w:rPr>
          <w:vertAlign w:val="superscript"/>
        </w:rPr>
        <w:t>th</w:t>
      </w:r>
      <w:r w:rsidR="008F373B">
        <w:t xml:space="preserve"> </w:t>
      </w:r>
      <w:r w:rsidR="004040A2">
        <w:t>,</w:t>
      </w:r>
      <w:proofErr w:type="gramEnd"/>
      <w:r w:rsidR="00214E6A" w:rsidRPr="00CC0905">
        <w:t xml:space="preserve"> 20</w:t>
      </w:r>
      <w:r w:rsidR="003D2B16">
        <w:t>2</w:t>
      </w:r>
      <w:r w:rsidR="00473B48">
        <w:t>1</w:t>
      </w:r>
      <w:r w:rsidR="00CD05AE">
        <w:t xml:space="preserve"> </w:t>
      </w:r>
    </w:p>
    <w:p w14:paraId="7AD14354" w14:textId="09B28B02"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0225EA">
        <w:rPr>
          <w:sz w:val="22"/>
          <w:szCs w:val="22"/>
          <w:lang w:val="sv-SE"/>
        </w:rPr>
        <w:t>20.2.4</w:t>
      </w:r>
    </w:p>
    <w:p w14:paraId="4910E89F" w14:textId="77777777" w:rsidR="00214E6A" w:rsidRPr="00721025" w:rsidRDefault="00214E6A" w:rsidP="00214E6A">
      <w:pPr>
        <w:pStyle w:val="3GPPHeader"/>
        <w:rPr>
          <w:sz w:val="22"/>
          <w:szCs w:val="22"/>
          <w:lang w:val="en-US"/>
        </w:rPr>
      </w:pPr>
      <w:r w:rsidRPr="00721025">
        <w:rPr>
          <w:sz w:val="22"/>
          <w:szCs w:val="22"/>
          <w:lang w:val="en-US"/>
        </w:rPr>
        <w:t>Source:</w:t>
      </w:r>
      <w:r w:rsidRPr="00721025">
        <w:rPr>
          <w:sz w:val="22"/>
          <w:szCs w:val="22"/>
          <w:lang w:val="en-US"/>
        </w:rPr>
        <w:tab/>
        <w:t>InterDigital</w:t>
      </w:r>
    </w:p>
    <w:p w14:paraId="28B90663" w14:textId="5D6B6054"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E8013E">
        <w:rPr>
          <w:sz w:val="22"/>
          <w:szCs w:val="22"/>
        </w:rPr>
        <w:t>F</w:t>
      </w:r>
      <w:r w:rsidR="00721025">
        <w:rPr>
          <w:sz w:val="22"/>
          <w:szCs w:val="22"/>
        </w:rPr>
        <w:t>eeder link switch</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77777777" w:rsidR="00214E6A" w:rsidRDefault="00214E6A" w:rsidP="00214E6A">
      <w:pPr>
        <w:pStyle w:val="Heading1"/>
      </w:pPr>
      <w:r w:rsidRPr="004A1A95">
        <w:t>Introduction</w:t>
      </w:r>
    </w:p>
    <w:p w14:paraId="109EEAA9" w14:textId="57BBEED1" w:rsidR="00001445" w:rsidRPr="008924A3" w:rsidRDefault="00001445" w:rsidP="00001445">
      <w:pPr>
        <w:spacing w:line="276" w:lineRule="auto"/>
        <w:rPr>
          <w:rFonts w:cs="Arial"/>
          <w:sz w:val="22"/>
          <w:szCs w:val="22"/>
        </w:rPr>
      </w:pPr>
      <w:r w:rsidRPr="008924A3">
        <w:rPr>
          <w:rFonts w:cs="Arial"/>
          <w:sz w:val="22"/>
          <w:szCs w:val="22"/>
        </w:rPr>
        <w:t xml:space="preserve">In RAN #86, the WI for NTN support in NR has been approved with following objectives [1]: </w:t>
      </w:r>
    </w:p>
    <w:p w14:paraId="6647BA36" w14:textId="77777777" w:rsidR="00D370B5" w:rsidRPr="00C415B3" w:rsidRDefault="00D370B5" w:rsidP="00D370B5">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14:paraId="68BF9271" w14:textId="77777777" w:rsidR="00D370B5" w:rsidRDefault="00D370B5" w:rsidP="00D370B5">
      <w:pPr>
        <w:numPr>
          <w:ilvl w:val="0"/>
          <w:numId w:val="14"/>
        </w:numPr>
        <w:spacing w:before="100" w:beforeAutospacing="1" w:after="100" w:afterAutospacing="1"/>
        <w:jc w:val="left"/>
      </w:pPr>
      <w:r w:rsidRPr="00C415B3">
        <w:t xml:space="preserve">to </w:t>
      </w:r>
      <w:r>
        <w:t xml:space="preserve">support feeder </w:t>
      </w:r>
      <w:proofErr w:type="gramStart"/>
      <w:r>
        <w:t>link</w:t>
      </w:r>
      <w:proofErr w:type="gramEnd"/>
      <w:r>
        <w:t xml:space="preserve"> switch over in Transparent payload architecture based LEO scenarios</w:t>
      </w:r>
    </w:p>
    <w:p w14:paraId="1861D750" w14:textId="77777777" w:rsidR="00D370B5" w:rsidRDefault="00D370B5" w:rsidP="00D370B5">
      <w:pPr>
        <w:numPr>
          <w:ilvl w:val="0"/>
          <w:numId w:val="14"/>
        </w:numPr>
        <w:spacing w:before="100" w:beforeAutospacing="1" w:after="100" w:afterAutospacing="1"/>
        <w:jc w:val="left"/>
      </w:pPr>
      <w:r>
        <w:t>network identities handling</w:t>
      </w:r>
    </w:p>
    <w:p w14:paraId="7C8DDEDE" w14:textId="77777777" w:rsidR="00D370B5" w:rsidRDefault="00D370B5" w:rsidP="00D370B5">
      <w:pPr>
        <w:numPr>
          <w:ilvl w:val="0"/>
          <w:numId w:val="14"/>
        </w:numPr>
        <w:spacing w:before="100" w:beforeAutospacing="1" w:after="100" w:afterAutospacing="1"/>
        <w:jc w:val="left"/>
      </w:pPr>
      <w:r>
        <w:t>registration update and paging handling</w:t>
      </w:r>
    </w:p>
    <w:p w14:paraId="45298E5F" w14:textId="2FCFCBB7" w:rsidR="00D370B5" w:rsidRPr="00210570" w:rsidRDefault="00D370B5" w:rsidP="00210570">
      <w:pPr>
        <w:numPr>
          <w:ilvl w:val="0"/>
          <w:numId w:val="14"/>
        </w:numPr>
        <w:spacing w:before="100" w:beforeAutospacing="1" w:after="100" w:afterAutospacing="1"/>
        <w:jc w:val="left"/>
      </w:pPr>
      <w:r w:rsidRPr="00960CB8">
        <w:t>cell relation hand</w:t>
      </w:r>
      <w:r>
        <w:t>l</w:t>
      </w:r>
      <w:r w:rsidRPr="00960CB8">
        <w:t xml:space="preserve">ing and related features </w:t>
      </w:r>
      <w:proofErr w:type="gramStart"/>
      <w:r w:rsidRPr="00960CB8">
        <w:t>e.g.</w:t>
      </w:r>
      <w:proofErr w:type="gramEnd"/>
      <w:r w:rsidRPr="00960CB8">
        <w:t xml:space="preserve"> neighbo</w:t>
      </w:r>
      <w:r>
        <w:t>u</w:t>
      </w:r>
      <w:r w:rsidRPr="00960CB8">
        <w:t xml:space="preserve">rs, ANR, RAN paging … </w:t>
      </w:r>
    </w:p>
    <w:p w14:paraId="02FDB324" w14:textId="1D7790B6" w:rsidR="003334AB" w:rsidRDefault="003334AB" w:rsidP="00001445">
      <w:pPr>
        <w:spacing w:line="276" w:lineRule="auto"/>
        <w:rPr>
          <w:rFonts w:cs="Arial"/>
          <w:sz w:val="22"/>
          <w:szCs w:val="22"/>
        </w:rPr>
      </w:pPr>
      <w:r>
        <w:rPr>
          <w:rFonts w:cs="Arial"/>
          <w:sz w:val="22"/>
          <w:szCs w:val="22"/>
        </w:rPr>
        <w:t xml:space="preserve">In the August meetings the RAN working groups agreed to support both soft and hard feeder link switch, </w:t>
      </w:r>
      <w:bookmarkStart w:id="0" w:name="_Hlk528874692"/>
      <w:r w:rsidR="00473B48">
        <w:rPr>
          <w:rFonts w:cs="Arial"/>
          <w:sz w:val="22"/>
          <w:szCs w:val="22"/>
        </w:rPr>
        <w:t xml:space="preserve">and in the November meeting further discussion narrowed down the ongoing discussion. </w:t>
      </w:r>
      <w:bookmarkEnd w:id="0"/>
    </w:p>
    <w:p w14:paraId="5B6DCEF5" w14:textId="3D8C59D8" w:rsidR="00976850" w:rsidRDefault="00976850" w:rsidP="00001445">
      <w:pPr>
        <w:spacing w:line="276" w:lineRule="auto"/>
        <w:rPr>
          <w:rFonts w:cs="Arial"/>
          <w:sz w:val="22"/>
          <w:szCs w:val="22"/>
        </w:rPr>
      </w:pPr>
      <w:r>
        <w:rPr>
          <w:rFonts w:cs="Arial"/>
          <w:sz w:val="22"/>
          <w:szCs w:val="22"/>
        </w:rPr>
        <w:t>The following agreements were made:</w:t>
      </w:r>
    </w:p>
    <w:p w14:paraId="529B1F31" w14:textId="77777777" w:rsidR="00976850" w:rsidRPr="00976850" w:rsidRDefault="00976850" w:rsidP="00976850">
      <w:pPr>
        <w:spacing w:line="276" w:lineRule="auto"/>
        <w:ind w:left="720"/>
        <w:rPr>
          <w:color w:val="00B050"/>
        </w:rPr>
      </w:pPr>
      <w:r w:rsidRPr="00976850">
        <w:rPr>
          <w:color w:val="00B050"/>
        </w:rPr>
        <w:t>NTN encompasses NTN-GW(s) deployed on ground, NTN payload on board space/airborne vehicle(s) and functions to control the vehicles as well as the radio resources of the NTN payload(s) are out of 3GPP scope.</w:t>
      </w:r>
    </w:p>
    <w:p w14:paraId="24087E75" w14:textId="77777777" w:rsidR="00976850" w:rsidRPr="00976850" w:rsidRDefault="00976850" w:rsidP="00976850">
      <w:pPr>
        <w:spacing w:line="276" w:lineRule="auto"/>
        <w:ind w:left="720"/>
        <w:rPr>
          <w:color w:val="00B050"/>
        </w:rPr>
      </w:pPr>
      <w:r w:rsidRPr="00976850">
        <w:rPr>
          <w:color w:val="00B050"/>
        </w:rPr>
        <w:t>The feeder link switch-over is controlled by NTN control functions which are out of 3GPP scope.</w:t>
      </w:r>
    </w:p>
    <w:p w14:paraId="74E8184E" w14:textId="77777777" w:rsidR="00976850" w:rsidRPr="00976850" w:rsidRDefault="00976850" w:rsidP="00976850">
      <w:pPr>
        <w:spacing w:line="276" w:lineRule="auto"/>
        <w:ind w:left="720"/>
        <w:rPr>
          <w:color w:val="00B050"/>
        </w:rPr>
      </w:pPr>
      <w:r w:rsidRPr="00976850">
        <w:rPr>
          <w:color w:val="00B050"/>
        </w:rPr>
        <w:t xml:space="preserve">It is assumed that the gNB can be informed about the scheduling of switch over events and usable radio resources and possibly the update of neighbouring </w:t>
      </w:r>
      <w:proofErr w:type="gramStart"/>
      <w:r w:rsidRPr="00976850">
        <w:rPr>
          <w:color w:val="00B050"/>
        </w:rPr>
        <w:t>gNBs</w:t>
      </w:r>
      <w:proofErr w:type="gramEnd"/>
      <w:r w:rsidRPr="00976850">
        <w:rPr>
          <w:color w:val="00B050"/>
        </w:rPr>
        <w:t xml:space="preserve"> </w:t>
      </w:r>
    </w:p>
    <w:p w14:paraId="4C5F94F3" w14:textId="27064B09" w:rsidR="00976850" w:rsidRDefault="00976850" w:rsidP="00976850">
      <w:pPr>
        <w:spacing w:line="276" w:lineRule="auto"/>
        <w:ind w:left="720"/>
        <w:rPr>
          <w:color w:val="00B050"/>
        </w:rPr>
      </w:pPr>
      <w:r w:rsidRPr="00976850">
        <w:rPr>
          <w:color w:val="00B050"/>
        </w:rPr>
        <w:t xml:space="preserve">The execution of feeder link switch over may involve procedures over Xn and/or NG </w:t>
      </w:r>
      <w:proofErr w:type="gramStart"/>
      <w:r w:rsidRPr="00976850">
        <w:rPr>
          <w:color w:val="00B050"/>
        </w:rPr>
        <w:t>interfaces</w:t>
      </w:r>
      <w:proofErr w:type="gramEnd"/>
    </w:p>
    <w:p w14:paraId="377959E8" w14:textId="2CE7C42B" w:rsidR="00976850" w:rsidRDefault="0064775B" w:rsidP="00976850">
      <w:pPr>
        <w:spacing w:line="276" w:lineRule="auto"/>
      </w:pPr>
      <w:r>
        <w:t>The following are the guidance for further discussion:</w:t>
      </w:r>
    </w:p>
    <w:p w14:paraId="0FF449DA" w14:textId="77777777" w:rsidR="0064775B" w:rsidRPr="0064775B" w:rsidRDefault="0064775B" w:rsidP="0064775B">
      <w:pPr>
        <w:spacing w:line="276" w:lineRule="auto"/>
        <w:ind w:left="720"/>
        <w:rPr>
          <w:color w:val="FF0000"/>
        </w:rPr>
      </w:pPr>
      <w:r w:rsidRPr="0064775B">
        <w:rPr>
          <w:color w:val="FF0000"/>
        </w:rPr>
        <w:t xml:space="preserve">1: By which entity (e.g. NTN control functions) and how (by signalling or </w:t>
      </w:r>
      <w:proofErr w:type="gramStart"/>
      <w:r w:rsidRPr="0064775B">
        <w:rPr>
          <w:color w:val="FF0000"/>
        </w:rPr>
        <w:t>OAM)  gNB</w:t>
      </w:r>
      <w:proofErr w:type="gramEnd"/>
      <w:r w:rsidRPr="0064775B">
        <w:rPr>
          <w:color w:val="FF0000"/>
        </w:rPr>
        <w:t xml:space="preserve"> can be informed about the scheduling of switch over events and usable radio resources and possibly the update of neighbouring gNBs.</w:t>
      </w:r>
    </w:p>
    <w:p w14:paraId="29C1E519" w14:textId="570865FF" w:rsidR="0064775B" w:rsidRDefault="0064775B" w:rsidP="0064775B">
      <w:pPr>
        <w:spacing w:line="276" w:lineRule="auto"/>
        <w:ind w:left="720"/>
        <w:rPr>
          <w:color w:val="FF0000"/>
        </w:rPr>
      </w:pPr>
      <w:r w:rsidRPr="0064775B">
        <w:rPr>
          <w:color w:val="FF0000"/>
        </w:rPr>
        <w:t>2: The need to exchange updates on cell relation info between RAN nodes via Xn/NG to make proper RRM measurement configuration, and handover preparation (set the target cell id). The details of the procedure/message sequence during feeder link switch over. The principles of how feeder-link switch over works in terms of the role of involved nodes, functions, and exchange of information (</w:t>
      </w:r>
      <w:proofErr w:type="gramStart"/>
      <w:r w:rsidRPr="0064775B">
        <w:rPr>
          <w:color w:val="FF0000"/>
        </w:rPr>
        <w:t>taking into account</w:t>
      </w:r>
      <w:proofErr w:type="gramEnd"/>
      <w:r w:rsidRPr="0064775B">
        <w:rPr>
          <w:color w:val="FF0000"/>
        </w:rPr>
        <w:t xml:space="preserve"> RAN2 outcomes).</w:t>
      </w:r>
    </w:p>
    <w:p w14:paraId="0E7EACB4" w14:textId="207F7D7D" w:rsidR="0064775B" w:rsidRDefault="0064775B" w:rsidP="0064775B">
      <w:pPr>
        <w:spacing w:line="276" w:lineRule="auto"/>
        <w:ind w:left="720"/>
        <w:rPr>
          <w:color w:val="FF0000"/>
        </w:rPr>
      </w:pPr>
      <w:r w:rsidRPr="0064775B">
        <w:rPr>
          <w:color w:val="FF0000"/>
        </w:rPr>
        <w:t xml:space="preserve">3: For soft switch over, the need for enhancing features for hand-over </w:t>
      </w:r>
      <w:r w:rsidR="009321E9" w:rsidRPr="0064775B">
        <w:rPr>
          <w:color w:val="FF0000"/>
        </w:rPr>
        <w:t>and neighbouring</w:t>
      </w:r>
      <w:r w:rsidRPr="0064775B">
        <w:rPr>
          <w:color w:val="FF0000"/>
        </w:rPr>
        <w:t xml:space="preserve"> relationship update (</w:t>
      </w:r>
      <w:proofErr w:type="gramStart"/>
      <w:r w:rsidRPr="0064775B">
        <w:rPr>
          <w:color w:val="FF0000"/>
        </w:rPr>
        <w:t>e.g.</w:t>
      </w:r>
      <w:proofErr w:type="gramEnd"/>
      <w:r w:rsidRPr="0064775B">
        <w:rPr>
          <w:color w:val="FF0000"/>
        </w:rPr>
        <w:t xml:space="preserve"> RACH less, RACH attempts distribution, collective hand-over) that will minimize signalling overhead during feeder link switch over (taking into account RAN2 outcomes).</w:t>
      </w:r>
      <w:r w:rsidR="00F27444">
        <w:rPr>
          <w:color w:val="FF0000"/>
        </w:rPr>
        <w:t xml:space="preserve"> </w:t>
      </w:r>
    </w:p>
    <w:p w14:paraId="2CB426D8" w14:textId="5D1AD06F" w:rsidR="0064775B" w:rsidRPr="0064775B" w:rsidRDefault="0064775B" w:rsidP="0064775B">
      <w:pPr>
        <w:spacing w:line="276" w:lineRule="auto"/>
        <w:ind w:left="720"/>
        <w:rPr>
          <w:color w:val="FF0000"/>
        </w:rPr>
      </w:pPr>
      <w:r w:rsidRPr="0064775B">
        <w:rPr>
          <w:color w:val="FF0000"/>
        </w:rPr>
        <w:t xml:space="preserve">4: For hard switch over, the </w:t>
      </w:r>
      <w:r w:rsidR="009321E9" w:rsidRPr="0064775B">
        <w:rPr>
          <w:color w:val="FF0000"/>
        </w:rPr>
        <w:t>need</w:t>
      </w:r>
      <w:r w:rsidRPr="0064775B">
        <w:rPr>
          <w:color w:val="FF0000"/>
        </w:rPr>
        <w:t xml:space="preserve"> for possible enhancing features to minimize radio link interruption delay.</w:t>
      </w:r>
    </w:p>
    <w:p w14:paraId="164301D1" w14:textId="77777777" w:rsidR="0064775B" w:rsidRPr="0064775B" w:rsidRDefault="0064775B" w:rsidP="0064775B">
      <w:pPr>
        <w:spacing w:line="276" w:lineRule="auto"/>
        <w:ind w:left="720"/>
        <w:rPr>
          <w:color w:val="FF0000"/>
        </w:rPr>
      </w:pPr>
      <w:r w:rsidRPr="0064775B">
        <w:rPr>
          <w:color w:val="FF0000"/>
        </w:rPr>
        <w:t>5: Relationship between NTN system and gNB. (possible TP for an annex of 38.300)</w:t>
      </w:r>
    </w:p>
    <w:p w14:paraId="525D769E" w14:textId="0C34A91C" w:rsidR="0064775B" w:rsidRDefault="0064775B" w:rsidP="0064775B">
      <w:pPr>
        <w:spacing w:line="276" w:lineRule="auto"/>
        <w:ind w:left="720"/>
        <w:rPr>
          <w:color w:val="FF0000"/>
        </w:rPr>
      </w:pPr>
      <w:r w:rsidRPr="0064775B">
        <w:rPr>
          <w:color w:val="FF0000"/>
        </w:rPr>
        <w:lastRenderedPageBreak/>
        <w:t>6: Further discuss a figure illustrating the feeder link switch considering figures in 8.7.1.1.1/2 of TR38.821 as starting point</w:t>
      </w:r>
      <w:r w:rsidR="008D34A9">
        <w:rPr>
          <w:color w:val="FF0000"/>
        </w:rPr>
        <w:t>.</w:t>
      </w:r>
    </w:p>
    <w:p w14:paraId="681B169E" w14:textId="0B08E97D" w:rsidR="008D34A9" w:rsidRPr="008D34A9" w:rsidRDefault="00841B79" w:rsidP="008D34A9">
      <w:pPr>
        <w:spacing w:line="276" w:lineRule="auto"/>
      </w:pPr>
      <w:r>
        <w:t xml:space="preserve">This paper will try to push the discussion forward on </w:t>
      </w:r>
      <w:r w:rsidR="00972FAE">
        <w:t>the RAN3 driven topics.</w:t>
      </w:r>
    </w:p>
    <w:p w14:paraId="736A3CFD" w14:textId="2F9EBA69" w:rsidR="00214E6A" w:rsidRDefault="00214E6A" w:rsidP="00214E6A">
      <w:pPr>
        <w:pStyle w:val="Heading1"/>
      </w:pPr>
      <w:r>
        <w:t>Discussion</w:t>
      </w:r>
    </w:p>
    <w:p w14:paraId="4B262AE5" w14:textId="292B05FE" w:rsidR="00C6277A" w:rsidRDefault="00874160" w:rsidP="00BE6342">
      <w:pPr>
        <w:pStyle w:val="Heading2"/>
      </w:pPr>
      <w:r>
        <w:t>Informing gNBs of Switchover</w:t>
      </w:r>
    </w:p>
    <w:p w14:paraId="53897010" w14:textId="652D857D" w:rsidR="009A1985" w:rsidRDefault="009A1985" w:rsidP="009A1985">
      <w:pPr>
        <w:rPr>
          <w:sz w:val="22"/>
          <w:szCs w:val="22"/>
        </w:rPr>
      </w:pPr>
      <w:r w:rsidRPr="009A1985">
        <w:rPr>
          <w:sz w:val="22"/>
          <w:szCs w:val="22"/>
        </w:rPr>
        <w:t xml:space="preserve">As has been agreed </w:t>
      </w:r>
      <w:r>
        <w:rPr>
          <w:sz w:val="22"/>
          <w:szCs w:val="22"/>
        </w:rPr>
        <w:t xml:space="preserve">the NTN control functions are the entity that moves the actual feeder link switch, the question is how </w:t>
      </w:r>
      <w:r w:rsidR="00593882">
        <w:rPr>
          <w:sz w:val="22"/>
          <w:szCs w:val="22"/>
        </w:rPr>
        <w:t xml:space="preserve">the gNBs (including neighbours find out about the switchover). Note this applies to both a hard </w:t>
      </w:r>
      <w:proofErr w:type="gramStart"/>
      <w:r w:rsidR="00593882">
        <w:rPr>
          <w:sz w:val="22"/>
          <w:szCs w:val="22"/>
        </w:rPr>
        <w:t>or</w:t>
      </w:r>
      <w:proofErr w:type="gramEnd"/>
      <w:r w:rsidR="00593882">
        <w:rPr>
          <w:sz w:val="22"/>
          <w:szCs w:val="22"/>
        </w:rPr>
        <w:t xml:space="preserve"> a soft switchover. </w:t>
      </w:r>
    </w:p>
    <w:p w14:paraId="51544AA4" w14:textId="300BAB35" w:rsidR="0038598C" w:rsidRDefault="00593882" w:rsidP="009A1985">
      <w:pPr>
        <w:rPr>
          <w:sz w:val="22"/>
          <w:szCs w:val="22"/>
        </w:rPr>
      </w:pPr>
      <w:r>
        <w:rPr>
          <w:sz w:val="22"/>
          <w:szCs w:val="22"/>
        </w:rPr>
        <w:t xml:space="preserve">It is of course possible for O&amp;M or a connection between NTN control and the gNB to fully notify </w:t>
      </w:r>
      <w:proofErr w:type="gramStart"/>
      <w:r>
        <w:rPr>
          <w:sz w:val="22"/>
          <w:szCs w:val="22"/>
        </w:rPr>
        <w:t>all of</w:t>
      </w:r>
      <w:proofErr w:type="gramEnd"/>
      <w:r>
        <w:rPr>
          <w:sz w:val="22"/>
          <w:szCs w:val="22"/>
        </w:rPr>
        <w:t xml:space="preserve"> the gNBs that </w:t>
      </w:r>
      <w:r w:rsidR="00125E5C">
        <w:rPr>
          <w:sz w:val="22"/>
          <w:szCs w:val="22"/>
        </w:rPr>
        <w:t>need to understand an upcoming change. However</w:t>
      </w:r>
      <w:r w:rsidR="009C30B0">
        <w:rPr>
          <w:sz w:val="22"/>
          <w:szCs w:val="22"/>
        </w:rPr>
        <w:t>.</w:t>
      </w:r>
      <w:r w:rsidR="00125E5C">
        <w:rPr>
          <w:sz w:val="22"/>
          <w:szCs w:val="22"/>
        </w:rPr>
        <w:t xml:space="preserve"> in a fully operational system (including SON and other neighbour relations processes</w:t>
      </w:r>
      <w:r w:rsidR="003F0A9C">
        <w:rPr>
          <w:sz w:val="22"/>
          <w:szCs w:val="22"/>
        </w:rPr>
        <w:t xml:space="preserve"> which have not been discussed, of course</w:t>
      </w:r>
      <w:r w:rsidR="00125E5C">
        <w:rPr>
          <w:sz w:val="22"/>
          <w:szCs w:val="22"/>
        </w:rPr>
        <w:t xml:space="preserve">), a feeder link switch will potentially have </w:t>
      </w:r>
      <w:r w:rsidR="003F0A9C">
        <w:rPr>
          <w:sz w:val="22"/>
          <w:szCs w:val="22"/>
        </w:rPr>
        <w:t>more than just the switchover message (whether it is via O&amp;M</w:t>
      </w:r>
      <w:r w:rsidR="00E519F5">
        <w:rPr>
          <w:sz w:val="22"/>
          <w:szCs w:val="22"/>
        </w:rPr>
        <w:t>/NTN Control</w:t>
      </w:r>
      <w:r w:rsidR="003F0A9C">
        <w:rPr>
          <w:sz w:val="22"/>
          <w:szCs w:val="22"/>
        </w:rPr>
        <w:t xml:space="preserve"> or over a RAN3 open interface</w:t>
      </w:r>
      <w:r w:rsidR="00E519F5">
        <w:rPr>
          <w:sz w:val="22"/>
          <w:szCs w:val="22"/>
        </w:rPr>
        <w:t xml:space="preserve">). </w:t>
      </w:r>
      <w:r w:rsidR="0038598C">
        <w:rPr>
          <w:sz w:val="22"/>
          <w:szCs w:val="22"/>
        </w:rPr>
        <w:t xml:space="preserve">Therefore, we believe it is best to have this first procedure over the open interface. </w:t>
      </w:r>
    </w:p>
    <w:p w14:paraId="0D24BCAD" w14:textId="77777777" w:rsidR="0038598C" w:rsidRPr="000F21E9" w:rsidRDefault="0038598C" w:rsidP="0038598C">
      <w:pPr>
        <w:spacing w:line="276" w:lineRule="auto"/>
        <w:rPr>
          <w:rFonts w:eastAsia="Calibri" w:cs="Arial"/>
          <w:bCs/>
          <w:i/>
          <w:iCs/>
          <w:sz w:val="22"/>
          <w:szCs w:val="22"/>
        </w:rPr>
      </w:pPr>
      <w:r>
        <w:rPr>
          <w:rFonts w:eastAsia="Calibri" w:cs="Arial"/>
          <w:b/>
          <w:i/>
          <w:iCs/>
          <w:sz w:val="22"/>
          <w:szCs w:val="22"/>
        </w:rPr>
        <w:t>Proposal</w:t>
      </w:r>
      <w:r w:rsidRPr="00733B56">
        <w:rPr>
          <w:rFonts w:eastAsia="Calibri" w:cs="Arial"/>
          <w:b/>
          <w:i/>
          <w:iCs/>
          <w:sz w:val="22"/>
          <w:szCs w:val="22"/>
        </w:rPr>
        <w:t xml:space="preserve"> </w:t>
      </w:r>
      <w:r>
        <w:rPr>
          <w:rFonts w:eastAsia="Calibri" w:cs="Arial"/>
          <w:b/>
          <w:i/>
          <w:iCs/>
          <w:sz w:val="22"/>
          <w:szCs w:val="22"/>
        </w:rPr>
        <w:t xml:space="preserve">1: </w:t>
      </w:r>
      <w:r>
        <w:rPr>
          <w:rFonts w:eastAsia="Calibri" w:cs="Arial"/>
          <w:bCs/>
          <w:i/>
          <w:iCs/>
          <w:sz w:val="22"/>
          <w:szCs w:val="22"/>
        </w:rPr>
        <w:t>A</w:t>
      </w:r>
      <w:r w:rsidRPr="0023454C">
        <w:rPr>
          <w:rFonts w:eastAsia="Calibri" w:cs="Arial"/>
          <w:bCs/>
          <w:i/>
          <w:iCs/>
          <w:sz w:val="22"/>
          <w:szCs w:val="22"/>
        </w:rPr>
        <w:t xml:space="preserve"> XN Satellite Connection Request, Satellite Connection Request Acknowledge and Satellite Connection Request Reject are needed</w:t>
      </w:r>
      <w:r>
        <w:rPr>
          <w:rFonts w:eastAsia="Calibri" w:cs="Arial"/>
          <w:bCs/>
          <w:i/>
          <w:iCs/>
          <w:sz w:val="22"/>
          <w:szCs w:val="22"/>
        </w:rPr>
        <w:t>.</w:t>
      </w:r>
    </w:p>
    <w:p w14:paraId="030AFCAD" w14:textId="3DE56063" w:rsidR="0038598C" w:rsidRDefault="00E20839" w:rsidP="009A1985">
      <w:pPr>
        <w:rPr>
          <w:sz w:val="22"/>
          <w:szCs w:val="22"/>
        </w:rPr>
      </w:pPr>
      <w:r>
        <w:rPr>
          <w:sz w:val="22"/>
          <w:szCs w:val="22"/>
        </w:rPr>
        <w:t>And since a similar argument can be made for hard switch, a similar procedure should be used for the hard switch</w:t>
      </w:r>
      <w:r w:rsidR="00BF14B2">
        <w:rPr>
          <w:sz w:val="22"/>
          <w:szCs w:val="22"/>
        </w:rPr>
        <w:t>.</w:t>
      </w:r>
    </w:p>
    <w:p w14:paraId="2B9AF6E5" w14:textId="77777777" w:rsidR="00BF14B2" w:rsidRPr="000F21E9" w:rsidRDefault="00BF14B2" w:rsidP="00BF14B2">
      <w:pPr>
        <w:spacing w:line="276" w:lineRule="auto"/>
        <w:rPr>
          <w:rFonts w:eastAsia="Calibri" w:cs="Arial"/>
          <w:bCs/>
          <w:i/>
          <w:iCs/>
          <w:sz w:val="22"/>
          <w:szCs w:val="22"/>
        </w:rPr>
      </w:pPr>
      <w:r>
        <w:rPr>
          <w:rFonts w:eastAsia="Calibri" w:cs="Arial"/>
          <w:b/>
          <w:i/>
          <w:iCs/>
          <w:sz w:val="22"/>
          <w:szCs w:val="22"/>
        </w:rPr>
        <w:t>Proposal</w:t>
      </w:r>
      <w:r w:rsidRPr="00733B56">
        <w:rPr>
          <w:rFonts w:eastAsia="Calibri" w:cs="Arial"/>
          <w:b/>
          <w:i/>
          <w:iCs/>
          <w:sz w:val="22"/>
          <w:szCs w:val="22"/>
        </w:rPr>
        <w:t xml:space="preserve"> </w:t>
      </w:r>
      <w:r>
        <w:rPr>
          <w:rFonts w:eastAsia="Calibri" w:cs="Arial"/>
          <w:b/>
          <w:i/>
          <w:iCs/>
          <w:sz w:val="22"/>
          <w:szCs w:val="22"/>
        </w:rPr>
        <w:t xml:space="preserve">2: </w:t>
      </w:r>
      <w:r>
        <w:rPr>
          <w:rFonts w:eastAsia="Calibri" w:cs="Arial"/>
          <w:bCs/>
          <w:i/>
          <w:iCs/>
          <w:sz w:val="22"/>
          <w:szCs w:val="22"/>
        </w:rPr>
        <w:t>The same</w:t>
      </w:r>
      <w:r w:rsidRPr="0023454C">
        <w:rPr>
          <w:rFonts w:eastAsia="Calibri" w:cs="Arial"/>
          <w:bCs/>
          <w:i/>
          <w:iCs/>
          <w:sz w:val="22"/>
          <w:szCs w:val="22"/>
        </w:rPr>
        <w:t xml:space="preserve"> XN Satellite Connection Request, Satellite Connection Request Acknowledge and Satellite Connection Request Reject are needed</w:t>
      </w:r>
      <w:r>
        <w:rPr>
          <w:rFonts w:eastAsia="Calibri" w:cs="Arial"/>
          <w:bCs/>
          <w:i/>
          <w:iCs/>
          <w:sz w:val="22"/>
          <w:szCs w:val="22"/>
        </w:rPr>
        <w:t xml:space="preserve"> with a time reference for the hard switch.</w:t>
      </w:r>
    </w:p>
    <w:p w14:paraId="2F101D3D" w14:textId="7291A980" w:rsidR="00E20839" w:rsidRDefault="00B16694" w:rsidP="009A1985">
      <w:pPr>
        <w:rPr>
          <w:sz w:val="22"/>
          <w:szCs w:val="22"/>
        </w:rPr>
      </w:pPr>
      <w:r>
        <w:rPr>
          <w:sz w:val="22"/>
          <w:szCs w:val="22"/>
        </w:rPr>
        <w:t>Whether NG interfaces need to be affected is dependent on whether inter-PLMN feeder link switchover needs to be supported. If so the way to do it that is most consistent with past work is to do via transparent containers over the NG interface.</w:t>
      </w:r>
    </w:p>
    <w:p w14:paraId="33CDF2F4" w14:textId="4C4F4318" w:rsidR="00B16694" w:rsidRPr="000F21E9" w:rsidRDefault="00B16694" w:rsidP="00B16694">
      <w:pPr>
        <w:spacing w:line="276" w:lineRule="auto"/>
        <w:rPr>
          <w:rFonts w:eastAsia="Calibri" w:cs="Arial"/>
          <w:bCs/>
          <w:i/>
          <w:iCs/>
          <w:sz w:val="22"/>
          <w:szCs w:val="22"/>
        </w:rPr>
      </w:pPr>
      <w:r>
        <w:rPr>
          <w:rFonts w:eastAsia="Calibri" w:cs="Arial"/>
          <w:b/>
          <w:i/>
          <w:iCs/>
          <w:sz w:val="22"/>
          <w:szCs w:val="22"/>
        </w:rPr>
        <w:t>Proposal</w:t>
      </w:r>
      <w:r w:rsidRPr="00733B56">
        <w:rPr>
          <w:rFonts w:eastAsia="Calibri" w:cs="Arial"/>
          <w:b/>
          <w:i/>
          <w:iCs/>
          <w:sz w:val="22"/>
          <w:szCs w:val="22"/>
        </w:rPr>
        <w:t xml:space="preserve"> </w:t>
      </w:r>
      <w:r>
        <w:rPr>
          <w:rFonts w:eastAsia="Calibri" w:cs="Arial"/>
          <w:b/>
          <w:i/>
          <w:iCs/>
          <w:sz w:val="22"/>
          <w:szCs w:val="22"/>
        </w:rPr>
        <w:t xml:space="preserve">3: </w:t>
      </w:r>
      <w:r w:rsidR="00F80302">
        <w:rPr>
          <w:rFonts w:eastAsia="Calibri" w:cs="Arial"/>
          <w:bCs/>
          <w:i/>
          <w:iCs/>
          <w:sz w:val="22"/>
          <w:szCs w:val="22"/>
        </w:rPr>
        <w:t xml:space="preserve">Whether these switchover procedures are needed </w:t>
      </w:r>
      <w:r w:rsidR="000C5EA9">
        <w:rPr>
          <w:rFonts w:eastAsia="Calibri" w:cs="Arial"/>
          <w:bCs/>
          <w:i/>
          <w:iCs/>
          <w:sz w:val="22"/>
          <w:szCs w:val="22"/>
        </w:rPr>
        <w:t xml:space="preserve">over the NG interface in addition to the XN is FFS, if it is needed this can be done </w:t>
      </w:r>
      <w:proofErr w:type="gramStart"/>
      <w:r w:rsidR="000C5EA9">
        <w:rPr>
          <w:rFonts w:eastAsia="Calibri" w:cs="Arial"/>
          <w:bCs/>
          <w:i/>
          <w:iCs/>
          <w:sz w:val="22"/>
          <w:szCs w:val="22"/>
        </w:rPr>
        <w:t>by the use of</w:t>
      </w:r>
      <w:proofErr w:type="gramEnd"/>
      <w:r w:rsidR="000C5EA9">
        <w:rPr>
          <w:rFonts w:eastAsia="Calibri" w:cs="Arial"/>
          <w:bCs/>
          <w:i/>
          <w:iCs/>
          <w:sz w:val="22"/>
          <w:szCs w:val="22"/>
        </w:rPr>
        <w:t xml:space="preserve"> transparent containers to handle the inter-PLMN </w:t>
      </w:r>
      <w:r w:rsidR="000D3DE5">
        <w:rPr>
          <w:rFonts w:eastAsia="Calibri" w:cs="Arial"/>
          <w:bCs/>
          <w:i/>
          <w:iCs/>
          <w:sz w:val="22"/>
          <w:szCs w:val="22"/>
        </w:rPr>
        <w:t>information.</w:t>
      </w:r>
    </w:p>
    <w:p w14:paraId="26B5FAD1" w14:textId="65364732" w:rsidR="00CE1F4B" w:rsidRDefault="00AA5ABD" w:rsidP="00BE6342">
      <w:pPr>
        <w:pStyle w:val="Heading2"/>
      </w:pPr>
      <w:r>
        <w:t>Cell relation information</w:t>
      </w:r>
    </w:p>
    <w:p w14:paraId="6C452062" w14:textId="52874729" w:rsidR="00AA5ABD" w:rsidRDefault="00AA5ABD" w:rsidP="00AA5ABD">
      <w:pPr>
        <w:rPr>
          <w:sz w:val="22"/>
          <w:szCs w:val="22"/>
        </w:rPr>
      </w:pPr>
      <w:r w:rsidRPr="00AA5ABD">
        <w:rPr>
          <w:sz w:val="22"/>
          <w:szCs w:val="22"/>
        </w:rPr>
        <w:t xml:space="preserve">The need to discuss </w:t>
      </w:r>
      <w:r w:rsidR="00CB0019">
        <w:rPr>
          <w:sz w:val="22"/>
          <w:szCs w:val="22"/>
        </w:rPr>
        <w:t>the</w:t>
      </w:r>
      <w:r w:rsidRPr="00AA5ABD">
        <w:rPr>
          <w:sz w:val="22"/>
          <w:szCs w:val="22"/>
        </w:rPr>
        <w:t xml:space="preserve"> exchange </w:t>
      </w:r>
      <w:r w:rsidR="00CB0019">
        <w:rPr>
          <w:sz w:val="22"/>
          <w:szCs w:val="22"/>
        </w:rPr>
        <w:t xml:space="preserve">of </w:t>
      </w:r>
      <w:r w:rsidRPr="00AA5ABD">
        <w:rPr>
          <w:sz w:val="22"/>
          <w:szCs w:val="22"/>
        </w:rPr>
        <w:t>updates on cell relation info between RAN nodes via Xn/NG to make proper RRM measurement configuration, and handover preparation (set the target cell id</w:t>
      </w:r>
      <w:r>
        <w:rPr>
          <w:sz w:val="22"/>
          <w:szCs w:val="22"/>
        </w:rPr>
        <w:t>) is recognized as an issue.</w:t>
      </w:r>
    </w:p>
    <w:p w14:paraId="628C6593" w14:textId="60D8FEEC" w:rsidR="00AA5ABD" w:rsidRDefault="00AA5ABD" w:rsidP="00AA5ABD">
      <w:pPr>
        <w:rPr>
          <w:sz w:val="22"/>
          <w:szCs w:val="22"/>
        </w:rPr>
      </w:pPr>
      <w:r>
        <w:rPr>
          <w:sz w:val="22"/>
          <w:szCs w:val="22"/>
        </w:rPr>
        <w:t xml:space="preserve">We feel that this is almost an overlap of the discussion in agenda item </w:t>
      </w:r>
      <w:r w:rsidR="00CB0019">
        <w:rPr>
          <w:sz w:val="22"/>
          <w:szCs w:val="22"/>
        </w:rPr>
        <w:t xml:space="preserve">20.2.3 on general cell relation handling. A common solution </w:t>
      </w:r>
      <w:r w:rsidR="00E17994">
        <w:rPr>
          <w:sz w:val="22"/>
          <w:szCs w:val="22"/>
        </w:rPr>
        <w:t>for the updates of target cell ids and proper RRM measurement configuration should be done</w:t>
      </w:r>
      <w:r w:rsidR="00112275">
        <w:rPr>
          <w:sz w:val="22"/>
          <w:szCs w:val="22"/>
        </w:rPr>
        <w:t xml:space="preserve"> in line with the general handling of cell relations since this includes predictable switchovers in the time domain, and thus with configuration of a super set of RRM measurement and cell relations with either a fixed activation/deactivation time or a message to turn off one configuration and activate another.</w:t>
      </w:r>
    </w:p>
    <w:p w14:paraId="778E0C72" w14:textId="6C06B5D6" w:rsidR="00AA5ABD" w:rsidRPr="00AA5ABD" w:rsidRDefault="00112275" w:rsidP="00AA5ABD">
      <w:pPr>
        <w:rPr>
          <w:sz w:val="22"/>
          <w:szCs w:val="22"/>
        </w:rPr>
      </w:pPr>
      <w:r>
        <w:rPr>
          <w:rFonts w:eastAsia="Calibri" w:cs="Arial"/>
          <w:b/>
          <w:i/>
          <w:iCs/>
          <w:sz w:val="22"/>
          <w:szCs w:val="22"/>
        </w:rPr>
        <w:t>Proposal</w:t>
      </w:r>
      <w:r w:rsidRPr="00733B56">
        <w:rPr>
          <w:rFonts w:eastAsia="Calibri" w:cs="Arial"/>
          <w:b/>
          <w:i/>
          <w:iCs/>
          <w:sz w:val="22"/>
          <w:szCs w:val="22"/>
        </w:rPr>
        <w:t xml:space="preserve"> </w:t>
      </w:r>
      <w:r>
        <w:rPr>
          <w:rFonts w:eastAsia="Calibri" w:cs="Arial"/>
          <w:b/>
          <w:i/>
          <w:iCs/>
          <w:sz w:val="22"/>
          <w:szCs w:val="22"/>
        </w:rPr>
        <w:t>4:</w:t>
      </w:r>
      <w:r w:rsidR="00826130">
        <w:rPr>
          <w:rFonts w:eastAsia="Calibri" w:cs="Arial"/>
          <w:b/>
          <w:i/>
          <w:iCs/>
          <w:sz w:val="22"/>
          <w:szCs w:val="22"/>
        </w:rPr>
        <w:t xml:space="preserve"> </w:t>
      </w:r>
      <w:r w:rsidR="00826130">
        <w:rPr>
          <w:rFonts w:eastAsia="Calibri" w:cs="Arial"/>
          <w:bCs/>
          <w:i/>
          <w:iCs/>
          <w:sz w:val="22"/>
          <w:szCs w:val="22"/>
        </w:rPr>
        <w:t xml:space="preserve">Target cell id and proper RRM measurement configuration should be signalled over open interfaces to allow for a common method of handling changes in cell configuration </w:t>
      </w:r>
      <w:r w:rsidR="00D82DFD">
        <w:rPr>
          <w:rFonts w:eastAsia="Calibri" w:cs="Arial"/>
          <w:bCs/>
          <w:i/>
          <w:iCs/>
          <w:sz w:val="22"/>
          <w:szCs w:val="22"/>
        </w:rPr>
        <w:t>from switchover (soft or hard) Probably at cell setup since the relations will be active at predetermined times and thus can be either valid for a fixed time</w:t>
      </w:r>
      <w:r w:rsidR="00DF64E9">
        <w:rPr>
          <w:rFonts w:eastAsia="Calibri" w:cs="Arial"/>
          <w:bCs/>
          <w:i/>
          <w:iCs/>
          <w:sz w:val="22"/>
          <w:szCs w:val="22"/>
        </w:rPr>
        <w:t>-</w:t>
      </w:r>
      <w:r w:rsidR="00D82DFD">
        <w:rPr>
          <w:rFonts w:eastAsia="Calibri" w:cs="Arial"/>
          <w:bCs/>
          <w:i/>
          <w:iCs/>
          <w:sz w:val="22"/>
          <w:szCs w:val="22"/>
        </w:rPr>
        <w:t>period or switched easily if needed</w:t>
      </w:r>
      <w:r w:rsidR="00DF64E9">
        <w:rPr>
          <w:rFonts w:eastAsia="Calibri" w:cs="Arial"/>
          <w:bCs/>
          <w:i/>
          <w:iCs/>
          <w:sz w:val="22"/>
          <w:szCs w:val="22"/>
        </w:rPr>
        <w:t>,</w:t>
      </w:r>
      <w:r w:rsidR="00D82DFD">
        <w:rPr>
          <w:rFonts w:eastAsia="Calibri" w:cs="Arial"/>
          <w:bCs/>
          <w:i/>
          <w:iCs/>
          <w:sz w:val="22"/>
          <w:szCs w:val="22"/>
        </w:rPr>
        <w:t xml:space="preserve"> instead of a complete reconfiguration. </w:t>
      </w:r>
    </w:p>
    <w:p w14:paraId="0B6D7D6F" w14:textId="77777777" w:rsidR="00214E6A" w:rsidRPr="004A1A95" w:rsidRDefault="00214E6A" w:rsidP="00214E6A">
      <w:pPr>
        <w:pStyle w:val="Heading1"/>
      </w:pPr>
      <w:r w:rsidRPr="004A1A95">
        <w:lastRenderedPageBreak/>
        <w:t>Conclusion</w:t>
      </w:r>
    </w:p>
    <w:p w14:paraId="1C3493F4" w14:textId="2EBC2801" w:rsidR="003334AB" w:rsidRDefault="0023454C" w:rsidP="00C6277A">
      <w:pPr>
        <w:tabs>
          <w:tab w:val="left" w:pos="0"/>
        </w:tabs>
        <w:rPr>
          <w:sz w:val="22"/>
        </w:rPr>
      </w:pPr>
      <w:r>
        <w:rPr>
          <w:sz w:val="22"/>
        </w:rPr>
        <w:t>The following are the conclusions for the impact on RAN3 specifications for feeder link switch:</w:t>
      </w:r>
    </w:p>
    <w:p w14:paraId="6F493019" w14:textId="77777777" w:rsidR="0080411D" w:rsidRPr="000F21E9" w:rsidRDefault="0080411D" w:rsidP="0080411D">
      <w:pPr>
        <w:spacing w:line="276" w:lineRule="auto"/>
        <w:rPr>
          <w:rFonts w:eastAsia="Calibri" w:cs="Arial"/>
          <w:bCs/>
          <w:i/>
          <w:iCs/>
          <w:sz w:val="22"/>
          <w:szCs w:val="22"/>
        </w:rPr>
      </w:pPr>
      <w:r>
        <w:rPr>
          <w:rFonts w:eastAsia="Calibri" w:cs="Arial"/>
          <w:b/>
          <w:i/>
          <w:iCs/>
          <w:sz w:val="22"/>
          <w:szCs w:val="22"/>
        </w:rPr>
        <w:t>Proposal</w:t>
      </w:r>
      <w:r w:rsidRPr="00733B56">
        <w:rPr>
          <w:rFonts w:eastAsia="Calibri" w:cs="Arial"/>
          <w:b/>
          <w:i/>
          <w:iCs/>
          <w:sz w:val="22"/>
          <w:szCs w:val="22"/>
        </w:rPr>
        <w:t xml:space="preserve"> </w:t>
      </w:r>
      <w:r>
        <w:rPr>
          <w:rFonts w:eastAsia="Calibri" w:cs="Arial"/>
          <w:b/>
          <w:i/>
          <w:iCs/>
          <w:sz w:val="22"/>
          <w:szCs w:val="22"/>
        </w:rPr>
        <w:t xml:space="preserve">1: </w:t>
      </w:r>
      <w:r>
        <w:rPr>
          <w:rFonts w:eastAsia="Calibri" w:cs="Arial"/>
          <w:bCs/>
          <w:i/>
          <w:iCs/>
          <w:sz w:val="22"/>
          <w:szCs w:val="22"/>
        </w:rPr>
        <w:t>A</w:t>
      </w:r>
      <w:r w:rsidRPr="0023454C">
        <w:rPr>
          <w:rFonts w:eastAsia="Calibri" w:cs="Arial"/>
          <w:bCs/>
          <w:i/>
          <w:iCs/>
          <w:sz w:val="22"/>
          <w:szCs w:val="22"/>
        </w:rPr>
        <w:t xml:space="preserve"> XN Satellite Connection Request, Satellite Connection Request Acknowledge and Satellite Connection Request Reject are needed</w:t>
      </w:r>
      <w:r>
        <w:rPr>
          <w:rFonts w:eastAsia="Calibri" w:cs="Arial"/>
          <w:bCs/>
          <w:i/>
          <w:iCs/>
          <w:sz w:val="22"/>
          <w:szCs w:val="22"/>
        </w:rPr>
        <w:t>.</w:t>
      </w:r>
    </w:p>
    <w:p w14:paraId="25FD8ECD" w14:textId="77777777" w:rsidR="0080411D" w:rsidRPr="000F21E9" w:rsidRDefault="0080411D" w:rsidP="0080411D">
      <w:pPr>
        <w:spacing w:line="276" w:lineRule="auto"/>
        <w:rPr>
          <w:rFonts w:eastAsia="Calibri" w:cs="Arial"/>
          <w:bCs/>
          <w:i/>
          <w:iCs/>
          <w:sz w:val="22"/>
          <w:szCs w:val="22"/>
        </w:rPr>
      </w:pPr>
      <w:r>
        <w:rPr>
          <w:rFonts w:eastAsia="Calibri" w:cs="Arial"/>
          <w:b/>
          <w:i/>
          <w:iCs/>
          <w:sz w:val="22"/>
          <w:szCs w:val="22"/>
        </w:rPr>
        <w:t>Proposal</w:t>
      </w:r>
      <w:r w:rsidRPr="00733B56">
        <w:rPr>
          <w:rFonts w:eastAsia="Calibri" w:cs="Arial"/>
          <w:b/>
          <w:i/>
          <w:iCs/>
          <w:sz w:val="22"/>
          <w:szCs w:val="22"/>
        </w:rPr>
        <w:t xml:space="preserve"> </w:t>
      </w:r>
      <w:r>
        <w:rPr>
          <w:rFonts w:eastAsia="Calibri" w:cs="Arial"/>
          <w:b/>
          <w:i/>
          <w:iCs/>
          <w:sz w:val="22"/>
          <w:szCs w:val="22"/>
        </w:rPr>
        <w:t xml:space="preserve">2: </w:t>
      </w:r>
      <w:r>
        <w:rPr>
          <w:rFonts w:eastAsia="Calibri" w:cs="Arial"/>
          <w:bCs/>
          <w:i/>
          <w:iCs/>
          <w:sz w:val="22"/>
          <w:szCs w:val="22"/>
        </w:rPr>
        <w:t>The same</w:t>
      </w:r>
      <w:r w:rsidRPr="0023454C">
        <w:rPr>
          <w:rFonts w:eastAsia="Calibri" w:cs="Arial"/>
          <w:bCs/>
          <w:i/>
          <w:iCs/>
          <w:sz w:val="22"/>
          <w:szCs w:val="22"/>
        </w:rPr>
        <w:t xml:space="preserve"> XN Satellite Connection Request, Satellite Connection Request Acknowledge and Satellite Connection Request Reject are needed</w:t>
      </w:r>
      <w:r>
        <w:rPr>
          <w:rFonts w:eastAsia="Calibri" w:cs="Arial"/>
          <w:bCs/>
          <w:i/>
          <w:iCs/>
          <w:sz w:val="22"/>
          <w:szCs w:val="22"/>
        </w:rPr>
        <w:t xml:space="preserve"> with a time reference for the hard switch.</w:t>
      </w:r>
    </w:p>
    <w:p w14:paraId="685B440E" w14:textId="77777777" w:rsidR="0080411D" w:rsidRPr="000F21E9" w:rsidRDefault="0080411D" w:rsidP="0080411D">
      <w:pPr>
        <w:spacing w:line="276" w:lineRule="auto"/>
        <w:rPr>
          <w:rFonts w:eastAsia="Calibri" w:cs="Arial"/>
          <w:bCs/>
          <w:i/>
          <w:iCs/>
          <w:sz w:val="22"/>
          <w:szCs w:val="22"/>
        </w:rPr>
      </w:pPr>
      <w:r>
        <w:rPr>
          <w:rFonts w:eastAsia="Calibri" w:cs="Arial"/>
          <w:b/>
          <w:i/>
          <w:iCs/>
          <w:sz w:val="22"/>
          <w:szCs w:val="22"/>
        </w:rPr>
        <w:t>Proposal</w:t>
      </w:r>
      <w:r w:rsidRPr="00733B56">
        <w:rPr>
          <w:rFonts w:eastAsia="Calibri" w:cs="Arial"/>
          <w:b/>
          <w:i/>
          <w:iCs/>
          <w:sz w:val="22"/>
          <w:szCs w:val="22"/>
        </w:rPr>
        <w:t xml:space="preserve"> </w:t>
      </w:r>
      <w:r>
        <w:rPr>
          <w:rFonts w:eastAsia="Calibri" w:cs="Arial"/>
          <w:b/>
          <w:i/>
          <w:iCs/>
          <w:sz w:val="22"/>
          <w:szCs w:val="22"/>
        </w:rPr>
        <w:t xml:space="preserve">3: </w:t>
      </w:r>
      <w:r>
        <w:rPr>
          <w:rFonts w:eastAsia="Calibri" w:cs="Arial"/>
          <w:bCs/>
          <w:i/>
          <w:iCs/>
          <w:sz w:val="22"/>
          <w:szCs w:val="22"/>
        </w:rPr>
        <w:t xml:space="preserve">Whether these switchover procedures are needed over the NG interface in addition to the XN is FFS, if it is needed this can be done </w:t>
      </w:r>
      <w:proofErr w:type="gramStart"/>
      <w:r>
        <w:rPr>
          <w:rFonts w:eastAsia="Calibri" w:cs="Arial"/>
          <w:bCs/>
          <w:i/>
          <w:iCs/>
          <w:sz w:val="22"/>
          <w:szCs w:val="22"/>
        </w:rPr>
        <w:t>by the use of</w:t>
      </w:r>
      <w:proofErr w:type="gramEnd"/>
      <w:r>
        <w:rPr>
          <w:rFonts w:eastAsia="Calibri" w:cs="Arial"/>
          <w:bCs/>
          <w:i/>
          <w:iCs/>
          <w:sz w:val="22"/>
          <w:szCs w:val="22"/>
        </w:rPr>
        <w:t xml:space="preserve"> transparent containers to handle the inter-PLMN information.</w:t>
      </w:r>
    </w:p>
    <w:p w14:paraId="24831BB5" w14:textId="77777777" w:rsidR="0080411D" w:rsidRPr="00AA5ABD" w:rsidRDefault="0080411D" w:rsidP="0080411D">
      <w:pPr>
        <w:rPr>
          <w:sz w:val="22"/>
          <w:szCs w:val="22"/>
        </w:rPr>
      </w:pPr>
      <w:r>
        <w:rPr>
          <w:rFonts w:eastAsia="Calibri" w:cs="Arial"/>
          <w:b/>
          <w:i/>
          <w:iCs/>
          <w:sz w:val="22"/>
          <w:szCs w:val="22"/>
        </w:rPr>
        <w:t>Proposal</w:t>
      </w:r>
      <w:r w:rsidRPr="00733B56">
        <w:rPr>
          <w:rFonts w:eastAsia="Calibri" w:cs="Arial"/>
          <w:b/>
          <w:i/>
          <w:iCs/>
          <w:sz w:val="22"/>
          <w:szCs w:val="22"/>
        </w:rPr>
        <w:t xml:space="preserve"> </w:t>
      </w:r>
      <w:r>
        <w:rPr>
          <w:rFonts w:eastAsia="Calibri" w:cs="Arial"/>
          <w:b/>
          <w:i/>
          <w:iCs/>
          <w:sz w:val="22"/>
          <w:szCs w:val="22"/>
        </w:rPr>
        <w:t xml:space="preserve">4: </w:t>
      </w:r>
      <w:r>
        <w:rPr>
          <w:rFonts w:eastAsia="Calibri" w:cs="Arial"/>
          <w:bCs/>
          <w:i/>
          <w:iCs/>
          <w:sz w:val="22"/>
          <w:szCs w:val="22"/>
        </w:rPr>
        <w:t xml:space="preserve">Target cell id and proper RRM measurement configuration should be signalled over open interfaces to allow for a common method of handling changes in cell configuration from switchover (soft or hard) Probably at cell setup since the relations will be active at predetermined times and thus can be either valid for a fixed time-period or switched easily if needed, instead of a complete reconfiguration. </w:t>
      </w:r>
    </w:p>
    <w:p w14:paraId="51C15C28" w14:textId="77777777" w:rsidR="003334AB" w:rsidRPr="004A1A95" w:rsidRDefault="003334AB" w:rsidP="003334AB">
      <w:pPr>
        <w:pStyle w:val="Heading1"/>
      </w:pPr>
      <w:r w:rsidRPr="004A1A95">
        <w:t>References</w:t>
      </w:r>
    </w:p>
    <w:p w14:paraId="01F93A56" w14:textId="77777777" w:rsidR="003334AB" w:rsidRPr="008924A3" w:rsidRDefault="003334AB" w:rsidP="003334AB">
      <w:pPr>
        <w:pStyle w:val="ListParagraph"/>
        <w:numPr>
          <w:ilvl w:val="0"/>
          <w:numId w:val="15"/>
        </w:numPr>
        <w:spacing w:before="120"/>
        <w:jc w:val="both"/>
        <w:rPr>
          <w:rFonts w:ascii="Arial" w:hAnsi="Arial" w:cs="Arial"/>
        </w:rPr>
      </w:pPr>
      <w:bookmarkStart w:id="1" w:name="_Ref521518965"/>
      <w:r w:rsidRPr="008924A3">
        <w:rPr>
          <w:rFonts w:ascii="Arial" w:hAnsi="Arial" w:cs="Arial"/>
        </w:rPr>
        <w:t xml:space="preserve">RP-193234, “Solutions for NR to support non-terrestrial networks (NTN)”, </w:t>
      </w:r>
      <w:proofErr w:type="gramStart"/>
      <w:r w:rsidRPr="008924A3">
        <w:rPr>
          <w:rFonts w:ascii="Arial" w:hAnsi="Arial" w:cs="Arial"/>
        </w:rPr>
        <w:t>Thales</w:t>
      </w:r>
      <w:proofErr w:type="gramEnd"/>
    </w:p>
    <w:p w14:paraId="513F9383" w14:textId="77777777" w:rsidR="003334AB" w:rsidRPr="008924A3" w:rsidRDefault="003334AB" w:rsidP="003334AB">
      <w:pPr>
        <w:pStyle w:val="ListParagraph"/>
        <w:numPr>
          <w:ilvl w:val="0"/>
          <w:numId w:val="15"/>
        </w:numPr>
        <w:spacing w:before="120"/>
        <w:jc w:val="both"/>
        <w:rPr>
          <w:rFonts w:ascii="Arial" w:hAnsi="Arial" w:cs="Arial"/>
        </w:rPr>
      </w:pPr>
      <w:r w:rsidRPr="008924A3">
        <w:rPr>
          <w:rFonts w:ascii="Arial" w:hAnsi="Arial" w:cs="Arial"/>
        </w:rPr>
        <w:t>3GPP TR38.821 V16.0.0, “Solutions for NR to support non-terrestrial networks (NTN)”</w:t>
      </w:r>
    </w:p>
    <w:bookmarkEnd w:id="1"/>
    <w:p w14:paraId="0F0AF11F" w14:textId="77777777" w:rsidR="003334AB" w:rsidRPr="00E60A1B" w:rsidRDefault="003334AB" w:rsidP="003334AB">
      <w:pPr>
        <w:rPr>
          <w:lang w:val="en-US"/>
        </w:rPr>
      </w:pPr>
    </w:p>
    <w:sectPr w:rsidR="003334AB" w:rsidRPr="00E60A1B">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2AEB4C" w14:textId="77777777" w:rsidR="00B3414E" w:rsidRDefault="00B3414E">
      <w:pPr>
        <w:spacing w:after="0"/>
      </w:pPr>
      <w:r>
        <w:separator/>
      </w:r>
    </w:p>
  </w:endnote>
  <w:endnote w:type="continuationSeparator" w:id="0">
    <w:p w14:paraId="132DBFD9" w14:textId="77777777" w:rsidR="00B3414E" w:rsidRDefault="00B341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D707A" w14:textId="77777777" w:rsidR="00CB642D" w:rsidRDefault="00214E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738984" w14:textId="77777777" w:rsidR="00B3414E" w:rsidRDefault="00B3414E">
      <w:pPr>
        <w:spacing w:after="0"/>
      </w:pPr>
      <w:r>
        <w:separator/>
      </w:r>
    </w:p>
  </w:footnote>
  <w:footnote w:type="continuationSeparator" w:id="0">
    <w:p w14:paraId="0A8D4BA1" w14:textId="77777777" w:rsidR="00B3414E" w:rsidRDefault="00B341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8"/>
  </w:num>
  <w:num w:numId="3">
    <w:abstractNumId w:val="9"/>
  </w:num>
  <w:num w:numId="4">
    <w:abstractNumId w:val="14"/>
  </w:num>
  <w:num w:numId="5">
    <w:abstractNumId w:val="4"/>
  </w:num>
  <w:num w:numId="6">
    <w:abstractNumId w:val="13"/>
  </w:num>
  <w:num w:numId="7">
    <w:abstractNumId w:val="10"/>
  </w:num>
  <w:num w:numId="8">
    <w:abstractNumId w:val="0"/>
  </w:num>
  <w:num w:numId="9">
    <w:abstractNumId w:val="11"/>
  </w:num>
  <w:num w:numId="10">
    <w:abstractNumId w:val="12"/>
  </w:num>
  <w:num w:numId="11">
    <w:abstractNumId w:val="7"/>
  </w:num>
  <w:num w:numId="12">
    <w:abstractNumId w:val="3"/>
  </w:num>
  <w:num w:numId="13">
    <w:abstractNumId w:val="5"/>
  </w:num>
  <w:num w:numId="14">
    <w:abstractNumId w:val="2"/>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1445"/>
    <w:rsid w:val="00013648"/>
    <w:rsid w:val="000225EA"/>
    <w:rsid w:val="0005211F"/>
    <w:rsid w:val="000600DC"/>
    <w:rsid w:val="00061F39"/>
    <w:rsid w:val="0006245F"/>
    <w:rsid w:val="00064052"/>
    <w:rsid w:val="000674C7"/>
    <w:rsid w:val="0008793C"/>
    <w:rsid w:val="00090FD9"/>
    <w:rsid w:val="00091494"/>
    <w:rsid w:val="000A512D"/>
    <w:rsid w:val="000B3CE8"/>
    <w:rsid w:val="000B3F22"/>
    <w:rsid w:val="000C5EA9"/>
    <w:rsid w:val="000D1CD0"/>
    <w:rsid w:val="000D3DE5"/>
    <w:rsid w:val="000F21E9"/>
    <w:rsid w:val="00112275"/>
    <w:rsid w:val="00125E5C"/>
    <w:rsid w:val="00142DE2"/>
    <w:rsid w:val="00143787"/>
    <w:rsid w:val="00166C9B"/>
    <w:rsid w:val="00191576"/>
    <w:rsid w:val="001C59D8"/>
    <w:rsid w:val="00210570"/>
    <w:rsid w:val="00212B97"/>
    <w:rsid w:val="002130C9"/>
    <w:rsid w:val="002140C8"/>
    <w:rsid w:val="00214E6A"/>
    <w:rsid w:val="00225F54"/>
    <w:rsid w:val="0023454C"/>
    <w:rsid w:val="0024763F"/>
    <w:rsid w:val="00281912"/>
    <w:rsid w:val="00283DB7"/>
    <w:rsid w:val="002C4C84"/>
    <w:rsid w:val="002C7497"/>
    <w:rsid w:val="002D3C8A"/>
    <w:rsid w:val="002F3704"/>
    <w:rsid w:val="00303C9C"/>
    <w:rsid w:val="00310D01"/>
    <w:rsid w:val="003240E9"/>
    <w:rsid w:val="00330B3E"/>
    <w:rsid w:val="003334AB"/>
    <w:rsid w:val="00383D4F"/>
    <w:rsid w:val="0038598C"/>
    <w:rsid w:val="0039750E"/>
    <w:rsid w:val="003A2C98"/>
    <w:rsid w:val="003D2B16"/>
    <w:rsid w:val="003F0A9C"/>
    <w:rsid w:val="004040A2"/>
    <w:rsid w:val="00440C2E"/>
    <w:rsid w:val="00451891"/>
    <w:rsid w:val="00473B48"/>
    <w:rsid w:val="004768C3"/>
    <w:rsid w:val="00487BC6"/>
    <w:rsid w:val="004B339F"/>
    <w:rsid w:val="004E08DF"/>
    <w:rsid w:val="005546C1"/>
    <w:rsid w:val="0058637E"/>
    <w:rsid w:val="00593882"/>
    <w:rsid w:val="005C1BAB"/>
    <w:rsid w:val="005D7BF1"/>
    <w:rsid w:val="005F4760"/>
    <w:rsid w:val="0061085E"/>
    <w:rsid w:val="00626355"/>
    <w:rsid w:val="00642F4B"/>
    <w:rsid w:val="0064775B"/>
    <w:rsid w:val="006806A1"/>
    <w:rsid w:val="00695E9D"/>
    <w:rsid w:val="00697E1B"/>
    <w:rsid w:val="006A0172"/>
    <w:rsid w:val="0070274C"/>
    <w:rsid w:val="00710564"/>
    <w:rsid w:val="00721025"/>
    <w:rsid w:val="00725294"/>
    <w:rsid w:val="00774669"/>
    <w:rsid w:val="00774C7A"/>
    <w:rsid w:val="00782864"/>
    <w:rsid w:val="00791C04"/>
    <w:rsid w:val="007B4EAD"/>
    <w:rsid w:val="007F08C6"/>
    <w:rsid w:val="0080411D"/>
    <w:rsid w:val="008167F5"/>
    <w:rsid w:val="008237B8"/>
    <w:rsid w:val="00826130"/>
    <w:rsid w:val="00832401"/>
    <w:rsid w:val="00841B79"/>
    <w:rsid w:val="00874160"/>
    <w:rsid w:val="008D34A9"/>
    <w:rsid w:val="008F3636"/>
    <w:rsid w:val="008F373B"/>
    <w:rsid w:val="009321E9"/>
    <w:rsid w:val="009339C3"/>
    <w:rsid w:val="00960733"/>
    <w:rsid w:val="00972FAE"/>
    <w:rsid w:val="00976850"/>
    <w:rsid w:val="009A1985"/>
    <w:rsid w:val="009C30B0"/>
    <w:rsid w:val="009E3E81"/>
    <w:rsid w:val="00A17E9A"/>
    <w:rsid w:val="00A24FC0"/>
    <w:rsid w:val="00A44271"/>
    <w:rsid w:val="00A80D84"/>
    <w:rsid w:val="00A9662B"/>
    <w:rsid w:val="00AA5ABD"/>
    <w:rsid w:val="00AB5C41"/>
    <w:rsid w:val="00AC0FB7"/>
    <w:rsid w:val="00AC1B18"/>
    <w:rsid w:val="00AC211F"/>
    <w:rsid w:val="00AC76A8"/>
    <w:rsid w:val="00AF2AFB"/>
    <w:rsid w:val="00B00581"/>
    <w:rsid w:val="00B16694"/>
    <w:rsid w:val="00B3414E"/>
    <w:rsid w:val="00B47AB7"/>
    <w:rsid w:val="00B642AA"/>
    <w:rsid w:val="00B652F5"/>
    <w:rsid w:val="00B854AD"/>
    <w:rsid w:val="00B97196"/>
    <w:rsid w:val="00BD435D"/>
    <w:rsid w:val="00BE1E3B"/>
    <w:rsid w:val="00BE6342"/>
    <w:rsid w:val="00BF14B2"/>
    <w:rsid w:val="00C5021B"/>
    <w:rsid w:val="00C6277A"/>
    <w:rsid w:val="00C85424"/>
    <w:rsid w:val="00C94306"/>
    <w:rsid w:val="00CB0019"/>
    <w:rsid w:val="00CD05AE"/>
    <w:rsid w:val="00CD556B"/>
    <w:rsid w:val="00CE1CDB"/>
    <w:rsid w:val="00CE1F4B"/>
    <w:rsid w:val="00D370B5"/>
    <w:rsid w:val="00D52628"/>
    <w:rsid w:val="00D62C03"/>
    <w:rsid w:val="00D66033"/>
    <w:rsid w:val="00D82DFD"/>
    <w:rsid w:val="00DA4A40"/>
    <w:rsid w:val="00DB5942"/>
    <w:rsid w:val="00DD2613"/>
    <w:rsid w:val="00DF64E9"/>
    <w:rsid w:val="00E013C6"/>
    <w:rsid w:val="00E17994"/>
    <w:rsid w:val="00E20839"/>
    <w:rsid w:val="00E225AC"/>
    <w:rsid w:val="00E36AD3"/>
    <w:rsid w:val="00E519F5"/>
    <w:rsid w:val="00E60A1B"/>
    <w:rsid w:val="00E8013E"/>
    <w:rsid w:val="00EB5786"/>
    <w:rsid w:val="00EB6B0E"/>
    <w:rsid w:val="00EC61DF"/>
    <w:rsid w:val="00ED3E53"/>
    <w:rsid w:val="00ED5307"/>
    <w:rsid w:val="00EE2108"/>
    <w:rsid w:val="00F00A92"/>
    <w:rsid w:val="00F27444"/>
    <w:rsid w:val="00F47298"/>
    <w:rsid w:val="00F80302"/>
    <w:rsid w:val="00FA29D0"/>
    <w:rsid w:val="00FC4B95"/>
    <w:rsid w:val="00FD7468"/>
    <w:rsid w:val="00FF57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styleId="BalloonText">
    <w:name w:val="Balloon Text"/>
    <w:basedOn w:val="Normal"/>
    <w:link w:val="BalloonTextChar"/>
    <w:uiPriority w:val="99"/>
    <w:semiHidden/>
    <w:unhideWhenUsed/>
    <w:rsid w:val="004768C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8C3"/>
    <w:rPr>
      <w:rFonts w:ascii="Segoe UI" w:eastAsia="Times New Roman" w:hAnsi="Segoe UI" w:cs="Segoe UI"/>
      <w:sz w:val="18"/>
      <w:szCs w:val="18"/>
      <w:lang w:val="en-GB" w:eastAsia="zh-CN"/>
    </w:rPr>
  </w:style>
  <w:style w:type="character" w:styleId="CommentReference">
    <w:name w:val="annotation reference"/>
    <w:basedOn w:val="DefaultParagraphFont"/>
    <w:uiPriority w:val="99"/>
    <w:semiHidden/>
    <w:unhideWhenUsed/>
    <w:rsid w:val="00D370B5"/>
    <w:rPr>
      <w:sz w:val="16"/>
      <w:szCs w:val="16"/>
    </w:rPr>
  </w:style>
  <w:style w:type="paragraph" w:styleId="CommentText">
    <w:name w:val="annotation text"/>
    <w:basedOn w:val="Normal"/>
    <w:link w:val="CommentTextChar"/>
    <w:uiPriority w:val="99"/>
    <w:semiHidden/>
    <w:unhideWhenUsed/>
    <w:rsid w:val="00D370B5"/>
  </w:style>
  <w:style w:type="character" w:customStyle="1" w:styleId="CommentTextChar">
    <w:name w:val="Comment Text Char"/>
    <w:basedOn w:val="DefaultParagraphFont"/>
    <w:link w:val="CommentText"/>
    <w:uiPriority w:val="99"/>
    <w:semiHidden/>
    <w:rsid w:val="00D370B5"/>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D370B5"/>
    <w:rPr>
      <w:b/>
      <w:bCs/>
    </w:rPr>
  </w:style>
  <w:style w:type="character" w:customStyle="1" w:styleId="CommentSubjectChar">
    <w:name w:val="Comment Subject Char"/>
    <w:basedOn w:val="CommentTextChar"/>
    <w:link w:val="CommentSubject"/>
    <w:uiPriority w:val="99"/>
    <w:semiHidden/>
    <w:rsid w:val="00D370B5"/>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837285-3157-409C-B961-B13F66528B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1033</Words>
  <Characters>5890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Jim Miller</cp:lastModifiedBy>
  <cp:revision>6</cp:revision>
  <dcterms:created xsi:type="dcterms:W3CDTF">2021-01-11T15:31:00Z</dcterms:created>
  <dcterms:modified xsi:type="dcterms:W3CDTF">2021-01-14T21:15:00Z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