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tabs>
          <w:tab w:val="right" w:pos="9639"/>
        </w:tabs>
        <w:spacing w:after="0"/>
        <w:rPr>
          <w:b/>
          <w:i/>
          <w:sz w:val="24"/>
          <w:szCs w:val="28"/>
        </w:rPr>
      </w:pPr>
      <w:bookmarkStart w:id="0" w:name="_Hlk527628066"/>
      <w:r>
        <w:rPr>
          <w:b/>
          <w:sz w:val="24"/>
          <w:szCs w:val="28"/>
        </w:rPr>
        <w:t>I3GPP TSG-RAN WG3 Meeting #109-e</w:t>
      </w:r>
      <w:r>
        <w:rPr>
          <w:b/>
          <w:i/>
          <w:sz w:val="24"/>
          <w:szCs w:val="28"/>
        </w:rPr>
        <w:tab/>
      </w:r>
      <w:r>
        <w:rPr>
          <w:b/>
          <w:sz w:val="28"/>
          <w:szCs w:val="28"/>
        </w:rPr>
        <w:t>R3-205480</w:t>
      </w:r>
    </w:p>
    <w:p>
      <w:pPr>
        <w:pStyle w:val="35"/>
        <w:outlineLvl w:val="0"/>
        <w:rPr>
          <w:b/>
          <w:sz w:val="24"/>
          <w:szCs w:val="28"/>
        </w:rPr>
      </w:pPr>
      <w:r>
        <w:rPr>
          <w:b/>
          <w:sz w:val="24"/>
          <w:szCs w:val="28"/>
        </w:rPr>
        <w:t>Online, August 17</w:t>
      </w:r>
      <w:r>
        <w:rPr>
          <w:b/>
          <w:sz w:val="24"/>
          <w:szCs w:val="28"/>
          <w:vertAlign w:val="superscript"/>
        </w:rPr>
        <w:t>th</w:t>
      </w:r>
      <w:r>
        <w:rPr>
          <w:b/>
          <w:sz w:val="24"/>
          <w:szCs w:val="28"/>
        </w:rPr>
        <w:t xml:space="preserve"> – 27</w:t>
      </w:r>
      <w:r>
        <w:rPr>
          <w:b/>
          <w:sz w:val="24"/>
          <w:szCs w:val="28"/>
          <w:vertAlign w:val="superscript"/>
        </w:rPr>
        <w:t>th</w:t>
      </w:r>
      <w:r>
        <w:rPr>
          <w:b/>
          <w:sz w:val="24"/>
          <w:szCs w:val="28"/>
        </w:rPr>
        <w:t xml:space="preserve"> 2020</w:t>
      </w:r>
    </w:p>
    <w:bookmarkEnd w:id="0"/>
    <w:p>
      <w:pPr>
        <w:pStyle w:val="32"/>
        <w:rPr>
          <w:rFonts w:ascii="Arial" w:hAnsi="Arial" w:cs="Arial"/>
          <w:lang w:val="en-GB"/>
        </w:rPr>
      </w:pPr>
    </w:p>
    <w:p>
      <w:pPr>
        <w:pStyle w:val="32"/>
        <w:rPr>
          <w:rFonts w:ascii="Arial" w:hAnsi="Arial" w:cs="Arial"/>
          <w:lang w:val="en-GB"/>
        </w:rPr>
      </w:pPr>
      <w:r>
        <w:rPr>
          <w:rFonts w:ascii="Arial" w:hAnsi="Arial" w:cs="Arial"/>
          <w:lang w:val="en-GB"/>
        </w:rPr>
        <w:t>Agenda Item:</w:t>
      </w:r>
      <w:r>
        <w:rPr>
          <w:rFonts w:ascii="Arial" w:hAnsi="Arial" w:cs="Arial"/>
          <w:lang w:val="en-GB"/>
        </w:rPr>
        <w:tab/>
      </w:r>
      <w:r>
        <w:rPr>
          <w:rFonts w:ascii="Arial" w:hAnsi="Arial" w:cs="Arial"/>
          <w:lang w:val="en-GB"/>
        </w:rPr>
        <w:t>15.2</w:t>
      </w:r>
    </w:p>
    <w:p>
      <w:pPr>
        <w:pStyle w:val="32"/>
        <w:rPr>
          <w:rFonts w:ascii="Arial" w:hAnsi="Arial" w:cs="Arial"/>
          <w:lang w:val="en-GB"/>
        </w:rPr>
      </w:pPr>
      <w:r>
        <w:rPr>
          <w:rFonts w:ascii="Arial" w:hAnsi="Arial" w:cs="Arial"/>
          <w:lang w:val="en-GB"/>
        </w:rPr>
        <w:t>Source:</w:t>
      </w:r>
      <w:r>
        <w:rPr>
          <w:rFonts w:ascii="Arial" w:hAnsi="Arial" w:cs="Arial"/>
          <w:lang w:val="en-GB"/>
        </w:rPr>
        <w:tab/>
      </w:r>
      <w:r>
        <w:rPr>
          <w:rFonts w:ascii="Arial" w:hAnsi="Arial" w:cs="Arial"/>
          <w:lang w:val="en-GB"/>
        </w:rPr>
        <w:t>Ericsson (moderator)</w:t>
      </w:r>
    </w:p>
    <w:p>
      <w:pPr>
        <w:pStyle w:val="32"/>
        <w:ind w:left="1710" w:hanging="1710"/>
        <w:rPr>
          <w:rFonts w:ascii="Arial" w:hAnsi="Arial" w:cs="Arial"/>
          <w:lang w:val="en-GB"/>
        </w:rPr>
      </w:pPr>
      <w:r>
        <w:rPr>
          <w:rFonts w:ascii="Arial" w:hAnsi="Arial" w:cs="Arial"/>
          <w:lang w:val="en-GB"/>
        </w:rPr>
        <w:t>Title:</w:t>
      </w:r>
      <w:r>
        <w:rPr>
          <w:rFonts w:ascii="Arial" w:hAnsi="Arial" w:cs="Arial"/>
          <w:lang w:val="en-GB"/>
        </w:rPr>
        <w:tab/>
      </w:r>
      <w:r>
        <w:rPr>
          <w:rFonts w:ascii="Arial" w:hAnsi="Arial" w:cs="Arial"/>
          <w:lang w:val="en-GB"/>
        </w:rPr>
        <w:t>Summary of Offline Discussion on NR QoE Management Solutions</w:t>
      </w:r>
    </w:p>
    <w:p>
      <w:pPr>
        <w:pStyle w:val="32"/>
        <w:rPr>
          <w:rFonts w:ascii="Arial" w:hAnsi="Arial" w:cs="Arial"/>
          <w:lang w:val="en-GB"/>
        </w:rPr>
      </w:pPr>
      <w:r>
        <w:rPr>
          <w:rFonts w:ascii="Arial" w:hAnsi="Arial" w:cs="Arial"/>
          <w:lang w:val="en-GB"/>
        </w:rPr>
        <w:t>Document for:</w:t>
      </w:r>
      <w:r>
        <w:rPr>
          <w:rFonts w:ascii="Arial" w:hAnsi="Arial" w:cs="Arial"/>
          <w:lang w:val="en-GB"/>
        </w:rPr>
        <w:tab/>
      </w:r>
      <w:r>
        <w:rPr>
          <w:rFonts w:ascii="Arial" w:hAnsi="Arial" w:cs="Arial"/>
          <w:lang w:val="en-GB"/>
        </w:rPr>
        <w:t>Approval</w:t>
      </w:r>
    </w:p>
    <w:p>
      <w:pPr>
        <w:pStyle w:val="2"/>
        <w:rPr>
          <w:lang w:val="en-GB"/>
        </w:rPr>
      </w:pPr>
      <w:r>
        <w:rPr>
          <w:lang w:val="en-GB"/>
        </w:rPr>
        <w:t>Introduction</w:t>
      </w:r>
    </w:p>
    <w:p>
      <w:pPr>
        <w:widowControl w:val="0"/>
        <w:spacing w:after="0"/>
        <w:rPr>
          <w:rFonts w:ascii="Calibri" w:hAnsi="Calibri" w:cs="Calibri"/>
          <w:b/>
          <w:color w:val="7030A0"/>
          <w:sz w:val="18"/>
          <w:lang w:val="en-GB" w:eastAsia="zh-CN"/>
        </w:rPr>
      </w:pPr>
      <w:r>
        <w:rPr>
          <w:rFonts w:ascii="Calibri" w:hAnsi="Calibri" w:cs="Calibri"/>
          <w:b/>
          <w:color w:val="7030A0"/>
          <w:sz w:val="18"/>
          <w:lang w:val="en-GB"/>
        </w:rPr>
        <w:t xml:space="preserve">CB: # </w:t>
      </w:r>
      <w:r>
        <w:rPr>
          <w:rFonts w:ascii="Calibri" w:hAnsi="Calibri" w:cs="Calibri"/>
          <w:b/>
          <w:color w:val="7030A0"/>
          <w:sz w:val="18"/>
          <w:lang w:val="en-GB" w:eastAsia="zh-CN"/>
        </w:rPr>
        <w:t>NRQoE3</w:t>
      </w:r>
      <w:r>
        <w:rPr>
          <w:rFonts w:ascii="Calibri" w:hAnsi="Calibri" w:cs="Calibri"/>
          <w:b/>
          <w:color w:val="7030A0"/>
          <w:sz w:val="18"/>
          <w:lang w:val="en-GB"/>
        </w:rPr>
        <w:t>-</w:t>
      </w:r>
      <w:r>
        <w:rPr>
          <w:rFonts w:ascii="Calibri" w:hAnsi="Calibri" w:cs="Calibri"/>
          <w:b/>
          <w:color w:val="7030A0"/>
          <w:sz w:val="18"/>
          <w:lang w:val="en-GB" w:eastAsia="zh-CN"/>
        </w:rPr>
        <w:t>Solutions</w:t>
      </w:r>
    </w:p>
    <w:p>
      <w:pPr>
        <w:widowControl w:val="0"/>
        <w:spacing w:after="0"/>
        <w:rPr>
          <w:rFonts w:ascii="Calibri" w:hAnsi="Calibri" w:cs="Calibri"/>
          <w:b/>
          <w:color w:val="7030A0"/>
          <w:sz w:val="18"/>
          <w:u w:val="single"/>
          <w:lang w:val="en-GB" w:eastAsia="zh-CN"/>
        </w:rPr>
      </w:pPr>
      <w:r>
        <w:rPr>
          <w:rFonts w:ascii="Calibri" w:hAnsi="Calibri" w:cs="Calibri"/>
          <w:b/>
          <w:color w:val="7030A0"/>
          <w:sz w:val="18"/>
          <w:u w:val="single"/>
          <w:lang w:val="en-GB" w:eastAsia="zh-CN"/>
        </w:rPr>
        <w:t>Main part:</w:t>
      </w:r>
    </w:p>
    <w:p>
      <w:pPr>
        <w:widowControl w:val="0"/>
        <w:spacing w:after="0"/>
        <w:rPr>
          <w:rFonts w:ascii="Calibri" w:hAnsi="Calibri" w:cs="Calibri"/>
          <w:b/>
          <w:color w:val="7030A0"/>
          <w:sz w:val="18"/>
          <w:lang w:val="en-GB" w:eastAsia="zh-CN"/>
        </w:rPr>
      </w:pPr>
      <w:r>
        <w:rPr>
          <w:rFonts w:ascii="Calibri" w:hAnsi="Calibri" w:cs="Calibri"/>
          <w:b/>
          <w:color w:val="7030A0"/>
          <w:sz w:val="18"/>
          <w:lang w:val="en-GB" w:eastAsia="zh-CN"/>
        </w:rPr>
        <w:t xml:space="preserve">- </w:t>
      </w:r>
      <w:r>
        <w:rPr>
          <w:rFonts w:ascii="Calibri" w:hAnsi="Calibri" w:cs="Calibri"/>
          <w:b/>
          <w:color w:val="7030A0"/>
          <w:sz w:val="18"/>
          <w:lang w:val="en-GB" w:eastAsia="ko-KR"/>
        </w:rPr>
        <w:t>LTE-based solution can be used as a baseline</w:t>
      </w:r>
      <w:r>
        <w:rPr>
          <w:rFonts w:ascii="Calibri" w:hAnsi="Calibri" w:cs="Calibri"/>
          <w:b/>
          <w:color w:val="7030A0"/>
          <w:sz w:val="18"/>
          <w:lang w:val="en-GB" w:eastAsia="zh-CN"/>
        </w:rPr>
        <w:t>?</w:t>
      </w:r>
    </w:p>
    <w:p>
      <w:pPr>
        <w:widowControl w:val="0"/>
        <w:spacing w:after="0"/>
        <w:rPr>
          <w:rFonts w:ascii="Calibri" w:hAnsi="Calibri" w:cs="Calibri"/>
          <w:b/>
          <w:color w:val="7030A0"/>
          <w:sz w:val="18"/>
          <w:lang w:val="en-GB" w:eastAsia="zh-CN"/>
        </w:rPr>
      </w:pPr>
      <w:r>
        <w:rPr>
          <w:rFonts w:ascii="Calibri" w:hAnsi="Calibri" w:cs="Calibri"/>
          <w:b/>
          <w:color w:val="7030A0"/>
          <w:sz w:val="18"/>
          <w:lang w:val="en-GB" w:eastAsia="zh-CN"/>
        </w:rPr>
        <w:t>- QoE configuration and report are delivered by RAN as transparent containers or real-time RAN side optimization should be considered? QoE metrics are visible to RAN for NR QoE management?</w:t>
      </w:r>
    </w:p>
    <w:p>
      <w:pPr>
        <w:widowControl w:val="0"/>
        <w:spacing w:after="0"/>
        <w:rPr>
          <w:rFonts w:ascii="Calibri" w:hAnsi="Calibri" w:cs="Calibri"/>
          <w:b/>
          <w:color w:val="7030A0"/>
          <w:sz w:val="18"/>
          <w:lang w:val="en-GB" w:eastAsia="zh-CN"/>
        </w:rPr>
      </w:pPr>
      <w:r>
        <w:rPr>
          <w:rFonts w:ascii="Calibri" w:hAnsi="Calibri" w:cs="Calibri"/>
          <w:b/>
          <w:color w:val="7030A0"/>
          <w:sz w:val="18"/>
          <w:lang w:val="en-GB" w:eastAsia="zh-CN"/>
        </w:rPr>
        <w:t>- both management-based and signalling-based solutions should be supported? Reusing Trace mechanism or introducing newly defined procedures? MDT user consent for management based QoE?</w:t>
      </w:r>
    </w:p>
    <w:p>
      <w:pPr>
        <w:widowControl w:val="0"/>
        <w:spacing w:after="0"/>
        <w:rPr>
          <w:rFonts w:ascii="Calibri" w:hAnsi="Calibri" w:cs="Calibri"/>
          <w:b/>
          <w:color w:val="7030A0"/>
          <w:sz w:val="18"/>
          <w:lang w:val="en-GB" w:eastAsia="zh-CN"/>
        </w:rPr>
      </w:pPr>
      <w:r>
        <w:rPr>
          <w:rFonts w:ascii="Calibri" w:hAnsi="Calibri" w:cs="Calibri"/>
          <w:b/>
          <w:color w:val="7030A0"/>
          <w:sz w:val="18"/>
          <w:lang w:val="en-GB" w:eastAsia="zh-CN"/>
        </w:rPr>
        <w:t>- a threshold-based and/or event-based mechanism to trigger the start and stop of QoE measurement collection?</w:t>
      </w:r>
    </w:p>
    <w:p>
      <w:pPr>
        <w:widowControl w:val="0"/>
        <w:spacing w:after="0"/>
        <w:rPr>
          <w:rFonts w:ascii="Calibri" w:hAnsi="Calibri" w:cs="Calibri"/>
          <w:b/>
          <w:color w:val="7030A0"/>
          <w:sz w:val="18"/>
          <w:lang w:val="en-GB" w:eastAsia="zh-CN"/>
        </w:rPr>
      </w:pPr>
      <w:r>
        <w:rPr>
          <w:rFonts w:ascii="Calibri" w:hAnsi="Calibri" w:cs="Calibri"/>
          <w:b/>
          <w:color w:val="7030A0"/>
          <w:sz w:val="18"/>
          <w:lang w:val="en-GB" w:eastAsia="zh-CN"/>
        </w:rPr>
        <w:t xml:space="preserve">- NR QoE reports from UE are delivered over a newly defined dedicated SRB type or via UP solution?  </w:t>
      </w:r>
    </w:p>
    <w:p>
      <w:pPr>
        <w:widowControl w:val="0"/>
        <w:spacing w:after="0"/>
        <w:rPr>
          <w:rFonts w:ascii="Calibri" w:hAnsi="Calibri" w:cs="Calibri"/>
          <w:b/>
          <w:color w:val="7030A0"/>
          <w:sz w:val="18"/>
          <w:lang w:val="en-GB" w:eastAsia="zh-CN"/>
        </w:rPr>
      </w:pPr>
      <w:r>
        <w:rPr>
          <w:rFonts w:ascii="Calibri" w:hAnsi="Calibri" w:cs="Calibri"/>
          <w:b/>
          <w:color w:val="7030A0"/>
          <w:sz w:val="18"/>
          <w:lang w:val="en-GB" w:eastAsia="zh-CN"/>
        </w:rPr>
        <w:t>- The QoE measurement and reporting is supported in RRC_CONNECTED state only?</w:t>
      </w:r>
    </w:p>
    <w:p>
      <w:pPr>
        <w:widowControl w:val="0"/>
        <w:spacing w:after="0"/>
        <w:rPr>
          <w:rFonts w:ascii="Calibri" w:hAnsi="Calibri" w:cs="Calibri"/>
          <w:b/>
          <w:color w:val="7030A0"/>
          <w:sz w:val="18"/>
          <w:lang w:val="en-GB" w:eastAsia="zh-CN"/>
        </w:rPr>
      </w:pPr>
      <w:r>
        <w:rPr>
          <w:rFonts w:ascii="Calibri" w:hAnsi="Calibri" w:cs="Calibri"/>
          <w:b/>
          <w:color w:val="7030A0"/>
          <w:sz w:val="18"/>
          <w:lang w:val="en-GB" w:eastAsia="zh-CN"/>
        </w:rPr>
        <w:t>- Mobility impact: whether inter-RAT and inter-system QoE measurement continuity should be supported? only signalling based QoE measurement is propagated to target node? support of QoE measurement under MR-DC scenario?</w:t>
      </w:r>
    </w:p>
    <w:p>
      <w:pPr>
        <w:widowControl w:val="0"/>
        <w:spacing w:after="0"/>
        <w:rPr>
          <w:rFonts w:ascii="Calibri" w:hAnsi="Calibri" w:cs="Calibri"/>
          <w:b/>
          <w:color w:val="7030A0"/>
          <w:sz w:val="18"/>
          <w:u w:val="single"/>
          <w:lang w:val="en-GB" w:eastAsia="zh-CN"/>
        </w:rPr>
      </w:pPr>
      <w:r>
        <w:rPr>
          <w:rFonts w:ascii="Calibri" w:hAnsi="Calibri" w:cs="Calibri"/>
          <w:b/>
          <w:color w:val="7030A0"/>
          <w:sz w:val="18"/>
          <w:u w:val="single"/>
          <w:lang w:val="en-GB" w:eastAsia="zh-CN"/>
        </w:rPr>
        <w:t>Additional part:</w:t>
      </w:r>
    </w:p>
    <w:p>
      <w:pPr>
        <w:widowControl w:val="0"/>
        <w:spacing w:after="0"/>
        <w:rPr>
          <w:rFonts w:ascii="Calibri" w:hAnsi="Calibri" w:cs="Calibri"/>
          <w:b/>
          <w:color w:val="7030A0"/>
          <w:sz w:val="18"/>
          <w:lang w:val="en-GB" w:eastAsia="zh-CN"/>
        </w:rPr>
      </w:pPr>
      <w:r>
        <w:rPr>
          <w:rFonts w:ascii="Calibri" w:hAnsi="Calibri" w:cs="Calibri"/>
          <w:b/>
          <w:color w:val="7030A0"/>
          <w:sz w:val="18"/>
          <w:lang w:val="en-GB" w:eastAsia="zh-CN"/>
        </w:rPr>
        <w:t>- the enhancement of QoE measurement reports with DC or CA indication of the UE for the measured application session? (E///)</w:t>
      </w:r>
    </w:p>
    <w:p>
      <w:pPr>
        <w:widowControl w:val="0"/>
        <w:spacing w:after="0"/>
        <w:rPr>
          <w:rFonts w:ascii="Calibri" w:hAnsi="Calibri" w:cs="Calibri"/>
          <w:b/>
          <w:color w:val="7030A0"/>
          <w:sz w:val="18"/>
          <w:lang w:val="en-GB" w:eastAsia="zh-CN"/>
        </w:rPr>
      </w:pPr>
      <w:r>
        <w:rPr>
          <w:rFonts w:ascii="Calibri" w:hAnsi="Calibri" w:cs="Calibri"/>
          <w:b/>
          <w:color w:val="7030A0"/>
          <w:sz w:val="18"/>
          <w:lang w:val="en-GB" w:eastAsia="zh-CN"/>
        </w:rPr>
        <w:t>- the enhancement of QoE measurement reports with mobility history information? (E///)</w:t>
      </w:r>
    </w:p>
    <w:p>
      <w:pPr>
        <w:widowControl w:val="0"/>
        <w:spacing w:after="0"/>
        <w:rPr>
          <w:rFonts w:ascii="Calibri" w:hAnsi="Calibri" w:cs="Calibri"/>
          <w:b/>
          <w:color w:val="7030A0"/>
          <w:sz w:val="18"/>
          <w:lang w:val="en-GB" w:eastAsia="zh-CN"/>
        </w:rPr>
      </w:pPr>
      <w:r>
        <w:rPr>
          <w:rFonts w:ascii="Calibri" w:hAnsi="Calibri" w:cs="Calibri"/>
          <w:b/>
          <w:color w:val="7030A0"/>
          <w:sz w:val="18"/>
          <w:lang w:val="en-GB" w:eastAsia="zh-CN"/>
        </w:rPr>
        <w:t>-</w:t>
      </w:r>
      <w:r>
        <w:rPr>
          <w:rFonts w:ascii="Calibri" w:hAnsi="Calibri" w:cs="Calibri"/>
          <w:b/>
          <w:color w:val="7030A0"/>
          <w:sz w:val="18"/>
          <w:lang w:val="en-GB" w:eastAsia="ko-KR"/>
        </w:rPr>
        <w:t> </w:t>
      </w:r>
      <w:r>
        <w:rPr>
          <w:rFonts w:ascii="Calibri" w:hAnsi="Calibri" w:cs="Calibri"/>
          <w:b/>
          <w:color w:val="7030A0"/>
          <w:sz w:val="18"/>
          <w:lang w:val="en-GB" w:eastAsia="zh-CN"/>
        </w:rPr>
        <w:t>n</w:t>
      </w:r>
      <w:r>
        <w:rPr>
          <w:rFonts w:ascii="Calibri" w:hAnsi="Calibri" w:cs="Calibri"/>
          <w:b/>
          <w:color w:val="7030A0"/>
          <w:sz w:val="18"/>
          <w:lang w:val="en-GB" w:eastAsia="ko-KR"/>
        </w:rPr>
        <w:t>etwork slices should be taken into account</w:t>
      </w:r>
      <w:r>
        <w:rPr>
          <w:rFonts w:ascii="Calibri" w:hAnsi="Calibri" w:cs="Calibri"/>
          <w:b/>
          <w:color w:val="7030A0"/>
          <w:sz w:val="18"/>
          <w:lang w:val="en-GB" w:eastAsia="zh-CN"/>
        </w:rPr>
        <w:t>? (Samsung, ZTE)</w:t>
      </w:r>
    </w:p>
    <w:p>
      <w:pPr>
        <w:widowControl w:val="0"/>
        <w:spacing w:after="0"/>
        <w:rPr>
          <w:rFonts w:ascii="Calibri" w:hAnsi="Calibri" w:cs="Calibri"/>
          <w:b/>
          <w:color w:val="7030A0"/>
          <w:sz w:val="18"/>
          <w:lang w:val="en-GB" w:eastAsia="zh-CN"/>
        </w:rPr>
      </w:pPr>
      <w:r>
        <w:rPr>
          <w:rFonts w:ascii="Calibri" w:hAnsi="Calibri" w:cs="Calibri"/>
          <w:b/>
          <w:color w:val="7030A0"/>
          <w:sz w:val="18"/>
          <w:lang w:val="en-GB" w:eastAsia="zh-CN"/>
        </w:rPr>
        <w:t>- the segmentation of large QoE reports into multiple smaller QoE reports? RAN2 related? (E///)</w:t>
      </w:r>
    </w:p>
    <w:p>
      <w:pPr>
        <w:widowControl w:val="0"/>
        <w:spacing w:after="0"/>
        <w:rPr>
          <w:rFonts w:ascii="Calibri" w:hAnsi="Calibri" w:cs="Calibri"/>
          <w:b/>
          <w:color w:val="7030A0"/>
          <w:sz w:val="18"/>
          <w:lang w:val="en-GB" w:eastAsia="zh-CN"/>
        </w:rPr>
      </w:pPr>
      <w:r>
        <w:rPr>
          <w:rFonts w:ascii="Calibri" w:hAnsi="Calibri" w:cs="Calibri"/>
          <w:b/>
          <w:color w:val="7030A0"/>
          <w:sz w:val="18"/>
          <w:lang w:val="en-GB" w:eastAsia="zh-CN"/>
        </w:rPr>
        <w:t>- study a time-based event for activation of QoE measurement to enable the flexibility of QoE measurement activation within a certain predefined period of time? (E///)</w:t>
      </w:r>
    </w:p>
    <w:p>
      <w:pPr>
        <w:widowControl w:val="0"/>
        <w:spacing w:after="0"/>
        <w:rPr>
          <w:rFonts w:ascii="Calibri" w:hAnsi="Calibri" w:cs="Calibri"/>
          <w:b/>
          <w:color w:val="7030A0"/>
          <w:sz w:val="18"/>
          <w:lang w:val="en-GB" w:eastAsia="zh-CN"/>
        </w:rPr>
      </w:pPr>
      <w:r>
        <w:rPr>
          <w:rFonts w:ascii="Calibri" w:hAnsi="Calibri" w:cs="Calibri"/>
          <w:b/>
          <w:color w:val="7030A0"/>
          <w:sz w:val="18"/>
          <w:lang w:val="en-GB" w:eastAsia="zh-CN"/>
        </w:rPr>
        <w:t>- Capture agreements as TP for TR, revise/merge and check details, split work, if needed</w:t>
      </w:r>
    </w:p>
    <w:p>
      <w:pPr>
        <w:widowControl w:val="0"/>
        <w:spacing w:after="0"/>
        <w:rPr>
          <w:rFonts w:ascii="Calibri" w:hAnsi="Calibri" w:cs="Calibri"/>
          <w:b/>
          <w:color w:val="7030A0"/>
          <w:sz w:val="18"/>
          <w:lang w:val="en-GB" w:eastAsia="zh-CN"/>
        </w:rPr>
      </w:pPr>
      <w:r>
        <w:rPr>
          <w:rFonts w:ascii="Calibri" w:hAnsi="Calibri" w:cs="Calibri"/>
          <w:b/>
          <w:color w:val="7030A0"/>
          <w:sz w:val="18"/>
          <w:lang w:val="en-GB" w:eastAsia="zh-CN"/>
        </w:rPr>
        <w:t>- List open issues for next meeting in the summary</w:t>
      </w:r>
    </w:p>
    <w:p>
      <w:pPr>
        <w:widowControl w:val="0"/>
        <w:spacing w:after="0"/>
        <w:rPr>
          <w:rFonts w:ascii="Calibri" w:hAnsi="Calibri" w:cs="Calibri"/>
          <w:color w:val="000000"/>
          <w:sz w:val="18"/>
          <w:lang w:val="en-GB"/>
        </w:rPr>
      </w:pPr>
      <w:r>
        <w:rPr>
          <w:rFonts w:ascii="Calibri" w:hAnsi="Calibri" w:cs="Calibri"/>
          <w:color w:val="000000"/>
          <w:sz w:val="18"/>
          <w:lang w:val="en-GB"/>
        </w:rPr>
        <w:t>(E/// - moderator)</w:t>
      </w:r>
    </w:p>
    <w:p>
      <w:pPr>
        <w:widowControl w:val="0"/>
        <w:spacing w:after="0"/>
        <w:ind w:left="144" w:hanging="144"/>
        <w:rPr>
          <w:rFonts w:ascii="Calibri" w:hAnsi="Calibri" w:cs="Calibri"/>
          <w:b/>
          <w:color w:val="FF00FF"/>
          <w:sz w:val="18"/>
          <w:lang w:val="en-GB"/>
        </w:rPr>
      </w:pPr>
    </w:p>
    <w:p>
      <w:pPr>
        <w:rPr>
          <w:color w:val="000000"/>
          <w:sz w:val="20"/>
          <w:szCs w:val="20"/>
          <w:lang w:val="en-GB"/>
        </w:rPr>
      </w:pPr>
      <w:r>
        <w:rPr>
          <w:color w:val="000000"/>
          <w:sz w:val="20"/>
          <w:szCs w:val="20"/>
          <w:lang w:val="en-GB"/>
        </w:rPr>
        <w:t>Relevant papers:</w:t>
      </w:r>
    </w:p>
    <w:p>
      <w:pPr>
        <w:pStyle w:val="33"/>
        <w:rPr>
          <w:sz w:val="18"/>
          <w:szCs w:val="18"/>
          <w:lang w:val="en-GB"/>
        </w:rPr>
      </w:pPr>
      <w:r>
        <w:rPr>
          <w:sz w:val="18"/>
          <w:szCs w:val="18"/>
          <w:lang w:val="en-GB"/>
        </w:rPr>
        <w:t>R3-204706 QoE Configuration and reporting (Qualcomm Incorporated)</w:t>
      </w:r>
      <w:r>
        <w:rPr>
          <w:sz w:val="18"/>
          <w:szCs w:val="18"/>
          <w:lang w:val="en-GB"/>
        </w:rPr>
        <w:tab/>
      </w:r>
    </w:p>
    <w:p>
      <w:pPr>
        <w:pStyle w:val="33"/>
        <w:rPr>
          <w:sz w:val="18"/>
          <w:szCs w:val="18"/>
          <w:lang w:val="en-GB"/>
        </w:rPr>
      </w:pPr>
      <w:r>
        <w:rPr>
          <w:sz w:val="18"/>
          <w:szCs w:val="18"/>
          <w:lang w:val="en-GB"/>
        </w:rPr>
        <w:t>R3-204851 Framework for QoE measurement collection (Nokia, Nokia Shanghai Bell)</w:t>
      </w:r>
    </w:p>
    <w:p>
      <w:pPr>
        <w:pStyle w:val="33"/>
        <w:rPr>
          <w:sz w:val="18"/>
          <w:szCs w:val="18"/>
          <w:lang w:val="en-GB"/>
        </w:rPr>
      </w:pPr>
      <w:r>
        <w:rPr>
          <w:sz w:val="18"/>
          <w:szCs w:val="18"/>
          <w:lang w:val="en-GB"/>
        </w:rPr>
        <w:t>R3-205181 Initial Consideration On Study of NR QoE (ZTE)</w:t>
      </w:r>
    </w:p>
    <w:p>
      <w:pPr>
        <w:pStyle w:val="33"/>
        <w:rPr>
          <w:sz w:val="18"/>
          <w:szCs w:val="18"/>
          <w:lang w:val="en-GB"/>
        </w:rPr>
      </w:pPr>
      <w:r>
        <w:rPr>
          <w:sz w:val="18"/>
          <w:szCs w:val="18"/>
          <w:lang w:val="en-GB"/>
        </w:rPr>
        <w:t>R3-205182 TP for FS_NR_QoE (ZTE)</w:t>
      </w:r>
    </w:p>
    <w:p>
      <w:pPr>
        <w:pStyle w:val="33"/>
        <w:rPr>
          <w:sz w:val="18"/>
          <w:szCs w:val="18"/>
          <w:lang w:val="en-GB"/>
        </w:rPr>
      </w:pPr>
      <w:r>
        <w:rPr>
          <w:sz w:val="18"/>
          <w:szCs w:val="18"/>
          <w:lang w:val="en-GB"/>
        </w:rPr>
        <w:t>R3-205200 pCR for TR 38.8xx: NR QoE Management Framework (Ericsson)</w:t>
      </w:r>
    </w:p>
    <w:p>
      <w:pPr>
        <w:pStyle w:val="33"/>
        <w:rPr>
          <w:sz w:val="18"/>
          <w:szCs w:val="18"/>
          <w:lang w:val="en-GB"/>
        </w:rPr>
      </w:pPr>
      <w:r>
        <w:rPr>
          <w:sz w:val="18"/>
          <w:szCs w:val="18"/>
          <w:lang w:val="en-GB"/>
        </w:rPr>
        <w:t>R3-205201 pCR for TR 38.8xx: NR QoE Measurement Triggering, Configuration, Collection and Reporting (Ericsson)</w:t>
      </w:r>
    </w:p>
    <w:p>
      <w:pPr>
        <w:pStyle w:val="33"/>
        <w:rPr>
          <w:sz w:val="18"/>
          <w:szCs w:val="18"/>
          <w:lang w:val="en-GB"/>
        </w:rPr>
      </w:pPr>
      <w:r>
        <w:rPr>
          <w:sz w:val="18"/>
          <w:szCs w:val="18"/>
          <w:lang w:val="en-GB"/>
        </w:rPr>
        <w:t>R3-205281 NR QoE measurement overview (Huawei)</w:t>
      </w:r>
    </w:p>
    <w:p>
      <w:pPr>
        <w:pStyle w:val="33"/>
        <w:rPr>
          <w:sz w:val="18"/>
          <w:szCs w:val="18"/>
          <w:lang w:val="en-GB"/>
        </w:rPr>
      </w:pPr>
      <w:r>
        <w:rPr>
          <w:sz w:val="18"/>
          <w:szCs w:val="18"/>
          <w:lang w:val="en-GB"/>
        </w:rPr>
        <w:t>R3-205283 Potential RAN3 impacts about QoE measurement (Huawei)</w:t>
      </w:r>
    </w:p>
    <w:p>
      <w:pPr>
        <w:pStyle w:val="33"/>
        <w:rPr>
          <w:sz w:val="18"/>
          <w:szCs w:val="18"/>
          <w:lang w:val="en-GB"/>
        </w:rPr>
      </w:pPr>
      <w:r>
        <w:rPr>
          <w:sz w:val="18"/>
          <w:szCs w:val="18"/>
          <w:lang w:val="en-GB"/>
        </w:rPr>
        <w:t>R3-205359 Discussion on NR QoE solution for various service (CATT)</w:t>
      </w:r>
    </w:p>
    <w:p>
      <w:pPr>
        <w:pStyle w:val="33"/>
        <w:rPr>
          <w:sz w:val="18"/>
          <w:szCs w:val="18"/>
          <w:lang w:val="en-GB"/>
        </w:rPr>
      </w:pPr>
      <w:r>
        <w:rPr>
          <w:sz w:val="18"/>
          <w:szCs w:val="18"/>
          <w:lang w:val="en-GB"/>
        </w:rPr>
        <w:t>R3-205360 Discussion on NR QoE solution architecture and interface impact (CATT)</w:t>
      </w:r>
    </w:p>
    <w:p>
      <w:pPr>
        <w:pStyle w:val="33"/>
        <w:rPr>
          <w:sz w:val="18"/>
          <w:szCs w:val="18"/>
          <w:lang w:val="en-GB"/>
        </w:rPr>
      </w:pPr>
      <w:r>
        <w:rPr>
          <w:sz w:val="18"/>
          <w:szCs w:val="18"/>
          <w:lang w:val="en-GB"/>
        </w:rPr>
        <w:t>R3-205370 Some Considerations on QOE Collection in NR (China Telecommunications)</w:t>
      </w:r>
    </w:p>
    <w:p>
      <w:pPr>
        <w:pStyle w:val="33"/>
        <w:rPr>
          <w:sz w:val="18"/>
          <w:szCs w:val="18"/>
          <w:lang w:val="en-GB"/>
        </w:rPr>
      </w:pPr>
      <w:r>
        <w:rPr>
          <w:sz w:val="18"/>
          <w:szCs w:val="18"/>
          <w:lang w:val="en-GB"/>
        </w:rPr>
        <w:t>R3-205402 Discussion on NR QoE requirements and potential solutions (Samsung)</w:t>
      </w:r>
    </w:p>
    <w:p>
      <w:pPr>
        <w:pStyle w:val="33"/>
        <w:rPr>
          <w:sz w:val="18"/>
          <w:szCs w:val="18"/>
          <w:lang w:val="en-GB"/>
        </w:rPr>
      </w:pPr>
      <w:r>
        <w:rPr>
          <w:sz w:val="18"/>
          <w:szCs w:val="18"/>
          <w:lang w:val="en-GB"/>
        </w:rPr>
        <w:t>R3-205403 Discussion on NR QoE interface impact and solutions (Samsung)</w:t>
      </w:r>
    </w:p>
    <w:p>
      <w:pPr>
        <w:pStyle w:val="33"/>
        <w:rPr>
          <w:sz w:val="18"/>
          <w:szCs w:val="18"/>
          <w:lang w:val="en-GB"/>
        </w:rPr>
      </w:pPr>
      <w:r>
        <w:rPr>
          <w:sz w:val="18"/>
          <w:szCs w:val="18"/>
          <w:lang w:val="en-GB"/>
        </w:rPr>
        <w:t>R3-205439 NR QoE management (CMCC)</w:t>
      </w:r>
    </w:p>
    <w:p>
      <w:pPr>
        <w:pStyle w:val="33"/>
        <w:rPr>
          <w:sz w:val="18"/>
          <w:szCs w:val="18"/>
          <w:lang w:val="en-GB"/>
        </w:rPr>
      </w:pPr>
      <w:r>
        <w:rPr>
          <w:sz w:val="18"/>
          <w:szCs w:val="18"/>
          <w:lang w:val="en-GB"/>
        </w:rPr>
        <w:t>R3-204708 Interworking with LTE QoE (Qualcomm Incorporated)</w:t>
      </w:r>
    </w:p>
    <w:p>
      <w:pPr>
        <w:pStyle w:val="33"/>
        <w:rPr>
          <w:sz w:val="18"/>
          <w:szCs w:val="18"/>
          <w:lang w:val="en-GB"/>
        </w:rPr>
      </w:pPr>
      <w:r>
        <w:rPr>
          <w:sz w:val="18"/>
          <w:szCs w:val="18"/>
          <w:lang w:val="en-GB"/>
        </w:rPr>
        <w:t>R3-205183 Consideration on slice QoE measurement (ZTE)</w:t>
      </w:r>
    </w:p>
    <w:p>
      <w:pPr>
        <w:pStyle w:val="33"/>
        <w:rPr>
          <w:sz w:val="18"/>
          <w:szCs w:val="18"/>
          <w:lang w:val="en-GB"/>
        </w:rPr>
      </w:pPr>
      <w:r>
        <w:rPr>
          <w:sz w:val="18"/>
          <w:szCs w:val="18"/>
          <w:lang w:val="en-GB"/>
        </w:rPr>
        <w:t>R3-204707 QoE handling in handover (Qualcomm Incorporated)</w:t>
      </w:r>
    </w:p>
    <w:p>
      <w:pPr>
        <w:pStyle w:val="2"/>
        <w:rPr>
          <w:lang w:val="en-GB"/>
        </w:rPr>
      </w:pPr>
      <w:r>
        <w:rPr>
          <w:lang w:val="en-GB"/>
        </w:rPr>
        <w:t>For the Chairman’s Notes</w:t>
      </w:r>
    </w:p>
    <w:p>
      <w:pPr>
        <w:rPr>
          <w:sz w:val="20"/>
          <w:szCs w:val="22"/>
          <w:lang w:val="en-GB"/>
        </w:rPr>
      </w:pPr>
      <w:r>
        <w:rPr>
          <w:sz w:val="20"/>
          <w:szCs w:val="22"/>
          <w:lang w:val="en-GB"/>
        </w:rPr>
        <w:t xml:space="preserve">TBW </w:t>
      </w:r>
    </w:p>
    <w:p>
      <w:pPr>
        <w:pStyle w:val="2"/>
        <w:rPr>
          <w:lang w:val="en-GB"/>
        </w:rPr>
      </w:pPr>
      <w:r>
        <w:rPr>
          <w:lang w:val="en-GB"/>
        </w:rPr>
        <w:t>Discussion</w:t>
      </w:r>
    </w:p>
    <w:p>
      <w:pPr>
        <w:pStyle w:val="3"/>
        <w:rPr>
          <w:lang w:val="en-GB"/>
        </w:rPr>
      </w:pPr>
      <w:r>
        <w:rPr>
          <w:lang w:val="en-GB"/>
        </w:rPr>
        <w:t>The high-level solution</w:t>
      </w:r>
    </w:p>
    <w:p>
      <w:pPr>
        <w:spacing w:before="120"/>
        <w:rPr>
          <w:bCs/>
          <w:sz w:val="20"/>
          <w:szCs w:val="20"/>
          <w:lang w:val="en-GB"/>
        </w:rPr>
      </w:pPr>
      <w:bookmarkStart w:id="1" w:name="_Hlk48486931"/>
      <w:r>
        <w:rPr>
          <w:bCs/>
          <w:sz w:val="20"/>
          <w:szCs w:val="20"/>
          <w:lang w:val="en-GB"/>
        </w:rPr>
        <w:t>A clear majority of contributions propose to agree/discuss the specification of both the management- and signalling-based solution. On the other hand, paper [9] proposes a completely new solution for time-critical services. Meanwhile, paper [2] proposes to use MDT as baseline for NR QMC.</w:t>
      </w:r>
    </w:p>
    <w:p>
      <w:pPr>
        <w:spacing w:before="120"/>
        <w:rPr>
          <w:b/>
          <w:sz w:val="20"/>
          <w:szCs w:val="20"/>
          <w:lang w:val="en-GB"/>
        </w:rPr>
      </w:pPr>
      <w:r>
        <w:rPr>
          <w:b/>
          <w:sz w:val="20"/>
          <w:szCs w:val="20"/>
          <w:lang w:val="en-GB"/>
        </w:rPr>
        <w:t>Q1-1: Should both the management-based and signalling-based solutions be specified for NR QoE management?</w:t>
      </w:r>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b/>
                <w:bCs/>
                <w:sz w:val="20"/>
                <w:szCs w:val="22"/>
                <w:lang w:val="en-GB"/>
              </w:rPr>
            </w:pPr>
            <w:r>
              <w:rPr>
                <w:b/>
                <w:bCs/>
                <w:sz w:val="20"/>
                <w:szCs w:val="22"/>
                <w:lang w:val="en-GB"/>
              </w:rPr>
              <w:t>Company</w:t>
            </w:r>
          </w:p>
        </w:tc>
        <w:tc>
          <w:tcPr>
            <w:tcW w:w="6840" w:type="dxa"/>
          </w:tcPr>
          <w:p>
            <w:pPr>
              <w:rPr>
                <w:b/>
                <w:bCs/>
                <w:sz w:val="20"/>
                <w:szCs w:val="22"/>
                <w:lang w:val="en-GB"/>
              </w:rPr>
            </w:pPr>
            <w:r>
              <w:rPr>
                <w:b/>
                <w:bCs/>
                <w:sz w:val="20"/>
                <w:szCs w:val="22"/>
                <w:lang w:val="en-GB"/>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sz w:val="20"/>
                <w:szCs w:val="22"/>
                <w:lang w:val="en-GB"/>
              </w:rPr>
            </w:pPr>
            <w:r>
              <w:rPr>
                <w:sz w:val="20"/>
                <w:szCs w:val="22"/>
                <w:lang w:val="en-GB"/>
              </w:rPr>
              <w:t>Ericsson</w:t>
            </w:r>
          </w:p>
        </w:tc>
        <w:tc>
          <w:tcPr>
            <w:tcW w:w="6840" w:type="dxa"/>
          </w:tcPr>
          <w:p>
            <w:pPr>
              <w:rPr>
                <w:sz w:val="20"/>
                <w:szCs w:val="22"/>
                <w:lang w:val="en-GB"/>
              </w:rPr>
            </w:pPr>
            <w:r>
              <w:rPr>
                <w:sz w:val="20"/>
                <w:szCs w:val="22"/>
                <w:lang w:val="en-GB"/>
              </w:rPr>
              <w:t>Yes. We further think that we should consider enhancing the management-based solution so that it should be possible to configure measurements for specific UEs.</w:t>
            </w:r>
          </w:p>
          <w:p>
            <w:pPr>
              <w:spacing w:before="120"/>
              <w:rPr>
                <w:bCs/>
                <w:sz w:val="20"/>
                <w:szCs w:val="20"/>
                <w:lang w:val="en-GB"/>
              </w:rPr>
            </w:pPr>
            <w:r>
              <w:rPr>
                <w:bCs/>
                <w:sz w:val="20"/>
                <w:szCs w:val="20"/>
                <w:lang w:val="en-GB"/>
              </w:rPr>
              <w:t>In our view, the “LTE solution as baseline”:</w:t>
            </w:r>
          </w:p>
          <w:p>
            <w:pPr>
              <w:pStyle w:val="48"/>
              <w:numPr>
                <w:ilvl w:val="0"/>
                <w:numId w:val="5"/>
              </w:numPr>
              <w:spacing w:before="120"/>
              <w:rPr>
                <w:bCs/>
                <w:sz w:val="20"/>
                <w:szCs w:val="20"/>
                <w:lang w:val="en-GB"/>
              </w:rPr>
            </w:pPr>
            <w:r>
              <w:rPr>
                <w:bCs/>
                <w:sz w:val="20"/>
                <w:szCs w:val="20"/>
                <w:lang w:val="en-GB"/>
              </w:rPr>
              <w:t>Implies specification of signalling and management-based solution;</w:t>
            </w:r>
          </w:p>
          <w:p>
            <w:pPr>
              <w:pStyle w:val="48"/>
              <w:numPr>
                <w:ilvl w:val="0"/>
                <w:numId w:val="5"/>
              </w:numPr>
              <w:spacing w:before="120"/>
              <w:rPr>
                <w:bCs/>
                <w:sz w:val="20"/>
                <w:szCs w:val="20"/>
                <w:lang w:val="en-GB"/>
              </w:rPr>
            </w:pPr>
            <w:r>
              <w:rPr>
                <w:bCs/>
                <w:sz w:val="20"/>
                <w:szCs w:val="20"/>
                <w:lang w:val="en-GB"/>
              </w:rPr>
              <w:t>Implies QMC delivery over SRB1;</w:t>
            </w:r>
          </w:p>
          <w:p>
            <w:pPr>
              <w:pStyle w:val="48"/>
              <w:numPr>
                <w:ilvl w:val="0"/>
                <w:numId w:val="5"/>
              </w:numPr>
              <w:spacing w:before="120"/>
              <w:rPr>
                <w:bCs/>
                <w:sz w:val="20"/>
                <w:szCs w:val="20"/>
                <w:lang w:val="en-GB"/>
              </w:rPr>
            </w:pPr>
            <w:r>
              <w:rPr>
                <w:bCs/>
                <w:sz w:val="20"/>
                <w:szCs w:val="20"/>
                <w:lang w:val="en-GB"/>
              </w:rPr>
              <w:t>Implies QoE report transport over SRB4;</w:t>
            </w:r>
          </w:p>
          <w:p>
            <w:pPr>
              <w:pStyle w:val="48"/>
              <w:numPr>
                <w:ilvl w:val="0"/>
                <w:numId w:val="5"/>
              </w:numPr>
              <w:spacing w:before="120"/>
              <w:rPr>
                <w:bCs/>
                <w:sz w:val="20"/>
                <w:szCs w:val="20"/>
                <w:lang w:val="en-GB"/>
              </w:rPr>
            </w:pPr>
            <w:r>
              <w:rPr>
                <w:bCs/>
                <w:sz w:val="20"/>
                <w:szCs w:val="20"/>
                <w:lang w:val="en-GB"/>
              </w:rPr>
              <w:t>Does not imply the reuse of Trace messages for signalling-based solution.</w:t>
            </w:r>
          </w:p>
          <w:p>
            <w:pPr>
              <w:spacing w:before="120"/>
              <w:rPr>
                <w:bCs/>
                <w:sz w:val="20"/>
                <w:szCs w:val="20"/>
                <w:lang w:val="en-GB"/>
              </w:rPr>
            </w:pPr>
            <w:r>
              <w:rPr>
                <w:bCs/>
                <w:sz w:val="20"/>
                <w:szCs w:val="20"/>
                <w:lang w:val="en-GB"/>
              </w:rPr>
              <w:t>In addition, both the SID and paper [8] make a distinction between the LTE-based solution (including management-based and signalling-based solution) and the MDT-based solution, meaning that LTE as a baseline does not imply the reuse of Trace messages for NR QoE.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sz w:val="20"/>
                <w:szCs w:val="22"/>
                <w:lang w:val="en-GB"/>
              </w:rPr>
            </w:pPr>
            <w:ins w:id="0" w:author="Xipeng" w:date="2020-08-17T15:17:00Z">
              <w:r>
                <w:rPr>
                  <w:sz w:val="20"/>
                  <w:szCs w:val="22"/>
                  <w:lang w:val="en-GB"/>
                </w:rPr>
                <w:t>Qualcomm</w:t>
              </w:r>
            </w:ins>
          </w:p>
        </w:tc>
        <w:tc>
          <w:tcPr>
            <w:tcW w:w="6840" w:type="dxa"/>
          </w:tcPr>
          <w:p>
            <w:pPr>
              <w:rPr>
                <w:ins w:id="1" w:author="Xipeng" w:date="2020-08-17T15:19:00Z"/>
                <w:sz w:val="20"/>
                <w:szCs w:val="22"/>
                <w:lang w:val="en-GB"/>
              </w:rPr>
            </w:pPr>
            <w:ins w:id="2" w:author="Xipeng" w:date="2020-08-17T15:17:00Z">
              <w:r>
                <w:rPr>
                  <w:sz w:val="20"/>
                  <w:szCs w:val="22"/>
                  <w:lang w:val="en-GB"/>
                </w:rPr>
                <w:t>Yes</w:t>
              </w:r>
            </w:ins>
            <w:ins w:id="3" w:author="Xipeng" w:date="2020-08-17T15:19:00Z">
              <w:r>
                <w:rPr>
                  <w:sz w:val="20"/>
                  <w:szCs w:val="22"/>
                  <w:lang w:val="en-GB"/>
                </w:rPr>
                <w:t xml:space="preserve">. </w:t>
              </w:r>
            </w:ins>
          </w:p>
          <w:p>
            <w:pPr>
              <w:rPr>
                <w:ins w:id="4" w:author="Xipeng" w:date="2020-08-17T15:21:00Z"/>
                <w:sz w:val="20"/>
                <w:szCs w:val="22"/>
                <w:lang w:val="en-GB"/>
              </w:rPr>
            </w:pPr>
            <w:ins w:id="5" w:author="Xipeng" w:date="2020-08-17T15:20:00Z">
              <w:r>
                <w:rPr>
                  <w:sz w:val="20"/>
                  <w:szCs w:val="22"/>
                  <w:lang w:val="en-GB"/>
                </w:rPr>
                <w:t>Application layer measurement should be RAT agnostic. So, we should make NR QoE sim</w:t>
              </w:r>
            </w:ins>
            <w:ins w:id="6" w:author="Xipeng" w:date="2020-08-17T15:21:00Z">
              <w:r>
                <w:rPr>
                  <w:sz w:val="20"/>
                  <w:szCs w:val="22"/>
                  <w:lang w:val="en-GB"/>
                </w:rPr>
                <w:t xml:space="preserve">ilar to LTE for easier interworking. </w:t>
              </w:r>
            </w:ins>
          </w:p>
          <w:p>
            <w:pPr>
              <w:rPr>
                <w:sz w:val="20"/>
                <w:szCs w:val="22"/>
                <w:lang w:val="en-GB"/>
              </w:rPr>
            </w:pPr>
            <w:ins w:id="7" w:author="Xipeng" w:date="2020-08-17T15:21:00Z">
              <w:r>
                <w:rPr>
                  <w:sz w:val="20"/>
                  <w:szCs w:val="22"/>
                  <w:lang w:val="en-GB"/>
                </w:rPr>
                <w:t xml:space="preserve">MDT </w:t>
              </w:r>
            </w:ins>
            <w:ins w:id="8" w:author="Xipeng" w:date="2020-08-17T15:22:00Z">
              <w:r>
                <w:rPr>
                  <w:sz w:val="20"/>
                  <w:szCs w:val="22"/>
                  <w:lang w:val="en-GB"/>
                </w:rPr>
                <w:t>and LTE QoE are based on trace. If NR QoE continues to be based on trace, it is easier for co</w:t>
              </w:r>
            </w:ins>
            <w:ins w:id="9" w:author="Xipeng" w:date="2020-08-17T15:23:00Z">
              <w:r>
                <w:rPr>
                  <w:sz w:val="20"/>
                  <w:szCs w:val="22"/>
                  <w:lang w:val="en-GB"/>
                </w:rPr>
                <w:t>rrelation with radio measurements (MDT).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 w:author="China Telecom" w:date="2020-08-18T12:39:00Z"/>
        </w:trPr>
        <w:tc>
          <w:tcPr>
            <w:tcW w:w="2340" w:type="dxa"/>
          </w:tcPr>
          <w:p>
            <w:pPr>
              <w:rPr>
                <w:ins w:id="11" w:author="China Telecom" w:date="2020-08-18T12:39:00Z"/>
                <w:sz w:val="20"/>
                <w:szCs w:val="22"/>
                <w:lang w:val="en-GB"/>
              </w:rPr>
            </w:pPr>
            <w:ins w:id="12" w:author="China Telecom" w:date="2020-08-18T12:39:00Z">
              <w:r>
                <w:rPr>
                  <w:rFonts w:hint="eastAsia" w:eastAsia="等线"/>
                  <w:sz w:val="20"/>
                  <w:szCs w:val="22"/>
                  <w:lang w:val="en-GB" w:eastAsia="zh-CN"/>
                </w:rPr>
                <w:t>China Telecom</w:t>
              </w:r>
            </w:ins>
          </w:p>
        </w:tc>
        <w:tc>
          <w:tcPr>
            <w:tcW w:w="6840" w:type="dxa"/>
          </w:tcPr>
          <w:p>
            <w:pPr>
              <w:rPr>
                <w:ins w:id="13" w:author="China Telecom" w:date="2020-08-18T12:39:00Z"/>
                <w:sz w:val="20"/>
                <w:szCs w:val="22"/>
                <w:lang w:val="en-GB"/>
              </w:rPr>
            </w:pPr>
            <w:ins w:id="14" w:author="China Telecom" w:date="2020-08-18T12:39:00Z">
              <w:r>
                <w:rPr>
                  <w:rFonts w:hint="eastAsia" w:eastAsia="等线"/>
                  <w:sz w:val="20"/>
                  <w:szCs w:val="22"/>
                  <w:lang w:val="en-GB" w:eastAsia="zh-CN"/>
                </w:rPr>
                <w:t>Yes</w:t>
              </w:r>
            </w:ins>
            <w:ins w:id="15" w:author="China Telecom" w:date="2020-08-18T12:39:00Z">
              <w:r>
                <w:rPr>
                  <w:rFonts w:eastAsia="等线"/>
                  <w:sz w:val="20"/>
                  <w:szCs w:val="22"/>
                  <w:lang w:val="en-GB" w:eastAsia="zh-CN"/>
                </w:rPr>
                <w:t>. Both management-based and signalling –based solution shall be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 w:author="ZTE-LiDapeng" w:date="2020-08-18T15:43:14Z"/>
        </w:trPr>
        <w:tc>
          <w:tcPr>
            <w:tcW w:w="2340" w:type="dxa"/>
          </w:tcPr>
          <w:p>
            <w:pPr>
              <w:rPr>
                <w:ins w:id="17" w:author="ZTE-LiDapeng" w:date="2020-08-18T15:43:14Z"/>
                <w:rFonts w:hint="default" w:eastAsia="等线"/>
                <w:sz w:val="20"/>
                <w:szCs w:val="22"/>
                <w:lang w:val="en-US" w:eastAsia="zh-CN"/>
              </w:rPr>
            </w:pPr>
            <w:ins w:id="18" w:author="ZTE-LiDapeng" w:date="2020-08-18T15:43:36Z">
              <w:r>
                <w:rPr>
                  <w:rFonts w:hint="eastAsia" w:eastAsia="等线"/>
                  <w:sz w:val="20"/>
                  <w:szCs w:val="22"/>
                  <w:lang w:val="en-US" w:eastAsia="zh-CN"/>
                </w:rPr>
                <w:t>ZTE</w:t>
              </w:r>
            </w:ins>
          </w:p>
        </w:tc>
        <w:tc>
          <w:tcPr>
            <w:tcW w:w="6840" w:type="dxa"/>
          </w:tcPr>
          <w:p>
            <w:pPr>
              <w:rPr>
                <w:ins w:id="19" w:author="ZTE-LiDapeng" w:date="2020-08-18T15:44:00Z"/>
                <w:rFonts w:hint="eastAsia" w:eastAsia="宋体"/>
                <w:sz w:val="20"/>
                <w:szCs w:val="22"/>
                <w:lang w:val="en-US" w:eastAsia="zh-CN"/>
              </w:rPr>
            </w:pPr>
            <w:ins w:id="20" w:author="ZTE-LiDapeng" w:date="2020-08-18T15:44:00Z">
              <w:r>
                <w:rPr>
                  <w:rFonts w:hint="eastAsia" w:eastAsia="宋体"/>
                  <w:sz w:val="20"/>
                  <w:szCs w:val="22"/>
                  <w:lang w:val="en-US" w:eastAsia="zh-CN"/>
                </w:rPr>
                <w:t>Yes.</w:t>
              </w:r>
            </w:ins>
          </w:p>
          <w:p>
            <w:pPr>
              <w:rPr>
                <w:ins w:id="21" w:author="ZTE-LiDapeng" w:date="2020-08-18T15:43:14Z"/>
                <w:rFonts w:hint="eastAsia" w:eastAsia="等线"/>
                <w:sz w:val="20"/>
                <w:szCs w:val="22"/>
                <w:lang w:val="en-GB" w:eastAsia="zh-CN"/>
              </w:rPr>
            </w:pPr>
            <w:ins w:id="22" w:author="ZTE-LiDapeng" w:date="2020-08-18T15:44:00Z">
              <w:r>
                <w:rPr>
                  <w:rFonts w:hint="eastAsia" w:eastAsia="宋体"/>
                  <w:sz w:val="20"/>
                  <w:szCs w:val="22"/>
                  <w:lang w:val="en-US" w:eastAsia="zh-CN"/>
                </w:rPr>
                <w:t>Share the view with QC.</w:t>
              </w:r>
            </w:ins>
          </w:p>
        </w:tc>
      </w:tr>
    </w:tbl>
    <w:p>
      <w:pPr>
        <w:rPr>
          <w:sz w:val="20"/>
          <w:szCs w:val="22"/>
          <w:lang w:val="en-GB"/>
        </w:rPr>
      </w:pPr>
    </w:p>
    <w:p>
      <w:pPr>
        <w:spacing w:before="120"/>
        <w:rPr>
          <w:b/>
          <w:sz w:val="20"/>
          <w:szCs w:val="20"/>
          <w:lang w:val="en-GB"/>
        </w:rPr>
      </w:pPr>
      <w:r>
        <w:rPr>
          <w:bCs/>
          <w:sz w:val="20"/>
          <w:szCs w:val="20"/>
          <w:lang w:val="en-GB"/>
        </w:rPr>
        <w:t>The QMC in the LTE signalling-based solution is piggybacked in Trace messages. In that respect, paper [5] proposes to define a dedicated signalling-based solution for NR QoE management, that does not reuse Trace messages. Paper [10] proposes that RAN creates the measurement configuration and sends it to the OAM. Based on the critical mass in the proposals, the following question is formulated:</w:t>
      </w:r>
    </w:p>
    <w:p>
      <w:pPr>
        <w:spacing w:before="120"/>
        <w:rPr>
          <w:b/>
          <w:sz w:val="20"/>
          <w:szCs w:val="20"/>
          <w:lang w:val="en-GB"/>
        </w:rPr>
      </w:pPr>
      <w:r>
        <w:rPr>
          <w:b/>
          <w:sz w:val="20"/>
          <w:szCs w:val="20"/>
          <w:lang w:val="en-GB"/>
        </w:rPr>
        <w:t>Q1-2: What is your view on specifying a dedicated procedure for signalling-based solution?</w:t>
      </w:r>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b/>
                <w:bCs/>
                <w:sz w:val="20"/>
                <w:szCs w:val="22"/>
                <w:lang w:val="en-GB"/>
              </w:rPr>
            </w:pPr>
            <w:r>
              <w:rPr>
                <w:b/>
                <w:bCs/>
                <w:sz w:val="20"/>
                <w:szCs w:val="22"/>
                <w:lang w:val="en-GB"/>
              </w:rPr>
              <w:t>Company</w:t>
            </w:r>
          </w:p>
        </w:tc>
        <w:tc>
          <w:tcPr>
            <w:tcW w:w="6840" w:type="dxa"/>
          </w:tcPr>
          <w:p>
            <w:pPr>
              <w:rPr>
                <w:b/>
                <w:bCs/>
                <w:sz w:val="20"/>
                <w:szCs w:val="22"/>
                <w:lang w:val="en-GB"/>
              </w:rPr>
            </w:pPr>
            <w:r>
              <w:rPr>
                <w:b/>
                <w:bCs/>
                <w:sz w:val="20"/>
                <w:szCs w:val="22"/>
                <w:lang w:val="en-GB"/>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sz w:val="20"/>
                <w:szCs w:val="22"/>
                <w:lang w:val="en-GB"/>
              </w:rPr>
            </w:pPr>
            <w:r>
              <w:rPr>
                <w:sz w:val="20"/>
                <w:szCs w:val="22"/>
                <w:lang w:val="en-GB"/>
              </w:rPr>
              <w:t>Ericsson</w:t>
            </w:r>
          </w:p>
        </w:tc>
        <w:tc>
          <w:tcPr>
            <w:tcW w:w="6840" w:type="dxa"/>
          </w:tcPr>
          <w:p>
            <w:pPr>
              <w:rPr>
                <w:sz w:val="20"/>
                <w:szCs w:val="22"/>
                <w:lang w:val="en-GB"/>
              </w:rPr>
            </w:pPr>
            <w:r>
              <w:rPr>
                <w:sz w:val="20"/>
                <w:szCs w:val="22"/>
                <w:lang w:val="en-GB"/>
              </w:rPr>
              <w:t xml:space="preserve">We think that </w:t>
            </w:r>
            <w:r>
              <w:rPr>
                <w:b/>
                <w:bCs/>
                <w:sz w:val="20"/>
                <w:szCs w:val="22"/>
                <w:u w:val="single"/>
                <w:lang w:val="en-GB"/>
              </w:rPr>
              <w:t>a dedicated set of procedures</w:t>
            </w:r>
            <w:r>
              <w:rPr>
                <w:sz w:val="20"/>
                <w:szCs w:val="22"/>
                <w:lang w:val="en-GB"/>
              </w:rPr>
              <w:t xml:space="preserve"> should be defined for signalling-based NR QoE. Trace/MDT and QoE management are two different features and the QoE signalling should not be piggybacked on Trace messages. Moreover, the signalling design for Trace messages is Trace-centric so thee would need to be more than a few “bug fixes” to invalidate the mandatory Trace-specific IEs in the existing messages. We should not mandate that the Trace Collection Entity and the entity collecting QoE measurements are the same.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sz w:val="20"/>
                <w:szCs w:val="22"/>
                <w:lang w:val="en-GB"/>
              </w:rPr>
            </w:pPr>
            <w:ins w:id="23" w:author="Xipeng" w:date="2020-08-17T15:28:00Z">
              <w:r>
                <w:rPr>
                  <w:sz w:val="20"/>
                  <w:szCs w:val="22"/>
                  <w:lang w:val="en-GB"/>
                </w:rPr>
                <w:t>Qualcomm</w:t>
              </w:r>
            </w:ins>
          </w:p>
        </w:tc>
        <w:tc>
          <w:tcPr>
            <w:tcW w:w="6840" w:type="dxa"/>
          </w:tcPr>
          <w:p>
            <w:pPr>
              <w:rPr>
                <w:sz w:val="20"/>
                <w:szCs w:val="22"/>
                <w:lang w:val="en-GB"/>
              </w:rPr>
            </w:pPr>
            <w:ins w:id="24" w:author="Xipeng" w:date="2020-08-17T15:28:00Z">
              <w:r>
                <w:rPr>
                  <w:sz w:val="20"/>
                  <w:szCs w:val="22"/>
                  <w:lang w:val="en-GB"/>
                </w:rPr>
                <w:t>As answered in last question, we th</w:t>
              </w:r>
            </w:ins>
            <w:ins w:id="25" w:author="Xipeng" w:date="2020-08-17T15:29:00Z">
              <w:r>
                <w:rPr>
                  <w:sz w:val="20"/>
                  <w:szCs w:val="22"/>
                  <w:lang w:val="en-GB"/>
                </w:rPr>
                <w:t>ink trace based architecture is easier for interworking with LTE and correlation with radio measurements (MDT).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 w:author="China Telecom" w:date="2020-08-18T12:39:00Z"/>
        </w:trPr>
        <w:tc>
          <w:tcPr>
            <w:tcW w:w="2340" w:type="dxa"/>
          </w:tcPr>
          <w:p>
            <w:pPr>
              <w:rPr>
                <w:ins w:id="27" w:author="China Telecom" w:date="2020-08-18T12:39:00Z"/>
                <w:rFonts w:hint="eastAsia" w:eastAsia="等线"/>
                <w:sz w:val="20"/>
                <w:szCs w:val="22"/>
                <w:lang w:val="en-GB" w:eastAsia="zh-CN"/>
                <w:rPrChange w:id="28" w:author="China Telecom" w:date="2020-08-18T12:39:00Z">
                  <w:rPr>
                    <w:ins w:id="29" w:author="China Telecom" w:date="2020-08-18T12:39:00Z"/>
                    <w:sz w:val="20"/>
                    <w:szCs w:val="22"/>
                    <w:lang w:val="en-GB"/>
                  </w:rPr>
                </w:rPrChange>
              </w:rPr>
            </w:pPr>
            <w:ins w:id="30" w:author="China Telecom" w:date="2020-08-18T12:39:00Z">
              <w:r>
                <w:rPr>
                  <w:rFonts w:hint="eastAsia" w:eastAsia="等线"/>
                  <w:sz w:val="20"/>
                  <w:szCs w:val="22"/>
                  <w:lang w:val="en-GB" w:eastAsia="zh-CN"/>
                </w:rPr>
                <w:t>China Telecom</w:t>
              </w:r>
            </w:ins>
          </w:p>
        </w:tc>
        <w:tc>
          <w:tcPr>
            <w:tcW w:w="6840" w:type="dxa"/>
          </w:tcPr>
          <w:p>
            <w:pPr>
              <w:rPr>
                <w:ins w:id="31" w:author="China Telecom" w:date="2020-08-18T12:39:00Z"/>
                <w:rFonts w:hint="eastAsia" w:eastAsia="等线"/>
                <w:sz w:val="20"/>
                <w:szCs w:val="22"/>
                <w:lang w:val="en-GB" w:eastAsia="zh-CN"/>
                <w:rPrChange w:id="32" w:author="China Telecom" w:date="2020-08-18T12:39:00Z">
                  <w:rPr>
                    <w:ins w:id="33" w:author="China Telecom" w:date="2020-08-18T12:39:00Z"/>
                    <w:sz w:val="20"/>
                    <w:szCs w:val="22"/>
                    <w:lang w:val="en-GB"/>
                  </w:rPr>
                </w:rPrChange>
              </w:rPr>
            </w:pPr>
            <w:ins w:id="34" w:author="China Telecom" w:date="2020-08-18T12:39:00Z">
              <w:r>
                <w:rPr>
                  <w:rFonts w:hint="eastAsia" w:eastAsia="等线"/>
                  <w:sz w:val="20"/>
                  <w:szCs w:val="22"/>
                  <w:lang w:val="en-GB" w:eastAsia="zh-CN"/>
                </w:rPr>
                <w:t>Agree with Qualcomm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 w:author="ZTE-LiDapeng" w:date="2020-08-18T15:43:38Z"/>
        </w:trPr>
        <w:tc>
          <w:tcPr>
            <w:tcW w:w="2340" w:type="dxa"/>
          </w:tcPr>
          <w:p>
            <w:pPr>
              <w:rPr>
                <w:ins w:id="36" w:author="ZTE-LiDapeng" w:date="2020-08-18T15:43:38Z"/>
                <w:rFonts w:hint="default" w:eastAsia="等线"/>
                <w:sz w:val="20"/>
                <w:szCs w:val="22"/>
                <w:lang w:val="en-US" w:eastAsia="zh-CN"/>
              </w:rPr>
            </w:pPr>
            <w:ins w:id="37" w:author="ZTE-LiDapeng" w:date="2020-08-18T15:44:14Z">
              <w:r>
                <w:rPr>
                  <w:rFonts w:hint="eastAsia" w:eastAsia="等线"/>
                  <w:sz w:val="20"/>
                  <w:szCs w:val="22"/>
                  <w:lang w:val="en-US" w:eastAsia="zh-CN"/>
                </w:rPr>
                <w:t>ZT</w:t>
              </w:r>
            </w:ins>
            <w:ins w:id="38" w:author="ZTE-LiDapeng" w:date="2020-08-18T15:44:15Z">
              <w:r>
                <w:rPr>
                  <w:rFonts w:hint="eastAsia" w:eastAsia="等线"/>
                  <w:sz w:val="20"/>
                  <w:szCs w:val="22"/>
                  <w:lang w:val="en-US" w:eastAsia="zh-CN"/>
                </w:rPr>
                <w:t>E</w:t>
              </w:r>
            </w:ins>
          </w:p>
        </w:tc>
        <w:tc>
          <w:tcPr>
            <w:tcW w:w="6840" w:type="dxa"/>
          </w:tcPr>
          <w:p>
            <w:pPr>
              <w:rPr>
                <w:ins w:id="39" w:author="ZTE-LiDapeng" w:date="2020-08-18T15:43:38Z"/>
                <w:rFonts w:hint="eastAsia" w:eastAsia="等线"/>
                <w:sz w:val="20"/>
                <w:szCs w:val="22"/>
                <w:lang w:val="en-GB" w:eastAsia="zh-CN"/>
              </w:rPr>
            </w:pPr>
            <w:ins w:id="40" w:author="ZTE-LiDapeng" w:date="2020-08-18T15:44:13Z">
              <w:r>
                <w:rPr>
                  <w:rFonts w:hint="eastAsia" w:eastAsia="宋体"/>
                  <w:sz w:val="20"/>
                  <w:szCs w:val="22"/>
                  <w:lang w:val="en-US" w:eastAsia="zh-CN"/>
                </w:rPr>
                <w:t>The same view as QC.</w:t>
              </w:r>
            </w:ins>
          </w:p>
        </w:tc>
      </w:tr>
    </w:tbl>
    <w:p>
      <w:pPr>
        <w:spacing w:before="120"/>
        <w:rPr>
          <w:bCs/>
          <w:sz w:val="20"/>
          <w:szCs w:val="20"/>
          <w:lang w:val="en-GB"/>
        </w:rPr>
      </w:pPr>
      <w:r>
        <w:rPr>
          <w:bCs/>
          <w:sz w:val="20"/>
          <w:szCs w:val="20"/>
          <w:lang w:val="en-GB"/>
        </w:rPr>
        <w:t xml:space="preserve">Papers [3], [10] and [14] argue that is preferable that QoE measurement configuration and reports are visible at the RAN. The same seems to be preferred by paper [12]. Meanwhile, paper [1] expresses a preference towards sending the two transparently over the RAN. </w:t>
      </w:r>
    </w:p>
    <w:p>
      <w:pPr>
        <w:spacing w:before="120"/>
        <w:rPr>
          <w:b/>
          <w:sz w:val="20"/>
          <w:szCs w:val="20"/>
          <w:lang w:val="en-GB"/>
        </w:rPr>
      </w:pPr>
      <w:r>
        <w:rPr>
          <w:b/>
          <w:sz w:val="20"/>
          <w:szCs w:val="20"/>
          <w:lang w:val="en-GB"/>
        </w:rPr>
        <w:t>Q1-3: Should the NR measurement configuration and QoE reports be visible at the RAN?</w:t>
      </w:r>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b/>
                <w:bCs/>
                <w:sz w:val="20"/>
                <w:szCs w:val="22"/>
                <w:lang w:val="en-GB"/>
              </w:rPr>
            </w:pPr>
            <w:r>
              <w:rPr>
                <w:b/>
                <w:bCs/>
                <w:sz w:val="20"/>
                <w:szCs w:val="22"/>
                <w:lang w:val="en-GB"/>
              </w:rPr>
              <w:t>Company</w:t>
            </w:r>
          </w:p>
        </w:tc>
        <w:tc>
          <w:tcPr>
            <w:tcW w:w="6840" w:type="dxa"/>
          </w:tcPr>
          <w:p>
            <w:pPr>
              <w:rPr>
                <w:b/>
                <w:bCs/>
                <w:sz w:val="20"/>
                <w:szCs w:val="22"/>
                <w:lang w:val="en-GB"/>
              </w:rPr>
            </w:pPr>
            <w:r>
              <w:rPr>
                <w:b/>
                <w:bCs/>
                <w:sz w:val="20"/>
                <w:szCs w:val="22"/>
                <w:lang w:val="en-GB"/>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sz w:val="20"/>
                <w:szCs w:val="22"/>
                <w:lang w:val="en-GB"/>
              </w:rPr>
            </w:pPr>
            <w:r>
              <w:rPr>
                <w:sz w:val="20"/>
                <w:szCs w:val="22"/>
                <w:lang w:val="en-GB"/>
              </w:rPr>
              <w:t>Ericsson</w:t>
            </w:r>
          </w:p>
        </w:tc>
        <w:tc>
          <w:tcPr>
            <w:tcW w:w="6840" w:type="dxa"/>
          </w:tcPr>
          <w:p>
            <w:pPr>
              <w:rPr>
                <w:sz w:val="20"/>
                <w:szCs w:val="22"/>
                <w:lang w:val="en-GB"/>
              </w:rPr>
            </w:pPr>
            <w:r>
              <w:rPr>
                <w:sz w:val="20"/>
                <w:szCs w:val="22"/>
                <w:lang w:val="en-GB"/>
              </w:rPr>
              <w:t>Yes, we believe that this is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sz w:val="20"/>
                <w:szCs w:val="22"/>
                <w:lang w:val="en-GB"/>
              </w:rPr>
            </w:pPr>
            <w:ins w:id="41" w:author="Xipeng" w:date="2020-08-17T15:29:00Z">
              <w:r>
                <w:rPr>
                  <w:sz w:val="20"/>
                  <w:szCs w:val="22"/>
                  <w:lang w:val="en-GB"/>
                </w:rPr>
                <w:t>Qualcomm</w:t>
              </w:r>
            </w:ins>
          </w:p>
        </w:tc>
        <w:tc>
          <w:tcPr>
            <w:tcW w:w="6840" w:type="dxa"/>
          </w:tcPr>
          <w:p>
            <w:pPr>
              <w:rPr>
                <w:ins w:id="42" w:author="Xipeng" w:date="2020-08-17T15:30:00Z"/>
                <w:sz w:val="20"/>
                <w:szCs w:val="22"/>
                <w:lang w:val="en-GB"/>
              </w:rPr>
            </w:pPr>
            <w:ins w:id="43" w:author="Xipeng" w:date="2020-08-17T15:29:00Z">
              <w:r>
                <w:rPr>
                  <w:sz w:val="20"/>
                  <w:szCs w:val="22"/>
                  <w:lang w:val="en-GB"/>
                </w:rPr>
                <w:t xml:space="preserve">For </w:t>
              </w:r>
            </w:ins>
            <w:ins w:id="44" w:author="Xipeng" w:date="2020-08-17T15:30:00Z">
              <w:r>
                <w:rPr>
                  <w:sz w:val="20"/>
                  <w:szCs w:val="22"/>
                  <w:lang w:val="en-GB"/>
                </w:rPr>
                <w:t xml:space="preserve">the services </w:t>
              </w:r>
            </w:ins>
            <w:ins w:id="45" w:author="Xipeng" w:date="2020-08-17T15:31:00Z">
              <w:r>
                <w:rPr>
                  <w:sz w:val="20"/>
                  <w:szCs w:val="22"/>
                  <w:lang w:val="en-GB"/>
                </w:rPr>
                <w:t xml:space="preserve">(MTSI, Video, AR, MBMS) </w:t>
              </w:r>
            </w:ins>
            <w:ins w:id="46" w:author="Xipeng" w:date="2020-08-17T15:30:00Z">
              <w:r>
                <w:rPr>
                  <w:sz w:val="20"/>
                  <w:szCs w:val="22"/>
                  <w:lang w:val="en-GB"/>
                </w:rPr>
                <w:t>with SA4 define QoE metrics, it should be up to gNB implementation to under</w:t>
              </w:r>
            </w:ins>
            <w:ins w:id="47" w:author="Xipeng" w:date="2020-08-17T15:31:00Z">
              <w:r>
                <w:rPr>
                  <w:sz w:val="20"/>
                  <w:szCs w:val="22"/>
                  <w:lang w:val="en-GB"/>
                </w:rPr>
                <w:t>stand</w:t>
              </w:r>
            </w:ins>
            <w:ins w:id="48" w:author="Xipeng" w:date="2020-08-17T15:30:00Z">
              <w:r>
                <w:rPr>
                  <w:sz w:val="20"/>
                  <w:szCs w:val="22"/>
                  <w:lang w:val="en-GB"/>
                </w:rPr>
                <w:t xml:space="preserve"> the </w:t>
              </w:r>
            </w:ins>
            <w:ins w:id="49" w:author="Xipeng" w:date="2020-08-17T15:33:00Z">
              <w:r>
                <w:rPr>
                  <w:sz w:val="20"/>
                  <w:szCs w:val="22"/>
                  <w:lang w:val="en-GB"/>
                </w:rPr>
                <w:t xml:space="preserve">SA4 defined </w:t>
              </w:r>
            </w:ins>
            <w:ins w:id="50" w:author="Xipeng" w:date="2020-08-17T15:30:00Z">
              <w:r>
                <w:rPr>
                  <w:sz w:val="20"/>
                  <w:szCs w:val="22"/>
                  <w:lang w:val="en-GB"/>
                </w:rPr>
                <w:t>QoE container</w:t>
              </w:r>
            </w:ins>
            <w:ins w:id="51" w:author="Xipeng" w:date="2020-08-17T15:33:00Z">
              <w:r>
                <w:rPr>
                  <w:sz w:val="20"/>
                  <w:szCs w:val="22"/>
                  <w:lang w:val="en-GB"/>
                </w:rPr>
                <w:t>s</w:t>
              </w:r>
            </w:ins>
            <w:ins w:id="52" w:author="Xipeng" w:date="2020-08-17T15:30:00Z">
              <w:r>
                <w:rPr>
                  <w:sz w:val="20"/>
                  <w:szCs w:val="22"/>
                  <w:lang w:val="en-GB"/>
                </w:rPr>
                <w:t>.</w:t>
              </w:r>
            </w:ins>
          </w:p>
          <w:p>
            <w:pPr>
              <w:rPr>
                <w:sz w:val="20"/>
                <w:szCs w:val="22"/>
                <w:lang w:val="en-GB"/>
              </w:rPr>
            </w:pPr>
            <w:ins w:id="53" w:author="Xipeng" w:date="2020-08-17T15:31:00Z">
              <w:r>
                <w:rPr>
                  <w:sz w:val="20"/>
                  <w:szCs w:val="22"/>
                  <w:lang w:val="en-GB"/>
                </w:rPr>
                <w:t xml:space="preserve">It should be possible </w:t>
              </w:r>
            </w:ins>
            <w:ins w:id="54" w:author="Xipeng" w:date="2020-08-17T15:32:00Z">
              <w:r>
                <w:rPr>
                  <w:sz w:val="20"/>
                  <w:szCs w:val="22"/>
                  <w:lang w:val="en-GB"/>
                </w:rPr>
                <w:t xml:space="preserve">for RAN2/RAN3 </w:t>
              </w:r>
            </w:ins>
            <w:ins w:id="55" w:author="Xipeng" w:date="2020-08-17T15:31:00Z">
              <w:r>
                <w:rPr>
                  <w:sz w:val="20"/>
                  <w:szCs w:val="22"/>
                  <w:lang w:val="en-GB"/>
                </w:rPr>
                <w:t xml:space="preserve">to define </w:t>
              </w:r>
            </w:ins>
            <w:ins w:id="56" w:author="Xipeng" w:date="2020-08-17T15:32:00Z">
              <w:r>
                <w:rPr>
                  <w:sz w:val="20"/>
                  <w:szCs w:val="22"/>
                  <w:lang w:val="en-GB"/>
                </w:rPr>
                <w:t>new QoE containers which are understandable for RAN.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7" w:author="China Telecom" w:date="2020-08-18T12:40:00Z"/>
        </w:trPr>
        <w:tc>
          <w:tcPr>
            <w:tcW w:w="2340" w:type="dxa"/>
          </w:tcPr>
          <w:p>
            <w:pPr>
              <w:rPr>
                <w:ins w:id="58" w:author="China Telecom" w:date="2020-08-18T12:40:00Z"/>
                <w:sz w:val="20"/>
                <w:szCs w:val="22"/>
                <w:lang w:val="en-GB"/>
              </w:rPr>
            </w:pPr>
            <w:ins w:id="59" w:author="China Telecom" w:date="2020-08-18T12:40:00Z">
              <w:r>
                <w:rPr>
                  <w:rFonts w:hint="eastAsia" w:eastAsia="等线"/>
                  <w:sz w:val="20"/>
                  <w:szCs w:val="22"/>
                  <w:lang w:val="en-GB" w:eastAsia="zh-CN"/>
                </w:rPr>
                <w:t>China Telecom</w:t>
              </w:r>
            </w:ins>
          </w:p>
        </w:tc>
        <w:tc>
          <w:tcPr>
            <w:tcW w:w="6840" w:type="dxa"/>
          </w:tcPr>
          <w:p>
            <w:pPr>
              <w:rPr>
                <w:ins w:id="60" w:author="China Telecom" w:date="2020-08-18T12:40:00Z"/>
                <w:rFonts w:eastAsia="等线"/>
                <w:sz w:val="20"/>
                <w:szCs w:val="22"/>
                <w:lang w:val="en-GB" w:eastAsia="zh-CN"/>
              </w:rPr>
            </w:pPr>
            <w:ins w:id="61" w:author="China Telecom" w:date="2020-08-18T12:40:00Z">
              <w:r>
                <w:rPr>
                  <w:rFonts w:eastAsia="等线"/>
                  <w:sz w:val="20"/>
                  <w:szCs w:val="22"/>
                  <w:lang w:val="en-GB" w:eastAsia="zh-CN"/>
                </w:rPr>
                <w:t xml:space="preserve">Yes. In our understanding, </w:t>
              </w:r>
            </w:ins>
            <w:ins w:id="62" w:author="China Telecom" w:date="2020-08-18T12:40:00Z">
              <w:r>
                <w:rPr>
                  <w:rFonts w:hint="eastAsia" w:eastAsia="等线"/>
                  <w:sz w:val="20"/>
                  <w:szCs w:val="22"/>
                  <w:lang w:val="en-GB" w:eastAsia="zh-CN"/>
                </w:rPr>
                <w:t xml:space="preserve">RAN can </w:t>
              </w:r>
            </w:ins>
            <w:ins w:id="63" w:author="China Telecom" w:date="2020-08-18T12:40:00Z">
              <w:r>
                <w:rPr>
                  <w:rFonts w:eastAsia="等线"/>
                  <w:sz w:val="20"/>
                  <w:szCs w:val="22"/>
                  <w:lang w:val="en-GB" w:eastAsia="zh-CN"/>
                </w:rPr>
                <w:t>configure visible measurement/report configuration for some QOE metrics to UE</w:t>
              </w:r>
            </w:ins>
            <w:ins w:id="64" w:author="China Telecom" w:date="2020-08-18T12:40:00Z">
              <w:r>
                <w:rPr>
                  <w:rFonts w:hint="eastAsia" w:eastAsia="等线"/>
                  <w:sz w:val="20"/>
                  <w:szCs w:val="22"/>
                  <w:lang w:val="en-GB" w:eastAsia="zh-CN"/>
                </w:rPr>
                <w:t xml:space="preserve">. </w:t>
              </w:r>
            </w:ins>
          </w:p>
          <w:p>
            <w:pPr>
              <w:rPr>
                <w:ins w:id="65" w:author="China Telecom" w:date="2020-08-18T12:40:00Z"/>
                <w:rFonts w:eastAsia="等线"/>
                <w:sz w:val="20"/>
                <w:szCs w:val="22"/>
                <w:lang w:val="en-GB" w:eastAsia="zh-CN"/>
              </w:rPr>
            </w:pPr>
            <w:ins w:id="66" w:author="China Telecom" w:date="2020-08-18T12:40:00Z">
              <w:r>
                <w:rPr>
                  <w:rFonts w:eastAsia="等线"/>
                  <w:sz w:val="20"/>
                  <w:szCs w:val="22"/>
                  <w:lang w:val="en-GB" w:eastAsia="zh-CN"/>
                </w:rPr>
                <w:t>The reasons are as follows:</w:t>
              </w:r>
            </w:ins>
          </w:p>
          <w:p>
            <w:pPr>
              <w:pStyle w:val="48"/>
              <w:numPr>
                <w:ilvl w:val="0"/>
                <w:numId w:val="6"/>
              </w:numPr>
              <w:rPr>
                <w:ins w:id="67" w:author="China Telecom" w:date="2020-08-18T12:40:00Z"/>
                <w:rFonts w:eastAsia="等线"/>
                <w:sz w:val="20"/>
                <w:szCs w:val="22"/>
                <w:lang w:val="en-GB" w:eastAsia="zh-CN"/>
              </w:rPr>
            </w:pPr>
            <w:ins w:id="68" w:author="China Telecom" w:date="2020-08-18T12:40:00Z">
              <w:r>
                <w:rPr>
                  <w:rFonts w:eastAsia="等线"/>
                  <w:sz w:val="20"/>
                  <w:szCs w:val="22"/>
                  <w:lang w:val="en-GB" w:eastAsia="zh-CN"/>
                </w:rPr>
                <w:t xml:space="preserve">some QOE metrics for traffic quality have been defined in SA4 related specifications. XML based QOE configuration/report has good scalability for new traffic. In LTE system, the QoE configuration will be delivered via RRC to the UE as a container according to "measConfigApplicationLayer". For these metrics, the content of QOE measurement/report is invisible at RAN. </w:t>
              </w:r>
            </w:ins>
          </w:p>
          <w:p>
            <w:pPr>
              <w:rPr>
                <w:ins w:id="69" w:author="China Telecom" w:date="2020-08-18T12:40:00Z"/>
                <w:rFonts w:eastAsia="等线"/>
                <w:sz w:val="20"/>
                <w:szCs w:val="22"/>
                <w:lang w:val="en-GB" w:eastAsia="zh-CN"/>
              </w:rPr>
            </w:pPr>
            <w:ins w:id="70" w:author="China Telecom" w:date="2020-08-18T12:40:00Z">
              <w:r>
                <w:rPr>
                  <w:lang w:eastAsia="zh-CN"/>
                </w:rPr>
                <w:drawing>
                  <wp:inline distT="0" distB="0" distL="0" distR="0">
                    <wp:extent cx="3657600" cy="2926080"/>
                    <wp:effectExtent l="0" t="0" r="0" b="7620"/>
                    <wp:docPr id="1" name="图片 1" descr="S4-180xxxx CR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4-180xxxx CR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657600" cy="2926080"/>
                            </a:xfrm>
                            <a:prstGeom prst="rect">
                              <a:avLst/>
                            </a:prstGeom>
                            <a:noFill/>
                            <a:ln>
                              <a:noFill/>
                            </a:ln>
                          </pic:spPr>
                        </pic:pic>
                      </a:graphicData>
                    </a:graphic>
                  </wp:inline>
                </w:drawing>
              </w:r>
            </w:ins>
          </w:p>
          <w:p>
            <w:pPr>
              <w:rPr>
                <w:ins w:id="72" w:author="China Telecom" w:date="2020-08-18T12:40:00Z"/>
                <w:sz w:val="20"/>
                <w:szCs w:val="22"/>
                <w:lang w:val="en-GB"/>
              </w:rPr>
            </w:pPr>
            <w:ins w:id="73" w:author="China Telecom" w:date="2020-08-18T12:40:00Z">
              <w:r>
                <w:rPr>
                  <w:rFonts w:eastAsia="等线"/>
                  <w:sz w:val="20"/>
                  <w:szCs w:val="22"/>
                  <w:lang w:val="en-GB" w:eastAsia="zh-CN"/>
                </w:rPr>
                <w:t xml:space="preserve">In order to optimize wireless network performance, </w:t>
              </w:r>
            </w:ins>
            <w:ins w:id="74" w:author="China Telecom" w:date="2020-08-18T12:40:00Z">
              <w:r>
                <w:rPr>
                  <w:rFonts w:hint="eastAsia" w:eastAsia="等线"/>
                  <w:sz w:val="20"/>
                  <w:szCs w:val="22"/>
                  <w:lang w:val="en-GB" w:eastAsia="zh-CN"/>
                </w:rPr>
                <w:t xml:space="preserve">it is </w:t>
              </w:r>
            </w:ins>
            <w:ins w:id="75" w:author="China Telecom" w:date="2020-08-18T12:40:00Z">
              <w:r>
                <w:rPr>
                  <w:rFonts w:eastAsia="等线"/>
                  <w:sz w:val="20"/>
                  <w:szCs w:val="22"/>
                  <w:lang w:val="en-GB" w:eastAsia="zh-CN"/>
                </w:rPr>
                <w:t>beneficial</w:t>
              </w:r>
            </w:ins>
            <w:ins w:id="76" w:author="China Telecom" w:date="2020-08-18T12:40:00Z">
              <w:r>
                <w:rPr>
                  <w:rFonts w:hint="eastAsia" w:eastAsia="等线"/>
                  <w:sz w:val="20"/>
                  <w:szCs w:val="22"/>
                  <w:lang w:val="en-GB" w:eastAsia="zh-CN"/>
                </w:rPr>
                <w:t xml:space="preserve"> to </w:t>
              </w:r>
            </w:ins>
            <w:ins w:id="77" w:author="China Telecom" w:date="2020-08-18T12:40:00Z">
              <w:r>
                <w:rPr>
                  <w:rFonts w:eastAsia="等线"/>
                  <w:sz w:val="20"/>
                  <w:szCs w:val="22"/>
                  <w:lang w:val="en-GB" w:eastAsia="zh-CN"/>
                </w:rPr>
                <w:t xml:space="preserve">define new QOE metrics for radio layer. Therefore, the NW could configure visible measurement/report for some QOE metrics to UE via RRC message.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8" w:author="ZTE-LiDapeng" w:date="2020-08-18T15:44:21Z"/>
        </w:trPr>
        <w:tc>
          <w:tcPr>
            <w:tcW w:w="2340" w:type="dxa"/>
          </w:tcPr>
          <w:p>
            <w:pPr>
              <w:rPr>
                <w:ins w:id="79" w:author="ZTE-LiDapeng" w:date="2020-08-18T15:44:21Z"/>
                <w:rFonts w:hint="default" w:eastAsia="等线"/>
                <w:sz w:val="20"/>
                <w:szCs w:val="22"/>
                <w:lang w:val="en-US" w:eastAsia="zh-CN"/>
              </w:rPr>
            </w:pPr>
            <w:ins w:id="80" w:author="ZTE-LiDapeng" w:date="2020-08-18T15:44:31Z">
              <w:r>
                <w:rPr>
                  <w:rFonts w:hint="eastAsia" w:eastAsia="等线"/>
                  <w:sz w:val="20"/>
                  <w:szCs w:val="22"/>
                  <w:lang w:val="en-US" w:eastAsia="zh-CN"/>
                </w:rPr>
                <w:t>ZT</w:t>
              </w:r>
            </w:ins>
            <w:ins w:id="81" w:author="ZTE-LiDapeng" w:date="2020-08-18T15:44:32Z">
              <w:r>
                <w:rPr>
                  <w:rFonts w:hint="eastAsia" w:eastAsia="等线"/>
                  <w:sz w:val="20"/>
                  <w:szCs w:val="22"/>
                  <w:lang w:val="en-US" w:eastAsia="zh-CN"/>
                </w:rPr>
                <w:t>E</w:t>
              </w:r>
            </w:ins>
          </w:p>
        </w:tc>
        <w:tc>
          <w:tcPr>
            <w:tcW w:w="6840" w:type="dxa"/>
          </w:tcPr>
          <w:p>
            <w:pPr>
              <w:rPr>
                <w:ins w:id="82" w:author="ZTE-LiDapeng" w:date="2020-08-18T15:44:21Z"/>
                <w:rFonts w:eastAsia="等线"/>
                <w:sz w:val="20"/>
                <w:szCs w:val="22"/>
                <w:lang w:val="en-GB" w:eastAsia="zh-CN"/>
              </w:rPr>
            </w:pPr>
            <w:ins w:id="83" w:author="ZTE-LiDapeng" w:date="2020-08-18T15:44:30Z">
              <w:r>
                <w:rPr>
                  <w:rFonts w:hint="eastAsia" w:eastAsia="宋体"/>
                  <w:sz w:val="20"/>
                  <w:szCs w:val="22"/>
                  <w:lang w:val="en-US" w:eastAsia="zh-CN"/>
                </w:rPr>
                <w:t>It is beneficial, depends on how to define the QoE reports.</w:t>
              </w:r>
            </w:ins>
          </w:p>
        </w:tc>
      </w:tr>
    </w:tbl>
    <w:p>
      <w:pPr>
        <w:spacing w:before="120"/>
        <w:rPr>
          <w:bCs/>
          <w:sz w:val="20"/>
          <w:szCs w:val="20"/>
          <w:lang w:val="en-GB"/>
        </w:rPr>
      </w:pPr>
    </w:p>
    <w:bookmarkEnd w:id="1"/>
    <w:p>
      <w:pPr>
        <w:pStyle w:val="3"/>
        <w:rPr>
          <w:lang w:val="en-GB"/>
        </w:rPr>
      </w:pPr>
      <w:r>
        <w:rPr>
          <w:lang w:val="en-GB"/>
        </w:rPr>
        <w:t>Transport of QoE measurement report</w:t>
      </w:r>
    </w:p>
    <w:p>
      <w:pPr>
        <w:rPr>
          <w:bCs/>
          <w:sz w:val="20"/>
          <w:szCs w:val="20"/>
          <w:lang w:val="en-GB"/>
        </w:rPr>
      </w:pPr>
      <w:r>
        <w:rPr>
          <w:bCs/>
          <w:sz w:val="20"/>
          <w:szCs w:val="20"/>
          <w:lang w:val="en-GB"/>
        </w:rPr>
        <w:t>The majority of companies propose the reuse of LTE solution, where the QoE reports are carried over SRB4. This may be understood as an implicit preference towards carrying the QoE reports over a dedicated SRB4. Companies behind the papers [5], [11] and [14] are somewhat more concrete, explicitly capturing the preference towards CP solution in their proposals. Meanwhile, paper [13] discusses the QOE report transport over both CP and UP.</w:t>
      </w:r>
    </w:p>
    <w:p>
      <w:pPr>
        <w:rPr>
          <w:b/>
          <w:bCs/>
          <w:sz w:val="20"/>
          <w:szCs w:val="20"/>
          <w:lang w:val="en-GB"/>
        </w:rPr>
      </w:pPr>
      <w:r>
        <w:rPr>
          <w:b/>
          <w:bCs/>
          <w:sz w:val="20"/>
          <w:szCs w:val="20"/>
          <w:lang w:val="en-GB"/>
        </w:rPr>
        <w:t>Q2: Do you agree that NR QoE reports should be carried over CP, and, more specifically, over a newly defined dedicated SRB type, e.g. SRB4?</w:t>
      </w:r>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b/>
                <w:bCs/>
                <w:sz w:val="20"/>
                <w:szCs w:val="22"/>
                <w:lang w:val="en-GB"/>
              </w:rPr>
            </w:pPr>
            <w:r>
              <w:rPr>
                <w:b/>
                <w:bCs/>
                <w:sz w:val="20"/>
                <w:szCs w:val="22"/>
                <w:lang w:val="en-GB"/>
              </w:rPr>
              <w:t>Company</w:t>
            </w:r>
          </w:p>
        </w:tc>
        <w:tc>
          <w:tcPr>
            <w:tcW w:w="6840" w:type="dxa"/>
          </w:tcPr>
          <w:p>
            <w:pPr>
              <w:rPr>
                <w:b/>
                <w:bCs/>
                <w:sz w:val="20"/>
                <w:szCs w:val="22"/>
                <w:lang w:val="en-GB"/>
              </w:rPr>
            </w:pPr>
            <w:r>
              <w:rPr>
                <w:b/>
                <w:bCs/>
                <w:sz w:val="20"/>
                <w:szCs w:val="22"/>
                <w:lang w:val="en-GB"/>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sz w:val="20"/>
                <w:szCs w:val="22"/>
                <w:lang w:val="en-GB"/>
              </w:rPr>
            </w:pPr>
            <w:r>
              <w:rPr>
                <w:sz w:val="20"/>
                <w:szCs w:val="22"/>
                <w:lang w:val="en-GB"/>
              </w:rPr>
              <w:t>Ericsson</w:t>
            </w:r>
          </w:p>
        </w:tc>
        <w:tc>
          <w:tcPr>
            <w:tcW w:w="6840" w:type="dxa"/>
          </w:tcPr>
          <w:p>
            <w:pPr>
              <w:rPr>
                <w:sz w:val="20"/>
                <w:szCs w:val="22"/>
                <w:lang w:val="en-GB"/>
              </w:rPr>
            </w:pPr>
            <w:r>
              <w:rPr>
                <w:sz w:val="20"/>
                <w:szCs w:val="22"/>
                <w:lang w:val="en-GB"/>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sz w:val="20"/>
                <w:szCs w:val="22"/>
                <w:lang w:val="en-GB"/>
              </w:rPr>
            </w:pPr>
            <w:ins w:id="84" w:author="Xipeng" w:date="2020-08-17T15:33:00Z">
              <w:r>
                <w:rPr>
                  <w:sz w:val="20"/>
                  <w:szCs w:val="22"/>
                  <w:lang w:val="en-GB"/>
                </w:rPr>
                <w:t>Qualcomm</w:t>
              </w:r>
            </w:ins>
          </w:p>
        </w:tc>
        <w:tc>
          <w:tcPr>
            <w:tcW w:w="6840" w:type="dxa"/>
          </w:tcPr>
          <w:p>
            <w:pPr>
              <w:rPr>
                <w:sz w:val="20"/>
                <w:szCs w:val="22"/>
                <w:lang w:val="en-GB"/>
              </w:rPr>
            </w:pPr>
            <w:ins w:id="85" w:author="Xipeng" w:date="2020-08-17T15:33:00Z">
              <w:r>
                <w:rPr>
                  <w:sz w:val="20"/>
                  <w:szCs w:val="22"/>
                  <w:lang w:val="en-GB"/>
                </w:rPr>
                <w:t>Yes</w:t>
              </w:r>
            </w:ins>
            <w:ins w:id="86" w:author="Xipeng" w:date="2020-08-17T15:34:00Z">
              <w:r>
                <w:rPr>
                  <w:sz w:val="20"/>
                  <w:szCs w:val="22"/>
                  <w:lang w:val="en-GB"/>
                </w:rPr>
                <w:t>, over CP</w:t>
              </w:r>
            </w:ins>
            <w:ins w:id="87" w:author="Xipeng" w:date="2020-08-17T15:33:00Z">
              <w:r>
                <w:rPr>
                  <w:sz w:val="20"/>
                  <w:szCs w:val="22"/>
                  <w:lang w:val="en-GB"/>
                </w:rPr>
                <w:t xml:space="preserve">. </w:t>
              </w:r>
            </w:ins>
            <w:ins w:id="88" w:author="Xipeng" w:date="2020-08-17T15:34:00Z">
              <w:r>
                <w:rPr>
                  <w:sz w:val="20"/>
                  <w:szCs w:val="22"/>
                  <w:lang w:val="en-GB"/>
                </w:rPr>
                <w:t>As to SRB type, it is up to RAN2 to decide.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9" w:author="China Telecom" w:date="2020-08-18T12:40:00Z"/>
        </w:trPr>
        <w:tc>
          <w:tcPr>
            <w:tcW w:w="2340" w:type="dxa"/>
          </w:tcPr>
          <w:p>
            <w:pPr>
              <w:rPr>
                <w:ins w:id="90" w:author="China Telecom" w:date="2020-08-18T12:40:00Z"/>
                <w:sz w:val="20"/>
                <w:szCs w:val="22"/>
                <w:lang w:val="en-GB"/>
              </w:rPr>
            </w:pPr>
            <w:ins w:id="91" w:author="China Telecom" w:date="2020-08-18T12:40:00Z">
              <w:r>
                <w:rPr>
                  <w:rFonts w:hint="eastAsia" w:eastAsia="等线"/>
                  <w:sz w:val="20"/>
                  <w:szCs w:val="22"/>
                  <w:lang w:val="en-GB" w:eastAsia="zh-CN"/>
                </w:rPr>
                <w:t>China Telecom</w:t>
              </w:r>
            </w:ins>
          </w:p>
        </w:tc>
        <w:tc>
          <w:tcPr>
            <w:tcW w:w="6840" w:type="dxa"/>
          </w:tcPr>
          <w:p>
            <w:pPr>
              <w:rPr>
                <w:ins w:id="92" w:author="China Telecom" w:date="2020-08-18T12:40:00Z"/>
                <w:sz w:val="20"/>
                <w:szCs w:val="22"/>
                <w:lang w:val="en-GB"/>
              </w:rPr>
            </w:pPr>
            <w:ins w:id="93" w:author="China Telecom" w:date="2020-08-18T12:40:00Z">
              <w:r>
                <w:rPr>
                  <w:rFonts w:hint="eastAsia" w:eastAsia="等线"/>
                  <w:sz w:val="20"/>
                  <w:szCs w:val="22"/>
                  <w:lang w:val="en-GB" w:eastAsia="zh-CN"/>
                </w:rPr>
                <w:t xml:space="preserve">Yes. </w:t>
              </w:r>
            </w:ins>
            <w:ins w:id="94" w:author="China Telecom" w:date="2020-08-18T12:40:00Z">
              <w:r>
                <w:rPr>
                  <w:rFonts w:eastAsia="等线"/>
                  <w:sz w:val="20"/>
                  <w:szCs w:val="22"/>
                  <w:lang w:val="en-GB" w:eastAsia="zh-CN"/>
                </w:rPr>
                <w:t>The NR QOE reports shall be carried over CP. In our understanding, The current QOS framework defined in TS23.501, any DRB shall associate with a PDU session in CN side. Therefore, the current mechanism cannot support to configure a dedicated DRB for QOE measurement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5" w:author="ZTE-LiDapeng" w:date="2020-08-18T15:44:43Z"/>
        </w:trPr>
        <w:tc>
          <w:tcPr>
            <w:tcW w:w="2340" w:type="dxa"/>
          </w:tcPr>
          <w:p>
            <w:pPr>
              <w:rPr>
                <w:ins w:id="96" w:author="ZTE-LiDapeng" w:date="2020-08-18T15:44:43Z"/>
                <w:rFonts w:hint="default" w:eastAsia="等线"/>
                <w:sz w:val="20"/>
                <w:szCs w:val="22"/>
                <w:lang w:val="en-US" w:eastAsia="zh-CN"/>
              </w:rPr>
            </w:pPr>
            <w:ins w:id="97" w:author="ZTE-LiDapeng" w:date="2020-08-18T15:44:47Z">
              <w:r>
                <w:rPr>
                  <w:rFonts w:hint="eastAsia" w:eastAsia="等线"/>
                  <w:sz w:val="20"/>
                  <w:szCs w:val="22"/>
                  <w:lang w:val="en-US" w:eastAsia="zh-CN"/>
                </w:rPr>
                <w:t>ZTE</w:t>
              </w:r>
            </w:ins>
          </w:p>
        </w:tc>
        <w:tc>
          <w:tcPr>
            <w:tcW w:w="6840" w:type="dxa"/>
          </w:tcPr>
          <w:p>
            <w:pPr>
              <w:rPr>
                <w:ins w:id="98" w:author="ZTE-LiDapeng" w:date="2020-08-18T15:44:43Z"/>
                <w:rFonts w:hint="eastAsia" w:eastAsia="等线"/>
                <w:sz w:val="20"/>
                <w:szCs w:val="22"/>
                <w:lang w:val="en-GB" w:eastAsia="zh-CN"/>
              </w:rPr>
            </w:pPr>
            <w:ins w:id="99" w:author="ZTE-LiDapeng" w:date="2020-08-18T15:44:44Z">
              <w:r>
                <w:rPr>
                  <w:rFonts w:hint="eastAsia" w:eastAsia="宋体"/>
                  <w:sz w:val="20"/>
                  <w:szCs w:val="22"/>
                  <w:lang w:val="en-US" w:eastAsia="zh-CN"/>
                </w:rPr>
                <w:t>Yes. Share the view with QC.</w:t>
              </w:r>
            </w:ins>
          </w:p>
        </w:tc>
      </w:tr>
    </w:tbl>
    <w:p>
      <w:pPr>
        <w:rPr>
          <w:sz w:val="20"/>
          <w:szCs w:val="20"/>
          <w:lang w:val="en-GB"/>
        </w:rPr>
      </w:pPr>
    </w:p>
    <w:p>
      <w:pPr>
        <w:pStyle w:val="3"/>
        <w:rPr>
          <w:lang w:val="en-GB"/>
        </w:rPr>
      </w:pPr>
      <w:r>
        <w:rPr>
          <w:lang w:val="en-GB"/>
        </w:rPr>
        <w:t>Measurement configuration and reporting</w:t>
      </w:r>
    </w:p>
    <w:p>
      <w:pPr>
        <w:rPr>
          <w:sz w:val="20"/>
          <w:szCs w:val="20"/>
          <w:lang w:val="en-GB"/>
        </w:rPr>
      </w:pPr>
      <w:r>
        <w:rPr>
          <w:sz w:val="20"/>
          <w:szCs w:val="20"/>
          <w:lang w:val="en-GB"/>
        </w:rPr>
        <w:t>Paper [1] proposes that UE Application layer measurement capability is included into UE Radio Capability Info Indication message.</w:t>
      </w:r>
    </w:p>
    <w:p>
      <w:pPr>
        <w:rPr>
          <w:b/>
          <w:bCs/>
          <w:sz w:val="20"/>
          <w:szCs w:val="20"/>
          <w:lang w:val="en-GB"/>
        </w:rPr>
      </w:pPr>
      <w:r>
        <w:rPr>
          <w:b/>
          <w:bCs/>
          <w:sz w:val="20"/>
          <w:szCs w:val="20"/>
          <w:lang w:val="en-GB"/>
        </w:rPr>
        <w:t>Q3-1: Should the UE Application layer measurement capability be included into UE Radio Capability Info Indication message?</w:t>
      </w:r>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b/>
                <w:bCs/>
                <w:sz w:val="20"/>
                <w:szCs w:val="22"/>
                <w:lang w:val="en-GB"/>
              </w:rPr>
            </w:pPr>
            <w:r>
              <w:rPr>
                <w:b/>
                <w:bCs/>
                <w:sz w:val="20"/>
                <w:szCs w:val="22"/>
                <w:lang w:val="en-GB"/>
              </w:rPr>
              <w:t>Company</w:t>
            </w:r>
          </w:p>
        </w:tc>
        <w:tc>
          <w:tcPr>
            <w:tcW w:w="6840" w:type="dxa"/>
          </w:tcPr>
          <w:p>
            <w:pPr>
              <w:rPr>
                <w:b/>
                <w:bCs/>
                <w:sz w:val="20"/>
                <w:szCs w:val="22"/>
                <w:lang w:val="en-GB"/>
              </w:rPr>
            </w:pPr>
            <w:r>
              <w:rPr>
                <w:b/>
                <w:bCs/>
                <w:sz w:val="20"/>
                <w:szCs w:val="22"/>
                <w:lang w:val="en-GB"/>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sz w:val="20"/>
                <w:szCs w:val="22"/>
                <w:lang w:val="en-GB"/>
              </w:rPr>
            </w:pPr>
            <w:r>
              <w:rPr>
                <w:sz w:val="20"/>
                <w:szCs w:val="22"/>
                <w:lang w:val="en-GB"/>
              </w:rPr>
              <w:t>Ericsson</w:t>
            </w:r>
          </w:p>
        </w:tc>
        <w:tc>
          <w:tcPr>
            <w:tcW w:w="6840" w:type="dxa"/>
          </w:tcPr>
          <w:p>
            <w:pPr>
              <w:rPr>
                <w:sz w:val="20"/>
                <w:szCs w:val="22"/>
                <w:lang w:val="en-GB"/>
              </w:rPr>
            </w:pPr>
            <w:r>
              <w:rPr>
                <w:sz w:val="20"/>
                <w:szCs w:val="22"/>
                <w:lang w:val="en-GB"/>
              </w:rPr>
              <w:t>Yes, this is in line with the LTE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sz w:val="20"/>
                <w:szCs w:val="22"/>
                <w:lang w:val="en-GB"/>
              </w:rPr>
            </w:pPr>
            <w:ins w:id="100" w:author="Xipeng" w:date="2020-08-17T15:34:00Z">
              <w:r>
                <w:rPr>
                  <w:sz w:val="20"/>
                  <w:szCs w:val="22"/>
                  <w:lang w:val="en-GB"/>
                </w:rPr>
                <w:t>Qualcomm</w:t>
              </w:r>
            </w:ins>
          </w:p>
        </w:tc>
        <w:tc>
          <w:tcPr>
            <w:tcW w:w="6840" w:type="dxa"/>
          </w:tcPr>
          <w:p>
            <w:pPr>
              <w:rPr>
                <w:sz w:val="20"/>
                <w:szCs w:val="22"/>
                <w:lang w:val="en-GB"/>
              </w:rPr>
            </w:pPr>
            <w:ins w:id="101" w:author="Xipeng" w:date="2020-08-17T15:34:00Z">
              <w:r>
                <w:rPr>
                  <w:sz w:val="20"/>
                  <w:szCs w:val="22"/>
                  <w:lang w:val="en-GB"/>
                </w:rPr>
                <w:t>Yes, 5GC needs the information to configu</w:t>
              </w:r>
            </w:ins>
            <w:ins w:id="102" w:author="Xipeng" w:date="2020-08-17T15:35:00Z">
              <w:r>
                <w:rPr>
                  <w:sz w:val="20"/>
                  <w:szCs w:val="22"/>
                  <w:lang w:val="en-GB"/>
                </w:rPr>
                <w:t>re signalling based QoE.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3" w:author="China Telecom" w:date="2020-08-18T12:40:00Z"/>
        </w:trPr>
        <w:tc>
          <w:tcPr>
            <w:tcW w:w="2340" w:type="dxa"/>
          </w:tcPr>
          <w:p>
            <w:pPr>
              <w:rPr>
                <w:ins w:id="104" w:author="China Telecom" w:date="2020-08-18T12:40:00Z"/>
                <w:rFonts w:hint="eastAsia" w:eastAsia="等线"/>
                <w:sz w:val="20"/>
                <w:szCs w:val="22"/>
                <w:lang w:val="en-GB" w:eastAsia="zh-CN"/>
                <w:rPrChange w:id="105" w:author="China Telecom" w:date="2020-08-18T12:40:00Z">
                  <w:rPr>
                    <w:ins w:id="106" w:author="China Telecom" w:date="2020-08-18T12:40:00Z"/>
                    <w:sz w:val="20"/>
                    <w:szCs w:val="22"/>
                    <w:lang w:val="en-GB"/>
                  </w:rPr>
                </w:rPrChange>
              </w:rPr>
            </w:pPr>
            <w:ins w:id="107" w:author="China Telecom" w:date="2020-08-18T12:40:00Z">
              <w:r>
                <w:rPr>
                  <w:rFonts w:hint="eastAsia" w:eastAsia="等线"/>
                  <w:sz w:val="20"/>
                  <w:szCs w:val="22"/>
                  <w:lang w:val="en-GB" w:eastAsia="zh-CN"/>
                </w:rPr>
                <w:t>China Telecom</w:t>
              </w:r>
            </w:ins>
          </w:p>
        </w:tc>
        <w:tc>
          <w:tcPr>
            <w:tcW w:w="6840" w:type="dxa"/>
          </w:tcPr>
          <w:p>
            <w:pPr>
              <w:rPr>
                <w:ins w:id="108" w:author="China Telecom" w:date="2020-08-18T12:40:00Z"/>
                <w:rFonts w:hint="eastAsia" w:eastAsia="等线"/>
                <w:sz w:val="20"/>
                <w:szCs w:val="22"/>
                <w:lang w:val="en-GB" w:eastAsia="zh-CN"/>
                <w:rPrChange w:id="109" w:author="China Telecom" w:date="2020-08-18T12:41:00Z">
                  <w:rPr>
                    <w:ins w:id="110" w:author="China Telecom" w:date="2020-08-18T12:40:00Z"/>
                    <w:sz w:val="20"/>
                    <w:szCs w:val="22"/>
                    <w:lang w:val="en-GB"/>
                  </w:rPr>
                </w:rPrChange>
              </w:rPr>
            </w:pPr>
            <w:ins w:id="111" w:author="China Telecom" w:date="2020-08-18T12:41:00Z">
              <w:r>
                <w:rPr>
                  <w:rFonts w:hint="eastAsia" w:eastAsia="等线"/>
                  <w:sz w:val="20"/>
                  <w:szCs w:val="22"/>
                  <w:lang w:val="en-GB" w:eastAsia="zh-CN"/>
                </w:rPr>
                <w:t>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2" w:author="ZTE-LiDapeng" w:date="2020-08-18T15:45:02Z"/>
        </w:trPr>
        <w:tc>
          <w:tcPr>
            <w:tcW w:w="2340" w:type="dxa"/>
          </w:tcPr>
          <w:p>
            <w:pPr>
              <w:rPr>
                <w:ins w:id="113" w:author="ZTE-LiDapeng" w:date="2020-08-18T15:45:02Z"/>
                <w:rFonts w:hint="default" w:eastAsia="等线"/>
                <w:sz w:val="20"/>
                <w:szCs w:val="22"/>
                <w:lang w:val="en-US" w:eastAsia="zh-CN"/>
              </w:rPr>
            </w:pPr>
            <w:ins w:id="114" w:author="ZTE-LiDapeng" w:date="2020-08-18T15:45:04Z">
              <w:r>
                <w:rPr>
                  <w:rFonts w:hint="eastAsia" w:eastAsia="等线"/>
                  <w:sz w:val="20"/>
                  <w:szCs w:val="22"/>
                  <w:lang w:val="en-US" w:eastAsia="zh-CN"/>
                </w:rPr>
                <w:t>Z</w:t>
              </w:r>
            </w:ins>
            <w:ins w:id="115" w:author="ZTE-LiDapeng" w:date="2020-08-18T15:45:05Z">
              <w:r>
                <w:rPr>
                  <w:rFonts w:hint="eastAsia" w:eastAsia="等线"/>
                  <w:sz w:val="20"/>
                  <w:szCs w:val="22"/>
                  <w:lang w:val="en-US" w:eastAsia="zh-CN"/>
                </w:rPr>
                <w:t>TE</w:t>
              </w:r>
            </w:ins>
          </w:p>
        </w:tc>
        <w:tc>
          <w:tcPr>
            <w:tcW w:w="6840" w:type="dxa"/>
          </w:tcPr>
          <w:p>
            <w:pPr>
              <w:rPr>
                <w:ins w:id="116" w:author="ZTE-LiDapeng" w:date="2020-08-18T15:45:02Z"/>
                <w:rFonts w:hint="eastAsia" w:eastAsia="等线"/>
                <w:sz w:val="20"/>
                <w:szCs w:val="22"/>
                <w:lang w:val="en-GB" w:eastAsia="zh-CN"/>
              </w:rPr>
            </w:pPr>
            <w:ins w:id="117" w:author="ZTE-LiDapeng" w:date="2020-08-18T15:45:03Z">
              <w:r>
                <w:rPr>
                  <w:rFonts w:hint="eastAsia" w:eastAsia="宋体"/>
                  <w:sz w:val="20"/>
                  <w:szCs w:val="22"/>
                  <w:lang w:val="en-US" w:eastAsia="zh-CN"/>
                </w:rPr>
                <w:t>YES.</w:t>
              </w:r>
            </w:ins>
            <w:ins w:id="118" w:author="ZTE-LiDapeng" w:date="2020-08-18T15:45:03Z">
              <w:r>
                <w:rPr>
                  <w:rFonts w:hint="default" w:eastAsia="MS Mincho"/>
                  <w:sz w:val="20"/>
                  <w:szCs w:val="22"/>
                  <w:lang w:val="en-GB" w:eastAsia="zh-CN"/>
                </w:rPr>
                <w:t xml:space="preserve"> the </w:t>
              </w:r>
            </w:ins>
            <w:ins w:id="119" w:author="ZTE-LiDapeng" w:date="2020-08-18T15:45:03Z">
              <w:r>
                <w:rPr>
                  <w:sz w:val="20"/>
                  <w:szCs w:val="22"/>
                  <w:lang w:val="en-GB"/>
                </w:rPr>
                <w:t>UE Radio Capability Info Indication</w:t>
              </w:r>
            </w:ins>
            <w:ins w:id="120" w:author="ZTE-LiDapeng" w:date="2020-08-18T15:45:03Z">
              <w:r>
                <w:rPr>
                  <w:rFonts w:hint="default" w:eastAsia="MS Mincho"/>
                  <w:sz w:val="20"/>
                  <w:szCs w:val="22"/>
                  <w:lang w:val="en-GB" w:eastAsia="zh-CN"/>
                </w:rPr>
                <w:t xml:space="preserve"> procedure has been supported in current specification. </w:t>
              </w:r>
            </w:ins>
          </w:p>
        </w:tc>
      </w:tr>
    </w:tbl>
    <w:p>
      <w:pPr>
        <w:rPr>
          <w:sz w:val="20"/>
          <w:szCs w:val="20"/>
          <w:lang w:val="en-GB"/>
        </w:rPr>
      </w:pPr>
    </w:p>
    <w:p>
      <w:pPr>
        <w:rPr>
          <w:sz w:val="20"/>
          <w:szCs w:val="20"/>
          <w:lang w:val="en-GB"/>
        </w:rPr>
      </w:pPr>
      <w:r>
        <w:rPr>
          <w:sz w:val="20"/>
          <w:szCs w:val="20"/>
          <w:lang w:val="en-GB"/>
        </w:rPr>
        <w:t>Papers [3], [6] and [14] propose to consider in NR QoE measurements the radio network layer measurements and radio layer configuration information. Some examples include mobility history information, CA and DC configurations, HO type used during the application session etc.</w:t>
      </w:r>
    </w:p>
    <w:p>
      <w:pPr>
        <w:rPr>
          <w:b/>
          <w:bCs/>
          <w:sz w:val="20"/>
          <w:szCs w:val="20"/>
          <w:lang w:val="en-GB"/>
        </w:rPr>
      </w:pPr>
      <w:r>
        <w:rPr>
          <w:b/>
          <w:bCs/>
          <w:sz w:val="20"/>
          <w:szCs w:val="20"/>
          <w:lang w:val="en-GB"/>
        </w:rPr>
        <w:t>Q3-2: Should radio network layer measurements and radio layer configuration information be considered in NR QoE measurements?</w:t>
      </w:r>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b/>
                <w:bCs/>
                <w:sz w:val="20"/>
                <w:szCs w:val="22"/>
                <w:lang w:val="en-GB"/>
              </w:rPr>
            </w:pPr>
            <w:r>
              <w:rPr>
                <w:b/>
                <w:bCs/>
                <w:sz w:val="20"/>
                <w:szCs w:val="22"/>
                <w:lang w:val="en-GB"/>
              </w:rPr>
              <w:t>Company</w:t>
            </w:r>
          </w:p>
        </w:tc>
        <w:tc>
          <w:tcPr>
            <w:tcW w:w="6840" w:type="dxa"/>
          </w:tcPr>
          <w:p>
            <w:pPr>
              <w:rPr>
                <w:b/>
                <w:bCs/>
                <w:sz w:val="20"/>
                <w:szCs w:val="22"/>
                <w:lang w:val="en-GB"/>
              </w:rPr>
            </w:pPr>
            <w:r>
              <w:rPr>
                <w:b/>
                <w:bCs/>
                <w:sz w:val="20"/>
                <w:szCs w:val="22"/>
                <w:lang w:val="en-GB"/>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sz w:val="20"/>
                <w:szCs w:val="22"/>
                <w:lang w:val="en-GB"/>
              </w:rPr>
            </w:pPr>
            <w:r>
              <w:rPr>
                <w:sz w:val="20"/>
                <w:szCs w:val="22"/>
                <w:lang w:val="en-GB"/>
              </w:rPr>
              <w:t>Ericsson</w:t>
            </w:r>
          </w:p>
        </w:tc>
        <w:tc>
          <w:tcPr>
            <w:tcW w:w="6840" w:type="dxa"/>
          </w:tcPr>
          <w:p>
            <w:pPr>
              <w:rPr>
                <w:sz w:val="20"/>
                <w:szCs w:val="22"/>
                <w:lang w:val="en-GB"/>
              </w:rPr>
            </w:pPr>
            <w:r>
              <w:rPr>
                <w:sz w:val="20"/>
                <w:szCs w:val="22"/>
                <w:lang w:val="en-GB"/>
              </w:rPr>
              <w:t>Yes. We think that the inclusion of information and measurements pertaining to the radio network layer is necessary in order to provide to the recipient of the measurements a complete view about the causes of QoE deterioration.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sz w:val="20"/>
                <w:szCs w:val="22"/>
                <w:lang w:val="en-GB"/>
              </w:rPr>
            </w:pPr>
            <w:ins w:id="121" w:author="Xipeng" w:date="2020-08-17T15:35:00Z">
              <w:r>
                <w:rPr>
                  <w:sz w:val="20"/>
                  <w:szCs w:val="22"/>
                  <w:lang w:val="en-GB"/>
                </w:rPr>
                <w:t>Qualcomm</w:t>
              </w:r>
            </w:ins>
          </w:p>
        </w:tc>
        <w:tc>
          <w:tcPr>
            <w:tcW w:w="6840" w:type="dxa"/>
          </w:tcPr>
          <w:p>
            <w:pPr>
              <w:rPr>
                <w:sz w:val="20"/>
                <w:szCs w:val="22"/>
                <w:lang w:val="en-GB"/>
              </w:rPr>
            </w:pPr>
            <w:ins w:id="122" w:author="Xipeng" w:date="2020-08-17T15:35:00Z">
              <w:r>
                <w:rPr>
                  <w:sz w:val="20"/>
                  <w:szCs w:val="22"/>
                  <w:lang w:val="en-GB"/>
                </w:rPr>
                <w:t>No. The QoE and MDT (with radio measurements) can be correlated based on timestamp, location info</w:t>
              </w:r>
            </w:ins>
            <w:ins w:id="123" w:author="Xipeng" w:date="2020-08-17T15:36:00Z">
              <w:r>
                <w:rPr>
                  <w:sz w:val="20"/>
                  <w:szCs w:val="22"/>
                  <w:lang w:val="en-GB"/>
                </w:rPr>
                <w:t xml:space="preserve">, trace ID etc.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4" w:author="China Telecom" w:date="2020-08-18T12:41:00Z"/>
        </w:trPr>
        <w:tc>
          <w:tcPr>
            <w:tcW w:w="2340" w:type="dxa"/>
          </w:tcPr>
          <w:p>
            <w:pPr>
              <w:rPr>
                <w:ins w:id="125" w:author="China Telecom" w:date="2020-08-18T12:41:00Z"/>
                <w:rFonts w:hint="eastAsia" w:eastAsia="等线"/>
                <w:sz w:val="20"/>
                <w:szCs w:val="22"/>
                <w:lang w:val="en-GB" w:eastAsia="zh-CN"/>
                <w:rPrChange w:id="126" w:author="China Telecom" w:date="2020-08-18T12:41:00Z">
                  <w:rPr>
                    <w:ins w:id="127" w:author="China Telecom" w:date="2020-08-18T12:41:00Z"/>
                    <w:sz w:val="20"/>
                    <w:szCs w:val="22"/>
                    <w:lang w:val="en-GB"/>
                  </w:rPr>
                </w:rPrChange>
              </w:rPr>
            </w:pPr>
            <w:ins w:id="128" w:author="China Telecom" w:date="2020-08-18T12:41:00Z">
              <w:r>
                <w:rPr>
                  <w:rFonts w:hint="eastAsia" w:eastAsia="等线"/>
                  <w:sz w:val="20"/>
                  <w:szCs w:val="22"/>
                  <w:lang w:val="en-GB" w:eastAsia="zh-CN"/>
                </w:rPr>
                <w:t>China Telecom</w:t>
              </w:r>
            </w:ins>
          </w:p>
        </w:tc>
        <w:tc>
          <w:tcPr>
            <w:tcW w:w="6840" w:type="dxa"/>
          </w:tcPr>
          <w:p>
            <w:pPr>
              <w:rPr>
                <w:ins w:id="129" w:author="China Telecom" w:date="2020-08-18T12:41:00Z"/>
                <w:rFonts w:hint="eastAsia" w:eastAsia="等线"/>
                <w:sz w:val="20"/>
                <w:szCs w:val="22"/>
                <w:lang w:val="en-GB" w:eastAsia="zh-CN"/>
                <w:rPrChange w:id="130" w:author="China Telecom" w:date="2020-08-18T12:41:00Z">
                  <w:rPr>
                    <w:ins w:id="131" w:author="China Telecom" w:date="2020-08-18T12:41:00Z"/>
                    <w:sz w:val="20"/>
                    <w:szCs w:val="22"/>
                    <w:lang w:val="en-GB"/>
                  </w:rPr>
                </w:rPrChange>
              </w:rPr>
            </w:pPr>
            <w:ins w:id="132" w:author="China Telecom" w:date="2020-08-18T12:41:00Z">
              <w:r>
                <w:rPr>
                  <w:rFonts w:hint="eastAsia" w:eastAsia="等线"/>
                  <w:sz w:val="20"/>
                  <w:szCs w:val="22"/>
                  <w:lang w:val="en-GB" w:eastAsia="zh-CN"/>
                </w:rPr>
                <w:t>Yes, see our view in Q1-3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3" w:author="ZTE-LiDapeng" w:date="2020-08-18T15:45:10Z"/>
        </w:trPr>
        <w:tc>
          <w:tcPr>
            <w:tcW w:w="2340" w:type="dxa"/>
          </w:tcPr>
          <w:p>
            <w:pPr>
              <w:rPr>
                <w:ins w:id="134" w:author="ZTE-LiDapeng" w:date="2020-08-18T15:45:10Z"/>
                <w:rFonts w:hint="default" w:eastAsia="等线"/>
                <w:sz w:val="20"/>
                <w:szCs w:val="22"/>
                <w:lang w:val="en-US" w:eastAsia="zh-CN"/>
              </w:rPr>
            </w:pPr>
            <w:ins w:id="135" w:author="ZTE-LiDapeng" w:date="2020-08-18T15:45:19Z">
              <w:r>
                <w:rPr>
                  <w:rFonts w:hint="eastAsia" w:eastAsia="等线"/>
                  <w:sz w:val="20"/>
                  <w:szCs w:val="22"/>
                  <w:lang w:val="en-US" w:eastAsia="zh-CN"/>
                </w:rPr>
                <w:t>Z</w:t>
              </w:r>
            </w:ins>
            <w:ins w:id="136" w:author="ZTE-LiDapeng" w:date="2020-08-18T15:45:20Z">
              <w:r>
                <w:rPr>
                  <w:rFonts w:hint="eastAsia" w:eastAsia="等线"/>
                  <w:sz w:val="20"/>
                  <w:szCs w:val="22"/>
                  <w:lang w:val="en-US" w:eastAsia="zh-CN"/>
                </w:rPr>
                <w:t>T</w:t>
              </w:r>
            </w:ins>
            <w:ins w:id="137" w:author="ZTE-LiDapeng" w:date="2020-08-18T15:45:21Z">
              <w:r>
                <w:rPr>
                  <w:rFonts w:hint="eastAsia" w:eastAsia="等线"/>
                  <w:sz w:val="20"/>
                  <w:szCs w:val="22"/>
                  <w:lang w:val="en-US" w:eastAsia="zh-CN"/>
                </w:rPr>
                <w:t>E</w:t>
              </w:r>
            </w:ins>
          </w:p>
        </w:tc>
        <w:tc>
          <w:tcPr>
            <w:tcW w:w="6840" w:type="dxa"/>
          </w:tcPr>
          <w:p>
            <w:pPr>
              <w:rPr>
                <w:ins w:id="138" w:author="ZTE-LiDapeng" w:date="2020-08-18T15:45:10Z"/>
                <w:rFonts w:hint="eastAsia" w:eastAsia="等线"/>
                <w:sz w:val="20"/>
                <w:szCs w:val="22"/>
                <w:lang w:val="en-GB" w:eastAsia="zh-CN"/>
              </w:rPr>
            </w:pPr>
            <w:ins w:id="139" w:author="ZTE-LiDapeng" w:date="2020-08-18T15:45:18Z">
              <w:r>
                <w:rPr>
                  <w:rFonts w:hint="eastAsia" w:eastAsia="宋体"/>
                  <w:sz w:val="20"/>
                  <w:szCs w:val="22"/>
                  <w:lang w:val="en-US" w:eastAsia="zh-CN"/>
                </w:rPr>
                <w:t xml:space="preserve">Yes, it is benefit for post-process analysis in the server.  However, the detail RAN measurements (both RAN node side and UE side) need to be further investigated, which is related to Issue3 in CB # NRQoE2-Services. </w:t>
              </w:r>
            </w:ins>
          </w:p>
        </w:tc>
      </w:tr>
    </w:tbl>
    <w:p>
      <w:pPr>
        <w:pStyle w:val="37"/>
        <w:ind w:left="0"/>
        <w:textAlignment w:val="auto"/>
        <w:rPr>
          <w:rFonts w:ascii="Times New Roman" w:hAnsi="Times New Roman"/>
        </w:rPr>
      </w:pPr>
    </w:p>
    <w:p>
      <w:pPr>
        <w:rPr>
          <w:sz w:val="20"/>
          <w:szCs w:val="20"/>
          <w:lang w:val="en-GB"/>
        </w:rPr>
      </w:pPr>
      <w:r>
        <w:rPr>
          <w:sz w:val="20"/>
          <w:szCs w:val="20"/>
          <w:lang w:val="en-GB"/>
        </w:rPr>
        <w:t>Papers [6], [10] discuss measurement triggering and stopping. For example, event- and time-based triggering, as well as triggering by RAN are considered.</w:t>
      </w:r>
    </w:p>
    <w:p>
      <w:pPr>
        <w:rPr>
          <w:b/>
          <w:bCs/>
          <w:sz w:val="20"/>
          <w:szCs w:val="20"/>
          <w:lang w:val="en-GB"/>
        </w:rPr>
      </w:pPr>
      <w:r>
        <w:rPr>
          <w:b/>
          <w:bCs/>
          <w:sz w:val="20"/>
          <w:szCs w:val="20"/>
          <w:lang w:val="en-GB"/>
        </w:rPr>
        <w:t>Q3-3: Should RAN3 discuss/introduce event- and time-based measurement triggering and stopping, as well as measurement triggering by RAN?</w:t>
      </w:r>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b/>
                <w:bCs/>
                <w:sz w:val="20"/>
                <w:szCs w:val="22"/>
                <w:lang w:val="en-GB"/>
              </w:rPr>
            </w:pPr>
            <w:r>
              <w:rPr>
                <w:b/>
                <w:bCs/>
                <w:sz w:val="20"/>
                <w:szCs w:val="22"/>
                <w:lang w:val="en-GB"/>
              </w:rPr>
              <w:t>Company</w:t>
            </w:r>
          </w:p>
        </w:tc>
        <w:tc>
          <w:tcPr>
            <w:tcW w:w="6840" w:type="dxa"/>
          </w:tcPr>
          <w:p>
            <w:pPr>
              <w:rPr>
                <w:b/>
                <w:bCs/>
                <w:sz w:val="20"/>
                <w:szCs w:val="22"/>
                <w:lang w:val="en-GB"/>
              </w:rPr>
            </w:pPr>
            <w:r>
              <w:rPr>
                <w:b/>
                <w:bCs/>
                <w:sz w:val="20"/>
                <w:szCs w:val="22"/>
                <w:lang w:val="en-GB"/>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sz w:val="20"/>
                <w:szCs w:val="22"/>
                <w:lang w:val="en-GB"/>
              </w:rPr>
            </w:pPr>
            <w:r>
              <w:rPr>
                <w:sz w:val="20"/>
                <w:szCs w:val="22"/>
                <w:lang w:val="en-GB"/>
              </w:rPr>
              <w:t>Ericsson</w:t>
            </w:r>
          </w:p>
        </w:tc>
        <w:tc>
          <w:tcPr>
            <w:tcW w:w="6840" w:type="dxa"/>
          </w:tcPr>
          <w:p>
            <w:pPr>
              <w:rPr>
                <w:sz w:val="20"/>
                <w:szCs w:val="22"/>
                <w:lang w:val="en-GB"/>
              </w:rPr>
            </w:pPr>
            <w:r>
              <w:rPr>
                <w:sz w:val="20"/>
                <w:szCs w:val="22"/>
                <w:lang w:val="en-GB"/>
              </w:rPr>
              <w:t>Yes. We think it is beneficial to monitor the QoE metrics at certain events. Since the RAN has a close view on the radio situation, we think that RAN should also be able to trigger the QoE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sz w:val="20"/>
                <w:szCs w:val="22"/>
                <w:lang w:val="en-GB"/>
              </w:rPr>
            </w:pPr>
            <w:ins w:id="140" w:author="Xipeng" w:date="2020-08-17T15:36:00Z">
              <w:r>
                <w:rPr>
                  <w:sz w:val="20"/>
                  <w:szCs w:val="22"/>
                  <w:lang w:val="en-GB"/>
                </w:rPr>
                <w:t>Qualcomm</w:t>
              </w:r>
            </w:ins>
          </w:p>
        </w:tc>
        <w:tc>
          <w:tcPr>
            <w:tcW w:w="6840" w:type="dxa"/>
          </w:tcPr>
          <w:p>
            <w:pPr>
              <w:rPr>
                <w:sz w:val="20"/>
                <w:szCs w:val="22"/>
                <w:lang w:val="en-GB"/>
              </w:rPr>
            </w:pPr>
            <w:ins w:id="141" w:author="Xipeng" w:date="2020-08-17T15:36:00Z">
              <w:r>
                <w:rPr>
                  <w:sz w:val="20"/>
                  <w:szCs w:val="22"/>
                  <w:lang w:val="en-GB"/>
                </w:rPr>
                <w:t xml:space="preserve">Yes.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2" w:author="China Telecom" w:date="2020-08-18T12:42:00Z"/>
        </w:trPr>
        <w:tc>
          <w:tcPr>
            <w:tcW w:w="2340" w:type="dxa"/>
          </w:tcPr>
          <w:p>
            <w:pPr>
              <w:rPr>
                <w:ins w:id="143" w:author="China Telecom" w:date="2020-08-18T12:42:00Z"/>
                <w:rFonts w:hint="eastAsia" w:eastAsia="等线"/>
                <w:sz w:val="20"/>
                <w:szCs w:val="22"/>
                <w:lang w:val="en-GB" w:eastAsia="zh-CN"/>
                <w:rPrChange w:id="144" w:author="China Telecom" w:date="2020-08-18T12:42:00Z">
                  <w:rPr>
                    <w:ins w:id="145" w:author="China Telecom" w:date="2020-08-18T12:42:00Z"/>
                    <w:sz w:val="20"/>
                    <w:szCs w:val="22"/>
                    <w:lang w:val="en-GB"/>
                  </w:rPr>
                </w:rPrChange>
              </w:rPr>
            </w:pPr>
            <w:ins w:id="146" w:author="China Telecom" w:date="2020-08-18T12:42:00Z">
              <w:r>
                <w:rPr>
                  <w:rFonts w:eastAsia="等线"/>
                  <w:sz w:val="20"/>
                  <w:szCs w:val="22"/>
                  <w:lang w:val="en-GB" w:eastAsia="zh-CN"/>
                </w:rPr>
                <w:t>China Telecom</w:t>
              </w:r>
            </w:ins>
          </w:p>
        </w:tc>
        <w:tc>
          <w:tcPr>
            <w:tcW w:w="6840" w:type="dxa"/>
          </w:tcPr>
          <w:p>
            <w:pPr>
              <w:rPr>
                <w:ins w:id="147" w:author="China Telecom" w:date="2020-08-18T12:42:00Z"/>
                <w:sz w:val="20"/>
                <w:szCs w:val="22"/>
                <w:lang w:val="en-GB"/>
              </w:rPr>
            </w:pPr>
            <w:ins w:id="148" w:author="China Telecom" w:date="2020-08-18T12:42:00Z">
              <w:r>
                <w:rPr>
                  <w:rFonts w:eastAsia="等线"/>
                  <w:sz w:val="20"/>
                  <w:szCs w:val="22"/>
                  <w:lang w:val="en-GB" w:eastAsia="zh-CN"/>
                </w:rPr>
                <w:t>The event- and time-based measurement triggering and stopping is applicable only to the QOE metrics for radio network layer measurements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9" w:author="ZTE-LiDapeng" w:date="2020-08-18T15:45:24Z"/>
        </w:trPr>
        <w:tc>
          <w:tcPr>
            <w:tcW w:w="2340" w:type="dxa"/>
          </w:tcPr>
          <w:p>
            <w:pPr>
              <w:rPr>
                <w:ins w:id="150" w:author="ZTE-LiDapeng" w:date="2020-08-18T15:45:24Z"/>
                <w:rFonts w:hint="default" w:eastAsia="等线"/>
                <w:sz w:val="20"/>
                <w:szCs w:val="22"/>
                <w:lang w:val="en-US" w:eastAsia="zh-CN"/>
              </w:rPr>
            </w:pPr>
            <w:ins w:id="151" w:author="ZTE-LiDapeng" w:date="2020-08-18T15:45:36Z">
              <w:r>
                <w:rPr>
                  <w:rFonts w:hint="eastAsia" w:eastAsia="等线"/>
                  <w:sz w:val="20"/>
                  <w:szCs w:val="22"/>
                  <w:lang w:val="en-US" w:eastAsia="zh-CN"/>
                </w:rPr>
                <w:t>ZTE</w:t>
              </w:r>
            </w:ins>
          </w:p>
        </w:tc>
        <w:tc>
          <w:tcPr>
            <w:tcW w:w="6840" w:type="dxa"/>
          </w:tcPr>
          <w:p>
            <w:pPr>
              <w:rPr>
                <w:ins w:id="152" w:author="ZTE-LiDapeng" w:date="2020-08-18T15:45:24Z"/>
                <w:rFonts w:eastAsia="等线"/>
                <w:sz w:val="20"/>
                <w:szCs w:val="22"/>
                <w:lang w:val="en-GB" w:eastAsia="zh-CN"/>
              </w:rPr>
            </w:pPr>
            <w:ins w:id="153" w:author="ZTE-LiDapeng" w:date="2020-08-18T15:45:35Z">
              <w:r>
                <w:rPr>
                  <w:rFonts w:hint="eastAsia" w:eastAsia="宋体"/>
                  <w:sz w:val="20"/>
                  <w:szCs w:val="22"/>
                  <w:lang w:val="en-US" w:eastAsia="zh-CN"/>
                </w:rPr>
                <w:t>Yes.</w:t>
              </w:r>
            </w:ins>
          </w:p>
        </w:tc>
      </w:tr>
    </w:tbl>
    <w:p>
      <w:pPr>
        <w:rPr>
          <w:sz w:val="20"/>
          <w:szCs w:val="20"/>
          <w:lang w:val="en-GB"/>
        </w:rPr>
      </w:pPr>
    </w:p>
    <w:p>
      <w:pPr>
        <w:rPr>
          <w:sz w:val="20"/>
          <w:szCs w:val="20"/>
          <w:lang w:val="en-GB"/>
        </w:rPr>
      </w:pPr>
      <w:r>
        <w:rPr>
          <w:sz w:val="20"/>
          <w:szCs w:val="20"/>
          <w:lang w:val="en-GB"/>
        </w:rPr>
        <w:t>Papers [6] and [7] discuss measurement release, as well as reporting handling at RAN overload.</w:t>
      </w:r>
    </w:p>
    <w:p>
      <w:pPr>
        <w:rPr>
          <w:b/>
          <w:bCs/>
          <w:sz w:val="20"/>
          <w:szCs w:val="20"/>
          <w:lang w:val="en-GB"/>
        </w:rPr>
      </w:pPr>
      <w:r>
        <w:rPr>
          <w:b/>
          <w:bCs/>
          <w:sz w:val="20"/>
          <w:szCs w:val="20"/>
          <w:lang w:val="en-GB"/>
        </w:rPr>
        <w:t>Q3-4: Should RAN3 discuss/introduce the mechanisms for releasing QoE measurements and QoE report delivery at RAN overload?</w:t>
      </w:r>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b/>
                <w:bCs/>
                <w:sz w:val="20"/>
                <w:szCs w:val="22"/>
                <w:lang w:val="en-GB"/>
              </w:rPr>
            </w:pPr>
            <w:r>
              <w:rPr>
                <w:b/>
                <w:bCs/>
                <w:sz w:val="20"/>
                <w:szCs w:val="22"/>
                <w:lang w:val="en-GB"/>
              </w:rPr>
              <w:t>Company</w:t>
            </w:r>
          </w:p>
        </w:tc>
        <w:tc>
          <w:tcPr>
            <w:tcW w:w="6840" w:type="dxa"/>
          </w:tcPr>
          <w:p>
            <w:pPr>
              <w:rPr>
                <w:b/>
                <w:bCs/>
                <w:sz w:val="20"/>
                <w:szCs w:val="22"/>
                <w:lang w:val="en-GB"/>
              </w:rPr>
            </w:pPr>
            <w:r>
              <w:rPr>
                <w:b/>
                <w:bCs/>
                <w:sz w:val="20"/>
                <w:szCs w:val="22"/>
                <w:lang w:val="en-GB"/>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sz w:val="20"/>
                <w:szCs w:val="22"/>
                <w:lang w:val="en-GB"/>
              </w:rPr>
            </w:pPr>
            <w:r>
              <w:rPr>
                <w:sz w:val="20"/>
                <w:szCs w:val="22"/>
                <w:lang w:val="en-GB"/>
              </w:rPr>
              <w:t>Ericsson</w:t>
            </w:r>
          </w:p>
        </w:tc>
        <w:tc>
          <w:tcPr>
            <w:tcW w:w="6840" w:type="dxa"/>
          </w:tcPr>
          <w:p>
            <w:pPr>
              <w:rPr>
                <w:sz w:val="20"/>
                <w:szCs w:val="22"/>
                <w:lang w:val="en-GB"/>
              </w:rPr>
            </w:pPr>
            <w:r>
              <w:rPr>
                <w:sz w:val="20"/>
                <w:szCs w:val="22"/>
                <w:lang w:val="en-GB"/>
              </w:rPr>
              <w:t>Yes. We think that the network should be able to e.g. release a measurement or pause the reporting at overload. This is essential for measurement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sz w:val="20"/>
                <w:szCs w:val="22"/>
                <w:lang w:val="en-GB"/>
              </w:rPr>
            </w:pPr>
            <w:ins w:id="154" w:author="Xipeng" w:date="2020-08-17T15:37:00Z">
              <w:r>
                <w:rPr>
                  <w:sz w:val="20"/>
                  <w:szCs w:val="22"/>
                  <w:lang w:val="en-GB"/>
                </w:rPr>
                <w:t>Qualcomm</w:t>
              </w:r>
            </w:ins>
          </w:p>
        </w:tc>
        <w:tc>
          <w:tcPr>
            <w:tcW w:w="6840" w:type="dxa"/>
          </w:tcPr>
          <w:p>
            <w:pPr>
              <w:rPr>
                <w:sz w:val="20"/>
                <w:szCs w:val="22"/>
                <w:lang w:val="en-GB"/>
              </w:rPr>
            </w:pPr>
            <w:ins w:id="155" w:author="Xipeng" w:date="2020-08-17T15:37:00Z">
              <w:r>
                <w:rPr>
                  <w:sz w:val="20"/>
                  <w:szCs w:val="22"/>
                  <w:lang w:val="en-GB"/>
                </w:rPr>
                <w:t>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6" w:author="China Telecom" w:date="2020-08-18T12:42:00Z"/>
        </w:trPr>
        <w:tc>
          <w:tcPr>
            <w:tcW w:w="2340" w:type="dxa"/>
          </w:tcPr>
          <w:p>
            <w:pPr>
              <w:rPr>
                <w:ins w:id="157" w:author="China Telecom" w:date="2020-08-18T12:42:00Z"/>
                <w:sz w:val="20"/>
                <w:szCs w:val="22"/>
                <w:lang w:val="en-GB"/>
              </w:rPr>
            </w:pPr>
            <w:ins w:id="158" w:author="China Telecom" w:date="2020-08-18T12:42:00Z">
              <w:r>
                <w:rPr>
                  <w:rFonts w:hint="eastAsia" w:eastAsia="等线"/>
                  <w:sz w:val="20"/>
                  <w:szCs w:val="22"/>
                  <w:lang w:val="en-GB" w:eastAsia="zh-CN"/>
                </w:rPr>
                <w:t>China Telecom</w:t>
              </w:r>
            </w:ins>
          </w:p>
        </w:tc>
        <w:tc>
          <w:tcPr>
            <w:tcW w:w="6840" w:type="dxa"/>
          </w:tcPr>
          <w:p>
            <w:pPr>
              <w:rPr>
                <w:ins w:id="159" w:author="China Telecom" w:date="2020-08-18T12:42:00Z"/>
                <w:sz w:val="20"/>
                <w:szCs w:val="22"/>
                <w:lang w:val="en-GB"/>
              </w:rPr>
            </w:pPr>
            <w:ins w:id="160" w:author="China Telecom" w:date="2020-08-18T12:42:00Z">
              <w:r>
                <w:rPr>
                  <w:rFonts w:hint="eastAsia" w:eastAsia="等线"/>
                  <w:sz w:val="20"/>
                  <w:szCs w:val="22"/>
                  <w:lang w:val="en-GB" w:eastAsia="zh-CN"/>
                </w:rPr>
                <w:t xml:space="preserve">Yes. </w:t>
              </w:r>
            </w:ins>
            <w:ins w:id="161" w:author="China Telecom" w:date="2020-08-18T12:42:00Z">
              <w:r>
                <w:rPr>
                  <w:rFonts w:eastAsia="等线"/>
                  <w:sz w:val="20"/>
                  <w:szCs w:val="22"/>
                  <w:lang w:val="en-GB" w:eastAsia="zh-CN"/>
                </w:rPr>
                <w:t>The NW could release the QOE measurement based on its RRM policy.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2" w:author="ZTE-LiDapeng" w:date="2020-08-18T15:45:40Z"/>
        </w:trPr>
        <w:tc>
          <w:tcPr>
            <w:tcW w:w="2340" w:type="dxa"/>
          </w:tcPr>
          <w:p>
            <w:pPr>
              <w:rPr>
                <w:ins w:id="163" w:author="ZTE-LiDapeng" w:date="2020-08-18T15:45:40Z"/>
                <w:rFonts w:hint="default" w:eastAsia="等线"/>
                <w:sz w:val="20"/>
                <w:szCs w:val="22"/>
                <w:lang w:val="en-US" w:eastAsia="zh-CN"/>
              </w:rPr>
            </w:pPr>
            <w:ins w:id="164" w:author="ZTE-LiDapeng" w:date="2020-08-18T15:45:50Z">
              <w:r>
                <w:rPr>
                  <w:rFonts w:hint="eastAsia" w:eastAsia="等线"/>
                  <w:sz w:val="20"/>
                  <w:szCs w:val="22"/>
                  <w:lang w:val="en-US" w:eastAsia="zh-CN"/>
                </w:rPr>
                <w:t>ZTE</w:t>
              </w:r>
            </w:ins>
          </w:p>
        </w:tc>
        <w:tc>
          <w:tcPr>
            <w:tcW w:w="6840" w:type="dxa"/>
          </w:tcPr>
          <w:p>
            <w:pPr>
              <w:rPr>
                <w:ins w:id="165" w:author="ZTE-LiDapeng" w:date="2020-08-18T15:45:48Z"/>
                <w:rFonts w:hint="eastAsia" w:eastAsia="宋体"/>
                <w:sz w:val="20"/>
                <w:szCs w:val="22"/>
                <w:lang w:val="en-US" w:eastAsia="zh-CN"/>
              </w:rPr>
            </w:pPr>
            <w:ins w:id="166" w:author="ZTE-LiDapeng" w:date="2020-08-18T15:45:48Z">
              <w:r>
                <w:rPr>
                  <w:rFonts w:hint="eastAsia" w:eastAsia="宋体"/>
                  <w:sz w:val="20"/>
                  <w:szCs w:val="22"/>
                  <w:lang w:val="en-US" w:eastAsia="zh-CN"/>
                </w:rPr>
                <w:t>Yes for releasing a measurement with signalling based mechanism.</w:t>
              </w:r>
            </w:ins>
          </w:p>
          <w:p>
            <w:pPr>
              <w:rPr>
                <w:ins w:id="167" w:author="ZTE-LiDapeng" w:date="2020-08-18T15:45:40Z"/>
                <w:rFonts w:hint="eastAsia" w:eastAsia="等线"/>
                <w:sz w:val="20"/>
                <w:szCs w:val="22"/>
                <w:lang w:val="en-GB" w:eastAsia="zh-CN"/>
              </w:rPr>
            </w:pPr>
            <w:ins w:id="168" w:author="ZTE-LiDapeng" w:date="2020-08-18T15:45:48Z">
              <w:r>
                <w:rPr>
                  <w:rFonts w:hint="eastAsia" w:eastAsia="宋体"/>
                  <w:sz w:val="20"/>
                  <w:szCs w:val="22"/>
                  <w:lang w:val="en-US" w:eastAsia="zh-CN"/>
                </w:rPr>
                <w:t>For QoE delivery at RAN overload (e.g. via SRB4 with suspend action),  we would prefer to wait for RAN2</w:t>
              </w:r>
            </w:ins>
            <w:ins w:id="169" w:author="ZTE-LiDapeng" w:date="2020-08-18T15:45:48Z">
              <w:r>
                <w:rPr>
                  <w:rFonts w:hint="default" w:eastAsia="宋体"/>
                  <w:sz w:val="20"/>
                  <w:szCs w:val="22"/>
                  <w:lang w:val="en-US" w:eastAsia="zh-CN"/>
                </w:rPr>
                <w:t>’</w:t>
              </w:r>
            </w:ins>
            <w:ins w:id="170" w:author="ZTE-LiDapeng" w:date="2020-08-18T15:45:48Z">
              <w:r>
                <w:rPr>
                  <w:rFonts w:hint="eastAsia" w:eastAsia="宋体"/>
                  <w:sz w:val="20"/>
                  <w:szCs w:val="22"/>
                  <w:lang w:val="en-US" w:eastAsia="zh-CN"/>
                </w:rPr>
                <w:t>s progress.</w:t>
              </w:r>
            </w:ins>
          </w:p>
        </w:tc>
      </w:tr>
    </w:tbl>
    <w:p>
      <w:pPr>
        <w:rPr>
          <w:sz w:val="20"/>
          <w:szCs w:val="20"/>
          <w:lang w:val="en-GB"/>
        </w:rPr>
      </w:pPr>
    </w:p>
    <w:p>
      <w:pPr>
        <w:rPr>
          <w:sz w:val="20"/>
          <w:szCs w:val="20"/>
          <w:lang w:val="en-GB"/>
        </w:rPr>
      </w:pPr>
      <w:r>
        <w:rPr>
          <w:sz w:val="20"/>
          <w:szCs w:val="20"/>
          <w:lang w:val="en-GB"/>
        </w:rPr>
        <w:t>Papers [7], [8] and [11] discuss the QoE management support for SA, NSA and MR-DC.</w:t>
      </w:r>
    </w:p>
    <w:p>
      <w:pPr>
        <w:rPr>
          <w:b/>
          <w:bCs/>
          <w:i/>
          <w:iCs/>
          <w:sz w:val="20"/>
          <w:szCs w:val="20"/>
          <w:lang w:val="en-GB"/>
        </w:rPr>
      </w:pPr>
      <w:r>
        <w:rPr>
          <w:b/>
          <w:bCs/>
          <w:i/>
          <w:iCs/>
          <w:sz w:val="20"/>
          <w:szCs w:val="20"/>
          <w:lang w:val="en-GB"/>
        </w:rPr>
        <w:t>Q3-5: Should RAN3 discuss/introduce the QoE management support for SA, NSA and/or MR-DC?</w:t>
      </w:r>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b/>
                <w:bCs/>
                <w:sz w:val="20"/>
                <w:szCs w:val="22"/>
                <w:lang w:val="en-GB"/>
              </w:rPr>
            </w:pPr>
            <w:r>
              <w:rPr>
                <w:b/>
                <w:bCs/>
                <w:sz w:val="20"/>
                <w:szCs w:val="22"/>
                <w:lang w:val="en-GB"/>
              </w:rPr>
              <w:t>Company</w:t>
            </w:r>
          </w:p>
        </w:tc>
        <w:tc>
          <w:tcPr>
            <w:tcW w:w="6840" w:type="dxa"/>
          </w:tcPr>
          <w:p>
            <w:pPr>
              <w:rPr>
                <w:b/>
                <w:bCs/>
                <w:sz w:val="20"/>
                <w:szCs w:val="22"/>
                <w:lang w:val="en-GB"/>
              </w:rPr>
            </w:pPr>
            <w:r>
              <w:rPr>
                <w:b/>
                <w:bCs/>
                <w:sz w:val="20"/>
                <w:szCs w:val="22"/>
                <w:lang w:val="en-GB"/>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sz w:val="20"/>
                <w:szCs w:val="22"/>
                <w:lang w:val="en-GB"/>
              </w:rPr>
            </w:pPr>
            <w:r>
              <w:rPr>
                <w:sz w:val="20"/>
                <w:szCs w:val="22"/>
                <w:lang w:val="en-GB"/>
              </w:rPr>
              <w:t>Ericsson</w:t>
            </w:r>
          </w:p>
        </w:tc>
        <w:tc>
          <w:tcPr>
            <w:tcW w:w="6840" w:type="dxa"/>
          </w:tcPr>
          <w:p>
            <w:pPr>
              <w:rPr>
                <w:sz w:val="20"/>
                <w:szCs w:val="22"/>
                <w:lang w:val="en-GB"/>
              </w:rPr>
            </w:pPr>
            <w:r>
              <w:rPr>
                <w:sz w:val="20"/>
                <w:szCs w:val="22"/>
                <w:lang w:val="en-GB"/>
              </w:rPr>
              <w:t>Yes, we think this is beneficial. Multi-connectivity has an impact on QoE and this should be considered in QoE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sz w:val="20"/>
                <w:szCs w:val="22"/>
                <w:lang w:val="en-GB"/>
              </w:rPr>
            </w:pPr>
            <w:ins w:id="171" w:author="Xipeng" w:date="2020-08-17T15:37:00Z">
              <w:r>
                <w:rPr>
                  <w:sz w:val="20"/>
                  <w:szCs w:val="22"/>
                  <w:lang w:val="en-GB"/>
                </w:rPr>
                <w:t>Qualcomm</w:t>
              </w:r>
            </w:ins>
          </w:p>
        </w:tc>
        <w:tc>
          <w:tcPr>
            <w:tcW w:w="6840" w:type="dxa"/>
          </w:tcPr>
          <w:p>
            <w:pPr>
              <w:rPr>
                <w:sz w:val="20"/>
                <w:szCs w:val="22"/>
                <w:lang w:val="en-GB"/>
              </w:rPr>
            </w:pPr>
            <w:ins w:id="172" w:author="Xipeng" w:date="2020-08-17T15:37:00Z">
              <w:r>
                <w:rPr>
                  <w:sz w:val="20"/>
                  <w:szCs w:val="22"/>
                  <w:lang w:val="en-GB"/>
                </w:rPr>
                <w:t>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3" w:author="China Telecom" w:date="2020-08-18T12:43:00Z"/>
        </w:trPr>
        <w:tc>
          <w:tcPr>
            <w:tcW w:w="2340" w:type="dxa"/>
          </w:tcPr>
          <w:p>
            <w:pPr>
              <w:rPr>
                <w:ins w:id="174" w:author="China Telecom" w:date="2020-08-18T12:43:00Z"/>
                <w:sz w:val="20"/>
                <w:szCs w:val="22"/>
                <w:lang w:val="en-GB"/>
              </w:rPr>
            </w:pPr>
            <w:ins w:id="175" w:author="China Telecom" w:date="2020-08-18T12:43:00Z">
              <w:r>
                <w:rPr>
                  <w:rFonts w:hint="eastAsia" w:eastAsia="等线"/>
                  <w:sz w:val="20"/>
                  <w:szCs w:val="22"/>
                  <w:lang w:val="en-GB" w:eastAsia="zh-CN"/>
                </w:rPr>
                <w:t>China Telecom</w:t>
              </w:r>
            </w:ins>
          </w:p>
        </w:tc>
        <w:tc>
          <w:tcPr>
            <w:tcW w:w="6840" w:type="dxa"/>
          </w:tcPr>
          <w:p>
            <w:pPr>
              <w:rPr>
                <w:ins w:id="176" w:author="China Telecom" w:date="2020-08-18T12:43:00Z"/>
                <w:sz w:val="20"/>
                <w:szCs w:val="22"/>
                <w:lang w:val="en-GB"/>
              </w:rPr>
            </w:pPr>
            <w:ins w:id="177" w:author="China Telecom" w:date="2020-08-18T12:43:00Z">
              <w:r>
                <w:rPr>
                  <w:rFonts w:hint="eastAsia" w:eastAsia="等线"/>
                  <w:sz w:val="20"/>
                  <w:szCs w:val="22"/>
                  <w:lang w:val="en-GB" w:eastAsia="zh-CN"/>
                </w:rPr>
                <w:t xml:space="preserve">Yes. </w:t>
              </w:r>
            </w:ins>
            <w:ins w:id="178" w:author="China Telecom" w:date="2020-08-18T12:43:00Z">
              <w:r>
                <w:rPr>
                  <w:rFonts w:eastAsia="等线"/>
                  <w:sz w:val="20"/>
                  <w:szCs w:val="22"/>
                  <w:lang w:val="en-GB" w:eastAsia="zh-CN"/>
                </w:rPr>
                <w:t>NR QOE shall consider the support for MR-DC.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9" w:author="ZTE-LiDapeng" w:date="2020-08-18T15:45:53Z"/>
        </w:trPr>
        <w:tc>
          <w:tcPr>
            <w:tcW w:w="2340" w:type="dxa"/>
          </w:tcPr>
          <w:p>
            <w:pPr>
              <w:rPr>
                <w:ins w:id="180" w:author="ZTE-LiDapeng" w:date="2020-08-18T15:45:53Z"/>
                <w:rFonts w:hint="default" w:eastAsia="等线"/>
                <w:sz w:val="20"/>
                <w:szCs w:val="22"/>
                <w:lang w:val="en-US" w:eastAsia="zh-CN"/>
              </w:rPr>
            </w:pPr>
            <w:ins w:id="181" w:author="ZTE-LiDapeng" w:date="2020-08-18T15:46:03Z">
              <w:r>
                <w:rPr>
                  <w:rFonts w:hint="eastAsia" w:eastAsia="等线"/>
                  <w:sz w:val="20"/>
                  <w:szCs w:val="22"/>
                  <w:lang w:val="en-US" w:eastAsia="zh-CN"/>
                </w:rPr>
                <w:t>ZT</w:t>
              </w:r>
            </w:ins>
            <w:ins w:id="182" w:author="ZTE-LiDapeng" w:date="2020-08-18T15:46:04Z">
              <w:r>
                <w:rPr>
                  <w:rFonts w:hint="eastAsia" w:eastAsia="等线"/>
                  <w:sz w:val="20"/>
                  <w:szCs w:val="22"/>
                  <w:lang w:val="en-US" w:eastAsia="zh-CN"/>
                </w:rPr>
                <w:t>E</w:t>
              </w:r>
            </w:ins>
          </w:p>
        </w:tc>
        <w:tc>
          <w:tcPr>
            <w:tcW w:w="6840" w:type="dxa"/>
          </w:tcPr>
          <w:p>
            <w:pPr>
              <w:rPr>
                <w:ins w:id="183" w:author="ZTE-LiDapeng" w:date="2020-08-18T15:46:01Z"/>
                <w:rFonts w:hint="eastAsia" w:eastAsia="宋体"/>
                <w:sz w:val="20"/>
                <w:szCs w:val="22"/>
                <w:lang w:val="en-US" w:eastAsia="zh-CN"/>
              </w:rPr>
            </w:pPr>
            <w:ins w:id="184" w:author="ZTE-LiDapeng" w:date="2020-08-18T15:46:01Z">
              <w:r>
                <w:rPr>
                  <w:rFonts w:hint="eastAsia" w:eastAsia="宋体"/>
                  <w:sz w:val="20"/>
                  <w:szCs w:val="22"/>
                  <w:lang w:val="en-US" w:eastAsia="zh-CN"/>
                </w:rPr>
                <w:t xml:space="preserve">Application layer QoE measurements is agnostic to SA/NSA/MR-DC. </w:t>
              </w:r>
            </w:ins>
          </w:p>
          <w:p>
            <w:pPr>
              <w:rPr>
                <w:ins w:id="185" w:author="ZTE-LiDapeng" w:date="2020-08-18T15:45:53Z"/>
                <w:rFonts w:hint="eastAsia" w:eastAsia="等线"/>
                <w:sz w:val="20"/>
                <w:szCs w:val="22"/>
                <w:lang w:val="en-GB" w:eastAsia="zh-CN"/>
              </w:rPr>
            </w:pPr>
            <w:ins w:id="186" w:author="ZTE-LiDapeng" w:date="2020-08-18T15:46:01Z">
              <w:r>
                <w:rPr>
                  <w:rFonts w:hint="eastAsia" w:eastAsia="宋体"/>
                  <w:sz w:val="20"/>
                  <w:szCs w:val="22"/>
                  <w:lang w:val="en-US" w:eastAsia="zh-CN"/>
                </w:rPr>
                <w:t xml:space="preserve">If we support QoE related RAN measurements, the measurements should be supported for SA/NSA/MR-DC. </w:t>
              </w:r>
            </w:ins>
          </w:p>
        </w:tc>
      </w:tr>
    </w:tbl>
    <w:p>
      <w:pPr>
        <w:rPr>
          <w:sz w:val="20"/>
          <w:szCs w:val="20"/>
          <w:lang w:val="en-GB"/>
        </w:rPr>
      </w:pPr>
    </w:p>
    <w:p>
      <w:pPr>
        <w:rPr>
          <w:sz w:val="20"/>
          <w:szCs w:val="20"/>
          <w:lang w:val="en-GB"/>
        </w:rPr>
      </w:pPr>
      <w:r>
        <w:rPr>
          <w:sz w:val="20"/>
          <w:szCs w:val="20"/>
          <w:lang w:val="en-GB"/>
        </w:rPr>
        <w:t>Paper [7] proposes that QoE measurement and reporting is supported in RRC_CONNECTED state only.</w:t>
      </w:r>
    </w:p>
    <w:p>
      <w:pPr>
        <w:rPr>
          <w:b/>
          <w:bCs/>
          <w:sz w:val="20"/>
          <w:szCs w:val="20"/>
          <w:lang w:val="en-GB"/>
        </w:rPr>
      </w:pPr>
      <w:r>
        <w:rPr>
          <w:b/>
          <w:bCs/>
          <w:sz w:val="20"/>
          <w:szCs w:val="20"/>
          <w:lang w:val="en-GB"/>
        </w:rPr>
        <w:t xml:space="preserve">Q3-6: How should QoE measurements and reporting be handled in different RRC states?  </w:t>
      </w:r>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b/>
                <w:bCs/>
                <w:sz w:val="20"/>
                <w:szCs w:val="22"/>
                <w:lang w:val="en-GB"/>
              </w:rPr>
            </w:pPr>
            <w:r>
              <w:rPr>
                <w:b/>
                <w:bCs/>
                <w:sz w:val="20"/>
                <w:szCs w:val="22"/>
                <w:lang w:val="en-GB"/>
              </w:rPr>
              <w:t>Company</w:t>
            </w:r>
          </w:p>
        </w:tc>
        <w:tc>
          <w:tcPr>
            <w:tcW w:w="6840" w:type="dxa"/>
          </w:tcPr>
          <w:p>
            <w:pPr>
              <w:rPr>
                <w:b/>
                <w:bCs/>
                <w:sz w:val="20"/>
                <w:szCs w:val="22"/>
                <w:lang w:val="en-GB"/>
              </w:rPr>
            </w:pPr>
            <w:r>
              <w:rPr>
                <w:b/>
                <w:bCs/>
                <w:sz w:val="20"/>
                <w:szCs w:val="22"/>
                <w:lang w:val="en-GB"/>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sz w:val="20"/>
                <w:szCs w:val="22"/>
                <w:lang w:val="en-GB"/>
              </w:rPr>
            </w:pPr>
            <w:r>
              <w:rPr>
                <w:sz w:val="20"/>
                <w:szCs w:val="22"/>
                <w:lang w:val="en-GB"/>
              </w:rPr>
              <w:t>Ericsson</w:t>
            </w:r>
          </w:p>
        </w:tc>
        <w:tc>
          <w:tcPr>
            <w:tcW w:w="6840" w:type="dxa"/>
          </w:tcPr>
          <w:p>
            <w:pPr>
              <w:rPr>
                <w:sz w:val="20"/>
                <w:szCs w:val="22"/>
                <w:lang w:val="en-GB"/>
              </w:rPr>
            </w:pPr>
            <w:r>
              <w:rPr>
                <w:sz w:val="20"/>
                <w:szCs w:val="22"/>
                <w:lang w:val="en-GB"/>
              </w:rPr>
              <w:t>We think that QoE measurement and reporting should of course be supported in CONNECTED state. We also think that the measurement configuration should not be released during the INACTIVE state, because we should avoid configuring the UE again and again every time it switches back to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sz w:val="20"/>
                <w:szCs w:val="22"/>
                <w:lang w:val="en-GB"/>
              </w:rPr>
            </w:pPr>
            <w:ins w:id="187" w:author="Xipeng" w:date="2020-08-17T15:37:00Z">
              <w:r>
                <w:rPr>
                  <w:sz w:val="20"/>
                  <w:szCs w:val="22"/>
                  <w:lang w:val="en-GB"/>
                </w:rPr>
                <w:t>Qualcomm</w:t>
              </w:r>
            </w:ins>
          </w:p>
        </w:tc>
        <w:tc>
          <w:tcPr>
            <w:tcW w:w="6840" w:type="dxa"/>
          </w:tcPr>
          <w:p>
            <w:pPr>
              <w:rPr>
                <w:sz w:val="20"/>
                <w:szCs w:val="22"/>
                <w:lang w:val="en-GB"/>
              </w:rPr>
            </w:pPr>
            <w:ins w:id="188" w:author="Xipeng" w:date="2020-08-17T15:38:00Z">
              <w:r>
                <w:rPr>
                  <w:sz w:val="20"/>
                  <w:szCs w:val="22"/>
                  <w:lang w:val="en-GB"/>
                </w:rPr>
                <w:t xml:space="preserve">Application runs in AP (application processor) and is agnostic to RRC states. </w:t>
              </w:r>
            </w:ins>
            <w:ins w:id="189" w:author="Xipeng" w:date="2020-08-17T15:39:00Z">
              <w:r>
                <w:rPr>
                  <w:sz w:val="20"/>
                  <w:szCs w:val="22"/>
                  <w:lang w:val="en-GB"/>
                </w:rPr>
                <w:t>RRC state is managed by modem. QoE is measurement in application layer</w:t>
              </w:r>
            </w:ins>
            <w:ins w:id="190" w:author="Xipeng" w:date="2020-08-17T15:40:00Z">
              <w:r>
                <w:rPr>
                  <w:sz w:val="20"/>
                  <w:szCs w:val="22"/>
                  <w:lang w:val="en-GB"/>
                </w:rPr>
                <w:t xml:space="preserve"> and therefore should be independent of RRC states.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1" w:author="China Telecom" w:date="2020-08-18T12:43:00Z"/>
        </w:trPr>
        <w:tc>
          <w:tcPr>
            <w:tcW w:w="2340" w:type="dxa"/>
          </w:tcPr>
          <w:p>
            <w:pPr>
              <w:rPr>
                <w:ins w:id="192" w:author="China Telecom" w:date="2020-08-18T12:43:00Z"/>
                <w:sz w:val="20"/>
                <w:szCs w:val="22"/>
                <w:lang w:val="en-GB"/>
              </w:rPr>
            </w:pPr>
            <w:ins w:id="193" w:author="China Telecom" w:date="2020-08-18T12:43:00Z">
              <w:r>
                <w:rPr>
                  <w:rFonts w:hint="eastAsia" w:eastAsia="等线"/>
                  <w:sz w:val="20"/>
                  <w:szCs w:val="22"/>
                  <w:lang w:val="en-GB" w:eastAsia="zh-CN"/>
                </w:rPr>
                <w:t>China Telecom</w:t>
              </w:r>
            </w:ins>
          </w:p>
        </w:tc>
        <w:tc>
          <w:tcPr>
            <w:tcW w:w="6840" w:type="dxa"/>
          </w:tcPr>
          <w:p>
            <w:pPr>
              <w:rPr>
                <w:ins w:id="194" w:author="China Telecom" w:date="2020-08-18T12:43:00Z"/>
                <w:sz w:val="20"/>
                <w:szCs w:val="22"/>
                <w:lang w:val="en-GB"/>
              </w:rPr>
            </w:pPr>
            <w:ins w:id="195" w:author="China Telecom" w:date="2020-08-18T12:43:00Z">
              <w:r>
                <w:rPr>
                  <w:rFonts w:eastAsia="等线"/>
                  <w:sz w:val="20"/>
                  <w:szCs w:val="22"/>
                  <w:lang w:val="en-GB" w:eastAsia="zh-CN"/>
                </w:rPr>
                <w:t>A</w:t>
              </w:r>
            </w:ins>
            <w:ins w:id="196" w:author="China Telecom" w:date="2020-08-18T12:43:00Z">
              <w:r>
                <w:rPr>
                  <w:rFonts w:hint="eastAsia" w:eastAsia="等线"/>
                  <w:sz w:val="20"/>
                  <w:szCs w:val="22"/>
                  <w:lang w:val="en-GB" w:eastAsia="zh-CN"/>
                </w:rPr>
                <w:t xml:space="preserve">gree </w:t>
              </w:r>
            </w:ins>
            <w:ins w:id="197" w:author="China Telecom" w:date="2020-08-18T12:43:00Z">
              <w:r>
                <w:rPr>
                  <w:rFonts w:eastAsia="等线"/>
                  <w:sz w:val="20"/>
                  <w:szCs w:val="22"/>
                  <w:lang w:val="en-GB" w:eastAsia="zh-CN"/>
                </w:rPr>
                <w:t>with Ericsson. Both Connected and inactive state should be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8" w:author="ZTE-LiDapeng" w:date="2020-08-18T15:46:08Z"/>
        </w:trPr>
        <w:tc>
          <w:tcPr>
            <w:tcW w:w="2340" w:type="dxa"/>
          </w:tcPr>
          <w:p>
            <w:pPr>
              <w:rPr>
                <w:ins w:id="199" w:author="ZTE-LiDapeng" w:date="2020-08-18T15:46:08Z"/>
                <w:rFonts w:hint="default" w:eastAsia="等线"/>
                <w:sz w:val="20"/>
                <w:szCs w:val="22"/>
                <w:lang w:val="en-US" w:eastAsia="zh-CN"/>
              </w:rPr>
            </w:pPr>
            <w:ins w:id="200" w:author="ZTE-LiDapeng" w:date="2020-08-18T15:46:19Z">
              <w:r>
                <w:rPr>
                  <w:rFonts w:hint="eastAsia" w:eastAsia="等线"/>
                  <w:sz w:val="20"/>
                  <w:szCs w:val="22"/>
                  <w:lang w:val="en-US" w:eastAsia="zh-CN"/>
                </w:rPr>
                <w:t>Z</w:t>
              </w:r>
            </w:ins>
            <w:ins w:id="201" w:author="ZTE-LiDapeng" w:date="2020-08-18T15:46:20Z">
              <w:r>
                <w:rPr>
                  <w:rFonts w:hint="eastAsia" w:eastAsia="等线"/>
                  <w:sz w:val="20"/>
                  <w:szCs w:val="22"/>
                  <w:lang w:val="en-US" w:eastAsia="zh-CN"/>
                </w:rPr>
                <w:t>TE</w:t>
              </w:r>
            </w:ins>
          </w:p>
        </w:tc>
        <w:tc>
          <w:tcPr>
            <w:tcW w:w="6840" w:type="dxa"/>
          </w:tcPr>
          <w:p>
            <w:pPr>
              <w:rPr>
                <w:ins w:id="202" w:author="ZTE-LiDapeng" w:date="2020-08-18T15:46:08Z"/>
                <w:rFonts w:eastAsia="等线"/>
                <w:sz w:val="20"/>
                <w:szCs w:val="22"/>
                <w:lang w:val="en-GB" w:eastAsia="zh-CN"/>
              </w:rPr>
            </w:pPr>
            <w:ins w:id="203" w:author="ZTE-LiDapeng" w:date="2020-08-18T15:46:17Z">
              <w:r>
                <w:rPr>
                  <w:sz w:val="20"/>
                  <w:szCs w:val="22"/>
                  <w:lang w:val="en-GB"/>
                </w:rPr>
                <w:t xml:space="preserve">QoE measurement </w:t>
              </w:r>
            </w:ins>
            <w:ins w:id="204" w:author="ZTE-LiDapeng" w:date="2020-08-18T15:46:17Z">
              <w:r>
                <w:rPr>
                  <w:rFonts w:hint="eastAsia" w:eastAsia="宋体"/>
                  <w:sz w:val="20"/>
                  <w:szCs w:val="22"/>
                  <w:lang w:val="en-US" w:eastAsia="zh-CN"/>
                </w:rPr>
                <w:t xml:space="preserve">configuration </w:t>
              </w:r>
            </w:ins>
            <w:ins w:id="205" w:author="ZTE-LiDapeng" w:date="2020-08-18T15:46:17Z">
              <w:r>
                <w:rPr>
                  <w:sz w:val="20"/>
                  <w:szCs w:val="22"/>
                  <w:lang w:val="en-GB"/>
                </w:rPr>
                <w:t xml:space="preserve">and reporting should of course be supported in CONNECTED state. </w:t>
              </w:r>
            </w:ins>
            <w:ins w:id="206" w:author="ZTE-LiDapeng" w:date="2020-08-18T15:46:17Z">
              <w:r>
                <w:rPr>
                  <w:rFonts w:hint="eastAsia" w:eastAsia="宋体"/>
                  <w:sz w:val="20"/>
                  <w:szCs w:val="22"/>
                  <w:lang w:val="en-US" w:eastAsia="zh-CN"/>
                </w:rPr>
                <w:t>Whether UE needs to record during INACTIVE state is pending to RAN2 discussion.</w:t>
              </w:r>
            </w:ins>
          </w:p>
        </w:tc>
      </w:tr>
    </w:tbl>
    <w:p>
      <w:pPr>
        <w:rPr>
          <w:sz w:val="20"/>
          <w:szCs w:val="20"/>
          <w:lang w:val="en-GB"/>
        </w:rPr>
      </w:pPr>
    </w:p>
    <w:p>
      <w:pPr>
        <w:pStyle w:val="3"/>
        <w:rPr>
          <w:lang w:val="en-GB"/>
        </w:rPr>
      </w:pPr>
      <w:r>
        <w:rPr>
          <w:lang w:val="en-GB"/>
        </w:rPr>
        <w:t>NR QoE management at mobility</w:t>
      </w:r>
    </w:p>
    <w:p>
      <w:pPr>
        <w:rPr>
          <w:color w:val="FF0000"/>
          <w:sz w:val="20"/>
          <w:szCs w:val="20"/>
          <w:lang w:val="en-GB" w:eastAsia="zh-CN"/>
        </w:rPr>
      </w:pPr>
      <w:r>
        <w:rPr>
          <w:sz w:val="20"/>
          <w:szCs w:val="20"/>
          <w:lang w:val="en-GB"/>
        </w:rPr>
        <w:t>Paper [6] proposes that RAN3 should study the required information to be exchanged between RAN nodes to support QoE measurement handling upon mobility. Papers [8] and [17] propose mobility support only for signalling-based solution.</w:t>
      </w:r>
    </w:p>
    <w:p>
      <w:pPr>
        <w:rPr>
          <w:b/>
          <w:bCs/>
          <w:sz w:val="20"/>
          <w:szCs w:val="20"/>
          <w:lang w:val="en-GB"/>
        </w:rPr>
      </w:pPr>
      <w:r>
        <w:rPr>
          <w:b/>
          <w:bCs/>
          <w:sz w:val="20"/>
          <w:szCs w:val="20"/>
          <w:lang w:val="en-GB"/>
        </w:rPr>
        <w:t>Q4: Should RAN3 specify mobility support for both signalling- and management-based NR QoE management?</w:t>
      </w:r>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b/>
                <w:bCs/>
                <w:sz w:val="20"/>
                <w:szCs w:val="22"/>
                <w:lang w:val="en-GB"/>
              </w:rPr>
            </w:pPr>
            <w:r>
              <w:rPr>
                <w:b/>
                <w:bCs/>
                <w:sz w:val="20"/>
                <w:szCs w:val="22"/>
                <w:lang w:val="en-GB"/>
              </w:rPr>
              <w:t>Company</w:t>
            </w:r>
          </w:p>
        </w:tc>
        <w:tc>
          <w:tcPr>
            <w:tcW w:w="6840" w:type="dxa"/>
          </w:tcPr>
          <w:p>
            <w:pPr>
              <w:rPr>
                <w:b/>
                <w:bCs/>
                <w:sz w:val="20"/>
                <w:szCs w:val="22"/>
                <w:lang w:val="en-GB"/>
              </w:rPr>
            </w:pPr>
            <w:r>
              <w:rPr>
                <w:b/>
                <w:bCs/>
                <w:sz w:val="20"/>
                <w:szCs w:val="22"/>
                <w:lang w:val="en-GB"/>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sz w:val="20"/>
                <w:szCs w:val="22"/>
                <w:lang w:val="en-GB"/>
              </w:rPr>
            </w:pPr>
            <w:r>
              <w:rPr>
                <w:sz w:val="20"/>
                <w:szCs w:val="22"/>
                <w:lang w:val="en-GB"/>
              </w:rPr>
              <w:t>Ericsson</w:t>
            </w:r>
          </w:p>
        </w:tc>
        <w:tc>
          <w:tcPr>
            <w:tcW w:w="6840" w:type="dxa"/>
          </w:tcPr>
          <w:p>
            <w:pPr>
              <w:rPr>
                <w:sz w:val="20"/>
                <w:szCs w:val="22"/>
                <w:lang w:val="en-GB"/>
              </w:rPr>
            </w:pPr>
            <w:r>
              <w:rPr>
                <w:sz w:val="20"/>
                <w:szCs w:val="22"/>
                <w:lang w:val="en-GB"/>
              </w:rPr>
              <w:t>Yes. The mobility impact on QoE is very important, regardless of QoE management solution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tcPr>
          <w:p>
            <w:pPr>
              <w:rPr>
                <w:sz w:val="20"/>
                <w:szCs w:val="22"/>
                <w:lang w:val="en-GB"/>
              </w:rPr>
            </w:pPr>
            <w:ins w:id="207" w:author="Xipeng" w:date="2020-08-17T15:41:00Z">
              <w:r>
                <w:rPr>
                  <w:sz w:val="20"/>
                  <w:szCs w:val="22"/>
                  <w:lang w:val="en-GB"/>
                </w:rPr>
                <w:t>Qualcomm</w:t>
              </w:r>
            </w:ins>
          </w:p>
        </w:tc>
        <w:tc>
          <w:tcPr>
            <w:tcW w:w="6840" w:type="dxa"/>
          </w:tcPr>
          <w:p>
            <w:pPr>
              <w:rPr>
                <w:sz w:val="20"/>
                <w:szCs w:val="22"/>
                <w:lang w:val="en-GB"/>
              </w:rPr>
            </w:pPr>
            <w:ins w:id="208" w:author="Xipeng" w:date="2020-08-17T15:41:00Z">
              <w:r>
                <w:rPr>
                  <w:sz w:val="20"/>
                  <w:szCs w:val="22"/>
                  <w:lang w:val="en-GB"/>
                </w:rPr>
                <w:t>Yes.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9" w:author="China Telecom" w:date="2020-08-18T12:43:00Z"/>
        </w:trPr>
        <w:tc>
          <w:tcPr>
            <w:tcW w:w="2340" w:type="dxa"/>
          </w:tcPr>
          <w:p>
            <w:pPr>
              <w:rPr>
                <w:ins w:id="210" w:author="China Telecom" w:date="2020-08-18T12:43:00Z"/>
                <w:sz w:val="20"/>
                <w:szCs w:val="22"/>
                <w:lang w:val="en-GB"/>
              </w:rPr>
            </w:pPr>
            <w:ins w:id="211" w:author="China Telecom" w:date="2020-08-18T12:44:00Z">
              <w:r>
                <w:rPr>
                  <w:rFonts w:hint="eastAsia" w:eastAsia="等线"/>
                  <w:sz w:val="20"/>
                  <w:szCs w:val="22"/>
                  <w:lang w:val="en-GB" w:eastAsia="zh-CN"/>
                </w:rPr>
                <w:t>China Telecom</w:t>
              </w:r>
            </w:ins>
          </w:p>
        </w:tc>
        <w:tc>
          <w:tcPr>
            <w:tcW w:w="6840" w:type="dxa"/>
          </w:tcPr>
          <w:p>
            <w:pPr>
              <w:rPr>
                <w:ins w:id="212" w:author="China Telecom" w:date="2020-08-18T12:43:00Z"/>
                <w:sz w:val="20"/>
                <w:szCs w:val="22"/>
                <w:lang w:val="en-GB"/>
              </w:rPr>
            </w:pPr>
            <w:ins w:id="213" w:author="China Telecom" w:date="2020-08-18T12:44:00Z">
              <w:r>
                <w:rPr>
                  <w:rFonts w:hint="eastAsia" w:eastAsia="等线"/>
                  <w:sz w:val="20"/>
                  <w:szCs w:val="22"/>
                  <w:lang w:val="en-GB" w:eastAsia="zh-CN"/>
                </w:rPr>
                <w:t xml:space="preserve">Yes. </w:t>
              </w:r>
            </w:ins>
            <w:ins w:id="214" w:author="China Telecom" w:date="2020-08-18T12:44:00Z">
              <w:r>
                <w:rPr>
                  <w:rFonts w:eastAsia="等线"/>
                  <w:sz w:val="20"/>
                  <w:szCs w:val="22"/>
                  <w:lang w:val="en-GB" w:eastAsia="zh-CN"/>
                </w:rPr>
                <w:t>In addition,  the NR QOE management during 4G/5G HO should be also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5" w:author="ZTE-LiDapeng" w:date="2020-08-18T15:46:23Z"/>
        </w:trPr>
        <w:tc>
          <w:tcPr>
            <w:tcW w:w="2340" w:type="dxa"/>
          </w:tcPr>
          <w:p>
            <w:pPr>
              <w:rPr>
                <w:ins w:id="216" w:author="ZTE-LiDapeng" w:date="2020-08-18T15:46:23Z"/>
                <w:rFonts w:hint="default" w:eastAsia="等线"/>
                <w:sz w:val="20"/>
                <w:szCs w:val="22"/>
                <w:lang w:val="en-US" w:eastAsia="zh-CN"/>
              </w:rPr>
            </w:pPr>
            <w:ins w:id="217" w:author="ZTE-LiDapeng" w:date="2020-08-18T15:46:31Z">
              <w:r>
                <w:rPr>
                  <w:rFonts w:hint="eastAsia" w:eastAsia="等线"/>
                  <w:sz w:val="20"/>
                  <w:szCs w:val="22"/>
                  <w:lang w:val="en-US" w:eastAsia="zh-CN"/>
                </w:rPr>
                <w:t>ZTE</w:t>
              </w:r>
            </w:ins>
            <w:bookmarkStart w:id="2" w:name="_GoBack"/>
            <w:bookmarkEnd w:id="2"/>
          </w:p>
        </w:tc>
        <w:tc>
          <w:tcPr>
            <w:tcW w:w="6840" w:type="dxa"/>
          </w:tcPr>
          <w:p>
            <w:pPr>
              <w:rPr>
                <w:ins w:id="218" w:author="ZTE-LiDapeng" w:date="2020-08-18T15:46:23Z"/>
                <w:rFonts w:hint="eastAsia" w:eastAsia="等线"/>
                <w:sz w:val="20"/>
                <w:szCs w:val="22"/>
                <w:lang w:val="en-GB" w:eastAsia="zh-CN"/>
              </w:rPr>
            </w:pPr>
            <w:ins w:id="219" w:author="ZTE-LiDapeng" w:date="2020-08-18T15:46:30Z">
              <w:r>
                <w:rPr>
                  <w:rFonts w:hint="eastAsia" w:eastAsia="宋体"/>
                  <w:sz w:val="20"/>
                  <w:szCs w:val="22"/>
                  <w:lang w:val="en-US" w:eastAsia="zh-CN"/>
                </w:rPr>
                <w:t>Yes.</w:t>
              </w:r>
            </w:ins>
          </w:p>
        </w:tc>
      </w:tr>
    </w:tbl>
    <w:p>
      <w:pPr>
        <w:rPr>
          <w:b/>
          <w:bCs/>
          <w:lang w:val="en-GB"/>
        </w:rPr>
      </w:pPr>
    </w:p>
    <w:p>
      <w:pPr>
        <w:rPr>
          <w:lang w:val="en-GB"/>
        </w:rPr>
      </w:pPr>
    </w:p>
    <w:p>
      <w:pPr>
        <w:pStyle w:val="3"/>
        <w:rPr>
          <w:lang w:val="en-GB"/>
        </w:rPr>
      </w:pPr>
      <w:r>
        <w:rPr>
          <w:lang w:val="en-GB"/>
        </w:rPr>
        <w:t>Other non-essential issues – to be discussed at a later stage</w:t>
      </w:r>
    </w:p>
    <w:p>
      <w:pPr>
        <w:pStyle w:val="48"/>
        <w:numPr>
          <w:ilvl w:val="0"/>
          <w:numId w:val="7"/>
        </w:numPr>
        <w:rPr>
          <w:sz w:val="20"/>
          <w:szCs w:val="22"/>
          <w:lang w:val="en-GB"/>
        </w:rPr>
      </w:pPr>
      <w:r>
        <w:rPr>
          <w:sz w:val="20"/>
          <w:szCs w:val="22"/>
          <w:lang w:val="en-GB"/>
        </w:rPr>
        <w:t xml:space="preserve">Interface impact - as proposed by [10], the interface impact (proposals in e.g. [13]) should be discussed only after the solution(s) have been chosen, and the rapporteur will follow that approach. </w:t>
      </w:r>
    </w:p>
    <w:p>
      <w:pPr>
        <w:pStyle w:val="48"/>
        <w:numPr>
          <w:ilvl w:val="0"/>
          <w:numId w:val="7"/>
        </w:numPr>
        <w:rPr>
          <w:sz w:val="20"/>
          <w:szCs w:val="22"/>
          <w:lang w:val="en-GB"/>
        </w:rPr>
      </w:pPr>
      <w:r>
        <w:rPr>
          <w:sz w:val="20"/>
          <w:szCs w:val="22"/>
          <w:lang w:val="en-GB"/>
        </w:rPr>
        <w:t>Proposals regarding real-time NR QoE management, discussed in [10] and [13].</w:t>
      </w:r>
    </w:p>
    <w:p>
      <w:pPr>
        <w:pStyle w:val="48"/>
        <w:numPr>
          <w:ilvl w:val="0"/>
          <w:numId w:val="7"/>
        </w:numPr>
        <w:rPr>
          <w:sz w:val="20"/>
          <w:szCs w:val="22"/>
          <w:lang w:val="en-GB"/>
        </w:rPr>
      </w:pPr>
      <w:r>
        <w:rPr>
          <w:sz w:val="20"/>
          <w:szCs w:val="22"/>
          <w:lang w:val="en-GB"/>
        </w:rPr>
        <w:t>Inter-RAT mobility discussed in papers [6] and [15].</w:t>
      </w:r>
    </w:p>
    <w:p>
      <w:pPr>
        <w:pStyle w:val="48"/>
        <w:numPr>
          <w:ilvl w:val="0"/>
          <w:numId w:val="7"/>
        </w:numPr>
        <w:rPr>
          <w:sz w:val="20"/>
          <w:szCs w:val="22"/>
          <w:lang w:val="en-GB"/>
        </w:rPr>
      </w:pPr>
      <w:r>
        <w:rPr>
          <w:sz w:val="20"/>
          <w:szCs w:val="22"/>
          <w:lang w:val="en-GB"/>
        </w:rPr>
        <w:t>Slice-related proposals from [3], [12] and [16].</w:t>
      </w:r>
    </w:p>
    <w:p>
      <w:pPr>
        <w:pStyle w:val="48"/>
        <w:numPr>
          <w:ilvl w:val="0"/>
          <w:numId w:val="7"/>
        </w:numPr>
        <w:rPr>
          <w:sz w:val="20"/>
          <w:szCs w:val="22"/>
          <w:lang w:val="en-GB"/>
        </w:rPr>
      </w:pPr>
      <w:r>
        <w:rPr>
          <w:sz w:val="20"/>
          <w:szCs w:val="22"/>
          <w:lang w:val="en-GB"/>
        </w:rPr>
        <w:t>Segmentation of QoE reports over RRC in [6].</w:t>
      </w:r>
    </w:p>
    <w:p>
      <w:pPr>
        <w:pStyle w:val="2"/>
        <w:rPr>
          <w:lang w:val="en-GB"/>
        </w:rPr>
      </w:pPr>
      <w:r>
        <w:rPr>
          <w:lang w:val="en-GB"/>
        </w:rPr>
        <w:t xml:space="preserve">Conclusion, Recommendations </w:t>
      </w:r>
    </w:p>
    <w:p>
      <w:pPr>
        <w:rPr>
          <w:rFonts w:eastAsia="Times New Roman"/>
          <w:i/>
          <w:iCs/>
          <w:color w:val="FF0000"/>
          <w:sz w:val="20"/>
          <w:szCs w:val="22"/>
          <w:lang w:val="en-GB"/>
        </w:rPr>
      </w:pPr>
      <w:r>
        <w:rPr>
          <w:sz w:val="20"/>
          <w:szCs w:val="22"/>
          <w:lang w:val="en-GB"/>
        </w:rPr>
        <w:t>TBW</w:t>
      </w:r>
    </w:p>
    <w:p>
      <w:pPr>
        <w:pStyle w:val="33"/>
        <w:numPr>
          <w:ilvl w:val="0"/>
          <w:numId w:val="0"/>
        </w:numPr>
        <w:ind w:left="567" w:hanging="567"/>
        <w:rPr>
          <w:lang w:val="en-GB"/>
        </w:rPr>
      </w:pPr>
    </w:p>
    <w:p>
      <w:pPr>
        <w:rPr>
          <w:lang w:val="en-GB"/>
        </w:rPr>
      </w:pPr>
    </w:p>
    <w:sectPr>
      <w:footerReference r:id="rId3" w:type="default"/>
      <w:pgSz w:w="11906" w:h="16838"/>
      <w:pgMar w:top="1417" w:right="1274" w:bottom="1417" w:left="141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default"/>
    <w:sig w:usb0="E0002AFF" w:usb1="C0007843" w:usb2="00000009" w:usb3="00000000" w:csb0="400001FF" w:csb1="FFFF0000"/>
  </w:font>
  <w:font w:name="Yu Mincho">
    <w:altName w:val="MS Mincho"/>
    <w:panose1 w:val="00000000000000000000"/>
    <w:charset w:val="80"/>
    <w:family w:val="roman"/>
    <w:pitch w:val="default"/>
    <w:sig w:usb0="00000000" w:usb1="00000000" w:usb2="00000012" w:usb3="00000000" w:csb0="0002009F"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t>6</w:t>
    </w:r>
    <w:r>
      <w:fldChar w:fldCharType="end"/>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C3AA4"/>
    <w:multiLevelType w:val="multilevel"/>
    <w:tmpl w:val="1E6C3AA4"/>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1711"/>
        </w:tabs>
        <w:ind w:left="1711"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1">
    <w:nsid w:val="29FA1B0E"/>
    <w:multiLevelType w:val="multilevel"/>
    <w:tmpl w:val="29FA1B0E"/>
    <w:lvl w:ilvl="0" w:tentative="0">
      <w:start w:val="1"/>
      <w:numFmt w:val="decimal"/>
      <w:pStyle w:val="42"/>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4CF51A7D"/>
    <w:multiLevelType w:val="multilevel"/>
    <w:tmpl w:val="4CF51A7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D435891"/>
    <w:multiLevelType w:val="multilevel"/>
    <w:tmpl w:val="4D435891"/>
    <w:lvl w:ilvl="0" w:tentative="0">
      <w:start w:val="1"/>
      <w:numFmt w:val="decimal"/>
      <w:pStyle w:val="3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CCC5070"/>
    <w:multiLevelType w:val="multilevel"/>
    <w:tmpl w:val="5CCC50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9553850"/>
    <w:multiLevelType w:val="multilevel"/>
    <w:tmpl w:val="6955385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146DC0"/>
    <w:multiLevelType w:val="multilevel"/>
    <w:tmpl w:val="70146DC0"/>
    <w:lvl w:ilvl="0" w:tentative="0">
      <w:start w:val="1"/>
      <w:numFmt w:val="bullet"/>
      <w:pStyle w:val="3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3"/>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peng">
    <w15:presenceInfo w15:providerId="None" w15:userId="Xipeng"/>
  </w15:person>
  <w15:person w15:author="China Telecom">
    <w15:presenceInfo w15:providerId="None" w15:userId="China Telecom"/>
  </w15:person>
  <w15:person w15:author="ZTE-LiDapeng">
    <w15:presenceInfo w15:providerId="None" w15:userId="ZTE-LiDa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4554"/>
    <w:rsid w:val="0001154E"/>
    <w:rsid w:val="000157BF"/>
    <w:rsid w:val="00020944"/>
    <w:rsid w:val="00026EAA"/>
    <w:rsid w:val="00026F6F"/>
    <w:rsid w:val="000275B8"/>
    <w:rsid w:val="000315E9"/>
    <w:rsid w:val="000340C7"/>
    <w:rsid w:val="00034C60"/>
    <w:rsid w:val="0003531D"/>
    <w:rsid w:val="00035FCC"/>
    <w:rsid w:val="00041D44"/>
    <w:rsid w:val="000465F7"/>
    <w:rsid w:val="00051EAC"/>
    <w:rsid w:val="000526A5"/>
    <w:rsid w:val="0005314B"/>
    <w:rsid w:val="00055FA2"/>
    <w:rsid w:val="00057FD6"/>
    <w:rsid w:val="00066011"/>
    <w:rsid w:val="000713E2"/>
    <w:rsid w:val="000731A9"/>
    <w:rsid w:val="00074400"/>
    <w:rsid w:val="00075F7F"/>
    <w:rsid w:val="000764F1"/>
    <w:rsid w:val="00077666"/>
    <w:rsid w:val="00082C79"/>
    <w:rsid w:val="00095C14"/>
    <w:rsid w:val="000A1E15"/>
    <w:rsid w:val="000A4379"/>
    <w:rsid w:val="000A6ED3"/>
    <w:rsid w:val="000A6F7B"/>
    <w:rsid w:val="000B6AF6"/>
    <w:rsid w:val="000B6FAD"/>
    <w:rsid w:val="000B7416"/>
    <w:rsid w:val="000C0578"/>
    <w:rsid w:val="000C1F16"/>
    <w:rsid w:val="000C4FCE"/>
    <w:rsid w:val="000C5230"/>
    <w:rsid w:val="000C6FCD"/>
    <w:rsid w:val="000D2C8E"/>
    <w:rsid w:val="000D65E9"/>
    <w:rsid w:val="000E1E27"/>
    <w:rsid w:val="000E3ED1"/>
    <w:rsid w:val="000E51FE"/>
    <w:rsid w:val="000E6564"/>
    <w:rsid w:val="000E6A07"/>
    <w:rsid w:val="000F1B6D"/>
    <w:rsid w:val="000F752B"/>
    <w:rsid w:val="00100216"/>
    <w:rsid w:val="00103B76"/>
    <w:rsid w:val="00103FD0"/>
    <w:rsid w:val="00106247"/>
    <w:rsid w:val="00107042"/>
    <w:rsid w:val="00107B95"/>
    <w:rsid w:val="001129C7"/>
    <w:rsid w:val="00115B1E"/>
    <w:rsid w:val="00120F8D"/>
    <w:rsid w:val="0012435C"/>
    <w:rsid w:val="00127F83"/>
    <w:rsid w:val="0013001D"/>
    <w:rsid w:val="00130C43"/>
    <w:rsid w:val="0014304D"/>
    <w:rsid w:val="0014525B"/>
    <w:rsid w:val="001453C1"/>
    <w:rsid w:val="00145973"/>
    <w:rsid w:val="0015010B"/>
    <w:rsid w:val="001522AE"/>
    <w:rsid w:val="00153462"/>
    <w:rsid w:val="00157F69"/>
    <w:rsid w:val="00163648"/>
    <w:rsid w:val="001647D8"/>
    <w:rsid w:val="00165AAC"/>
    <w:rsid w:val="00165E1D"/>
    <w:rsid w:val="00166C7B"/>
    <w:rsid w:val="00167823"/>
    <w:rsid w:val="001704F9"/>
    <w:rsid w:val="00171633"/>
    <w:rsid w:val="0017488E"/>
    <w:rsid w:val="001824D7"/>
    <w:rsid w:val="001851C5"/>
    <w:rsid w:val="001920C1"/>
    <w:rsid w:val="001932E7"/>
    <w:rsid w:val="00195D1D"/>
    <w:rsid w:val="001A0A31"/>
    <w:rsid w:val="001A2D65"/>
    <w:rsid w:val="001A3B55"/>
    <w:rsid w:val="001A73DB"/>
    <w:rsid w:val="001B0944"/>
    <w:rsid w:val="001B336F"/>
    <w:rsid w:val="001B4436"/>
    <w:rsid w:val="001B593A"/>
    <w:rsid w:val="001C22FA"/>
    <w:rsid w:val="001C3DD2"/>
    <w:rsid w:val="001C7C5A"/>
    <w:rsid w:val="001E0BB6"/>
    <w:rsid w:val="001E0E6C"/>
    <w:rsid w:val="001E1D09"/>
    <w:rsid w:val="001E4213"/>
    <w:rsid w:val="001E7F0A"/>
    <w:rsid w:val="001F39CD"/>
    <w:rsid w:val="001F48F3"/>
    <w:rsid w:val="001F6448"/>
    <w:rsid w:val="001F7EB9"/>
    <w:rsid w:val="002040A7"/>
    <w:rsid w:val="00210DE0"/>
    <w:rsid w:val="002222CD"/>
    <w:rsid w:val="0022318C"/>
    <w:rsid w:val="0022482A"/>
    <w:rsid w:val="00225BDF"/>
    <w:rsid w:val="00240617"/>
    <w:rsid w:val="0025008F"/>
    <w:rsid w:val="00250B34"/>
    <w:rsid w:val="00252134"/>
    <w:rsid w:val="00252255"/>
    <w:rsid w:val="00254977"/>
    <w:rsid w:val="00256B88"/>
    <w:rsid w:val="00260842"/>
    <w:rsid w:val="00262D68"/>
    <w:rsid w:val="00263E69"/>
    <w:rsid w:val="00277205"/>
    <w:rsid w:val="002776EF"/>
    <w:rsid w:val="002849E2"/>
    <w:rsid w:val="00290B76"/>
    <w:rsid w:val="002918AB"/>
    <w:rsid w:val="0029322E"/>
    <w:rsid w:val="002B299E"/>
    <w:rsid w:val="002B3029"/>
    <w:rsid w:val="002B3078"/>
    <w:rsid w:val="002C5DCC"/>
    <w:rsid w:val="002C777A"/>
    <w:rsid w:val="002D2911"/>
    <w:rsid w:val="002E0BFA"/>
    <w:rsid w:val="002E7D7B"/>
    <w:rsid w:val="002F3869"/>
    <w:rsid w:val="00302688"/>
    <w:rsid w:val="0030336E"/>
    <w:rsid w:val="0030547B"/>
    <w:rsid w:val="00307F58"/>
    <w:rsid w:val="00320EC5"/>
    <w:rsid w:val="0032586B"/>
    <w:rsid w:val="00325BA4"/>
    <w:rsid w:val="00326C77"/>
    <w:rsid w:val="00327D85"/>
    <w:rsid w:val="00333C8F"/>
    <w:rsid w:val="003344F3"/>
    <w:rsid w:val="00335A09"/>
    <w:rsid w:val="00336787"/>
    <w:rsid w:val="003367EB"/>
    <w:rsid w:val="003455A2"/>
    <w:rsid w:val="003538B1"/>
    <w:rsid w:val="00356665"/>
    <w:rsid w:val="00357B9E"/>
    <w:rsid w:val="003620AD"/>
    <w:rsid w:val="00365EF0"/>
    <w:rsid w:val="00367745"/>
    <w:rsid w:val="00373F9F"/>
    <w:rsid w:val="0037743B"/>
    <w:rsid w:val="003801E5"/>
    <w:rsid w:val="0038449C"/>
    <w:rsid w:val="0039174E"/>
    <w:rsid w:val="0039483D"/>
    <w:rsid w:val="00395AFF"/>
    <w:rsid w:val="00396ADD"/>
    <w:rsid w:val="003A4B78"/>
    <w:rsid w:val="003A650C"/>
    <w:rsid w:val="003A79AB"/>
    <w:rsid w:val="003B163E"/>
    <w:rsid w:val="003B29E4"/>
    <w:rsid w:val="003B4E6F"/>
    <w:rsid w:val="003C0E64"/>
    <w:rsid w:val="003C4629"/>
    <w:rsid w:val="003C61CE"/>
    <w:rsid w:val="003D26B8"/>
    <w:rsid w:val="003D3A36"/>
    <w:rsid w:val="003E117A"/>
    <w:rsid w:val="003F0486"/>
    <w:rsid w:val="003F19A9"/>
    <w:rsid w:val="004023B4"/>
    <w:rsid w:val="00403BEC"/>
    <w:rsid w:val="00404E12"/>
    <w:rsid w:val="00406B60"/>
    <w:rsid w:val="00407CB2"/>
    <w:rsid w:val="00410E8D"/>
    <w:rsid w:val="00415BA6"/>
    <w:rsid w:val="00416F6B"/>
    <w:rsid w:val="0042082E"/>
    <w:rsid w:val="0042699C"/>
    <w:rsid w:val="004302DB"/>
    <w:rsid w:val="00436334"/>
    <w:rsid w:val="004456B5"/>
    <w:rsid w:val="00452465"/>
    <w:rsid w:val="00453A16"/>
    <w:rsid w:val="00456D54"/>
    <w:rsid w:val="00460EC4"/>
    <w:rsid w:val="00462D2D"/>
    <w:rsid w:val="00470A21"/>
    <w:rsid w:val="004769BB"/>
    <w:rsid w:val="00481816"/>
    <w:rsid w:val="00481C6D"/>
    <w:rsid w:val="0048359A"/>
    <w:rsid w:val="00483F33"/>
    <w:rsid w:val="00484CFF"/>
    <w:rsid w:val="00486FBE"/>
    <w:rsid w:val="00487384"/>
    <w:rsid w:val="004901C7"/>
    <w:rsid w:val="004919A7"/>
    <w:rsid w:val="00492325"/>
    <w:rsid w:val="004A0226"/>
    <w:rsid w:val="004B2139"/>
    <w:rsid w:val="004B2ACD"/>
    <w:rsid w:val="004B345A"/>
    <w:rsid w:val="004B4720"/>
    <w:rsid w:val="004B7470"/>
    <w:rsid w:val="004C7C8B"/>
    <w:rsid w:val="004C7F14"/>
    <w:rsid w:val="004F068E"/>
    <w:rsid w:val="004F1A79"/>
    <w:rsid w:val="004F2591"/>
    <w:rsid w:val="004F42FB"/>
    <w:rsid w:val="004F5A2B"/>
    <w:rsid w:val="004F6758"/>
    <w:rsid w:val="00502083"/>
    <w:rsid w:val="0051156C"/>
    <w:rsid w:val="005142BD"/>
    <w:rsid w:val="00515344"/>
    <w:rsid w:val="00520B12"/>
    <w:rsid w:val="005210F4"/>
    <w:rsid w:val="00522887"/>
    <w:rsid w:val="00533CE2"/>
    <w:rsid w:val="00537B0C"/>
    <w:rsid w:val="00543266"/>
    <w:rsid w:val="005446B0"/>
    <w:rsid w:val="00545FC9"/>
    <w:rsid w:val="00551443"/>
    <w:rsid w:val="00552672"/>
    <w:rsid w:val="005549B8"/>
    <w:rsid w:val="00556425"/>
    <w:rsid w:val="00557848"/>
    <w:rsid w:val="00560422"/>
    <w:rsid w:val="00570BD3"/>
    <w:rsid w:val="0057387C"/>
    <w:rsid w:val="005757D4"/>
    <w:rsid w:val="005809F6"/>
    <w:rsid w:val="00580A9F"/>
    <w:rsid w:val="00585A8F"/>
    <w:rsid w:val="005863A9"/>
    <w:rsid w:val="00586D14"/>
    <w:rsid w:val="00587BFF"/>
    <w:rsid w:val="0059531F"/>
    <w:rsid w:val="005A1CC5"/>
    <w:rsid w:val="005A2D0F"/>
    <w:rsid w:val="005A3A1D"/>
    <w:rsid w:val="005A635F"/>
    <w:rsid w:val="005B43FF"/>
    <w:rsid w:val="005C43AF"/>
    <w:rsid w:val="005D0985"/>
    <w:rsid w:val="005D2DBA"/>
    <w:rsid w:val="005D3BEC"/>
    <w:rsid w:val="005D7A30"/>
    <w:rsid w:val="005E184E"/>
    <w:rsid w:val="005E52F7"/>
    <w:rsid w:val="005F2D27"/>
    <w:rsid w:val="005F50CF"/>
    <w:rsid w:val="006014C3"/>
    <w:rsid w:val="00601EA7"/>
    <w:rsid w:val="006040BD"/>
    <w:rsid w:val="00604322"/>
    <w:rsid w:val="00610115"/>
    <w:rsid w:val="0061421A"/>
    <w:rsid w:val="006152C2"/>
    <w:rsid w:val="006166E4"/>
    <w:rsid w:val="00622627"/>
    <w:rsid w:val="00624288"/>
    <w:rsid w:val="0062471B"/>
    <w:rsid w:val="0062489F"/>
    <w:rsid w:val="006304AF"/>
    <w:rsid w:val="006319E3"/>
    <w:rsid w:val="00634B10"/>
    <w:rsid w:val="006438C5"/>
    <w:rsid w:val="006535DD"/>
    <w:rsid w:val="00653B0D"/>
    <w:rsid w:val="006563AA"/>
    <w:rsid w:val="00657C4E"/>
    <w:rsid w:val="00661DEE"/>
    <w:rsid w:val="00666C45"/>
    <w:rsid w:val="00667640"/>
    <w:rsid w:val="00671E93"/>
    <w:rsid w:val="00675CEA"/>
    <w:rsid w:val="00680686"/>
    <w:rsid w:val="00686664"/>
    <w:rsid w:val="006877FF"/>
    <w:rsid w:val="006A23F9"/>
    <w:rsid w:val="006A3A54"/>
    <w:rsid w:val="006A69F7"/>
    <w:rsid w:val="006B3F0B"/>
    <w:rsid w:val="006B463C"/>
    <w:rsid w:val="006B4AC2"/>
    <w:rsid w:val="006C13B8"/>
    <w:rsid w:val="006C3D6F"/>
    <w:rsid w:val="006D0113"/>
    <w:rsid w:val="006D1688"/>
    <w:rsid w:val="006D1CC4"/>
    <w:rsid w:val="006D27FD"/>
    <w:rsid w:val="006D4FD5"/>
    <w:rsid w:val="006D5C24"/>
    <w:rsid w:val="006D774A"/>
    <w:rsid w:val="006E48D6"/>
    <w:rsid w:val="006E48FC"/>
    <w:rsid w:val="006E6CB7"/>
    <w:rsid w:val="006F0245"/>
    <w:rsid w:val="0070579D"/>
    <w:rsid w:val="00710CC1"/>
    <w:rsid w:val="0072455F"/>
    <w:rsid w:val="007311ED"/>
    <w:rsid w:val="0074094A"/>
    <w:rsid w:val="00741EAB"/>
    <w:rsid w:val="007440F3"/>
    <w:rsid w:val="0074520F"/>
    <w:rsid w:val="00746BBD"/>
    <w:rsid w:val="00752444"/>
    <w:rsid w:val="00753117"/>
    <w:rsid w:val="00756E46"/>
    <w:rsid w:val="00757090"/>
    <w:rsid w:val="00757BD8"/>
    <w:rsid w:val="00761D18"/>
    <w:rsid w:val="007638B5"/>
    <w:rsid w:val="007658BF"/>
    <w:rsid w:val="00776EB2"/>
    <w:rsid w:val="00784EB6"/>
    <w:rsid w:val="00785E05"/>
    <w:rsid w:val="007871A4"/>
    <w:rsid w:val="00791531"/>
    <w:rsid w:val="00794DD9"/>
    <w:rsid w:val="00796586"/>
    <w:rsid w:val="007A0BC4"/>
    <w:rsid w:val="007A15AB"/>
    <w:rsid w:val="007A2B77"/>
    <w:rsid w:val="007A61A3"/>
    <w:rsid w:val="007B4B08"/>
    <w:rsid w:val="007B72B0"/>
    <w:rsid w:val="007B72F4"/>
    <w:rsid w:val="007C0300"/>
    <w:rsid w:val="007C08D4"/>
    <w:rsid w:val="007C1E64"/>
    <w:rsid w:val="007C4886"/>
    <w:rsid w:val="007C5560"/>
    <w:rsid w:val="007D2F30"/>
    <w:rsid w:val="007D3A1E"/>
    <w:rsid w:val="007D3E0D"/>
    <w:rsid w:val="007D3F34"/>
    <w:rsid w:val="007D5F4D"/>
    <w:rsid w:val="007D6512"/>
    <w:rsid w:val="007D7874"/>
    <w:rsid w:val="007E141F"/>
    <w:rsid w:val="007E5C4E"/>
    <w:rsid w:val="007E7B17"/>
    <w:rsid w:val="007F1CF6"/>
    <w:rsid w:val="007F6408"/>
    <w:rsid w:val="007F66B2"/>
    <w:rsid w:val="00800C38"/>
    <w:rsid w:val="00801BA7"/>
    <w:rsid w:val="00802D1B"/>
    <w:rsid w:val="00804432"/>
    <w:rsid w:val="008059D8"/>
    <w:rsid w:val="008060F9"/>
    <w:rsid w:val="00806BE8"/>
    <w:rsid w:val="008074AE"/>
    <w:rsid w:val="00807936"/>
    <w:rsid w:val="00814AD5"/>
    <w:rsid w:val="00820D2F"/>
    <w:rsid w:val="00821E6D"/>
    <w:rsid w:val="00823237"/>
    <w:rsid w:val="00826896"/>
    <w:rsid w:val="00832AB6"/>
    <w:rsid w:val="008416A0"/>
    <w:rsid w:val="00841DA9"/>
    <w:rsid w:val="008432FB"/>
    <w:rsid w:val="00844017"/>
    <w:rsid w:val="008479B7"/>
    <w:rsid w:val="00847BAA"/>
    <w:rsid w:val="00850737"/>
    <w:rsid w:val="00850AB2"/>
    <w:rsid w:val="008513C3"/>
    <w:rsid w:val="00855526"/>
    <w:rsid w:val="00856D67"/>
    <w:rsid w:val="00861084"/>
    <w:rsid w:val="008641BF"/>
    <w:rsid w:val="00866492"/>
    <w:rsid w:val="00871B8C"/>
    <w:rsid w:val="00873265"/>
    <w:rsid w:val="00875A5E"/>
    <w:rsid w:val="0087707F"/>
    <w:rsid w:val="008832C1"/>
    <w:rsid w:val="0088485E"/>
    <w:rsid w:val="008878D9"/>
    <w:rsid w:val="00887A7F"/>
    <w:rsid w:val="0089037A"/>
    <w:rsid w:val="00894A27"/>
    <w:rsid w:val="00895983"/>
    <w:rsid w:val="008A0EEA"/>
    <w:rsid w:val="008A1390"/>
    <w:rsid w:val="008A2AF5"/>
    <w:rsid w:val="008A73A9"/>
    <w:rsid w:val="008A7DE8"/>
    <w:rsid w:val="008B52DF"/>
    <w:rsid w:val="008B6846"/>
    <w:rsid w:val="008B6F8F"/>
    <w:rsid w:val="008C0855"/>
    <w:rsid w:val="008C0D7F"/>
    <w:rsid w:val="008C136E"/>
    <w:rsid w:val="008D0B19"/>
    <w:rsid w:val="008D116E"/>
    <w:rsid w:val="008D1C37"/>
    <w:rsid w:val="008D3FB0"/>
    <w:rsid w:val="008D5EE7"/>
    <w:rsid w:val="008D7E38"/>
    <w:rsid w:val="008E183A"/>
    <w:rsid w:val="008E1DD0"/>
    <w:rsid w:val="008F3A8A"/>
    <w:rsid w:val="008F4E27"/>
    <w:rsid w:val="00913B6E"/>
    <w:rsid w:val="00921BEC"/>
    <w:rsid w:val="00922D58"/>
    <w:rsid w:val="00926B9A"/>
    <w:rsid w:val="00926C1D"/>
    <w:rsid w:val="00930EE4"/>
    <w:rsid w:val="00933FC9"/>
    <w:rsid w:val="00934F11"/>
    <w:rsid w:val="0093554A"/>
    <w:rsid w:val="00935D91"/>
    <w:rsid w:val="00942214"/>
    <w:rsid w:val="00946939"/>
    <w:rsid w:val="00951BDC"/>
    <w:rsid w:val="00955CF1"/>
    <w:rsid w:val="009621A9"/>
    <w:rsid w:val="0096245E"/>
    <w:rsid w:val="009636FA"/>
    <w:rsid w:val="00964F0F"/>
    <w:rsid w:val="00973158"/>
    <w:rsid w:val="0097326F"/>
    <w:rsid w:val="0097382B"/>
    <w:rsid w:val="009738B3"/>
    <w:rsid w:val="00975921"/>
    <w:rsid w:val="00981CB7"/>
    <w:rsid w:val="00985C34"/>
    <w:rsid w:val="00987BB0"/>
    <w:rsid w:val="00992CB3"/>
    <w:rsid w:val="00993E95"/>
    <w:rsid w:val="00997948"/>
    <w:rsid w:val="009A05A6"/>
    <w:rsid w:val="009A1130"/>
    <w:rsid w:val="009A6A8A"/>
    <w:rsid w:val="009A6C9C"/>
    <w:rsid w:val="009A6D68"/>
    <w:rsid w:val="009B0B09"/>
    <w:rsid w:val="009B10AC"/>
    <w:rsid w:val="009B5D2C"/>
    <w:rsid w:val="009C0295"/>
    <w:rsid w:val="009D1005"/>
    <w:rsid w:val="009D2836"/>
    <w:rsid w:val="009D2C1E"/>
    <w:rsid w:val="009D5434"/>
    <w:rsid w:val="009E0669"/>
    <w:rsid w:val="009E0C02"/>
    <w:rsid w:val="009E1EBC"/>
    <w:rsid w:val="009E2907"/>
    <w:rsid w:val="009E55AE"/>
    <w:rsid w:val="009E6799"/>
    <w:rsid w:val="009F12F0"/>
    <w:rsid w:val="009F2A43"/>
    <w:rsid w:val="009F523A"/>
    <w:rsid w:val="009F5682"/>
    <w:rsid w:val="009F6283"/>
    <w:rsid w:val="009F6E28"/>
    <w:rsid w:val="00A0718E"/>
    <w:rsid w:val="00A12B61"/>
    <w:rsid w:val="00A22EAC"/>
    <w:rsid w:val="00A2758D"/>
    <w:rsid w:val="00A3461E"/>
    <w:rsid w:val="00A35831"/>
    <w:rsid w:val="00A35AC1"/>
    <w:rsid w:val="00A36CD6"/>
    <w:rsid w:val="00A37C6F"/>
    <w:rsid w:val="00A40685"/>
    <w:rsid w:val="00A43092"/>
    <w:rsid w:val="00A443E2"/>
    <w:rsid w:val="00A534E4"/>
    <w:rsid w:val="00A5395E"/>
    <w:rsid w:val="00A57CC4"/>
    <w:rsid w:val="00A66950"/>
    <w:rsid w:val="00A72B8F"/>
    <w:rsid w:val="00A72DBD"/>
    <w:rsid w:val="00A74197"/>
    <w:rsid w:val="00A7629F"/>
    <w:rsid w:val="00A80B41"/>
    <w:rsid w:val="00A81D56"/>
    <w:rsid w:val="00A824C0"/>
    <w:rsid w:val="00A8393B"/>
    <w:rsid w:val="00A83A46"/>
    <w:rsid w:val="00A85CC1"/>
    <w:rsid w:val="00A85F09"/>
    <w:rsid w:val="00A90DA2"/>
    <w:rsid w:val="00A967CC"/>
    <w:rsid w:val="00AA23EB"/>
    <w:rsid w:val="00AA31EB"/>
    <w:rsid w:val="00AA361A"/>
    <w:rsid w:val="00AA7ECC"/>
    <w:rsid w:val="00AB196E"/>
    <w:rsid w:val="00AD0065"/>
    <w:rsid w:val="00AD0ED7"/>
    <w:rsid w:val="00AD2A33"/>
    <w:rsid w:val="00AD2F6C"/>
    <w:rsid w:val="00AE1143"/>
    <w:rsid w:val="00AE24E0"/>
    <w:rsid w:val="00AE24F8"/>
    <w:rsid w:val="00AE2675"/>
    <w:rsid w:val="00AE3188"/>
    <w:rsid w:val="00AE3A47"/>
    <w:rsid w:val="00AE67D5"/>
    <w:rsid w:val="00AE7B7A"/>
    <w:rsid w:val="00AF0570"/>
    <w:rsid w:val="00AF1061"/>
    <w:rsid w:val="00AF198D"/>
    <w:rsid w:val="00AF5DF4"/>
    <w:rsid w:val="00B00DD6"/>
    <w:rsid w:val="00B013E9"/>
    <w:rsid w:val="00B024E5"/>
    <w:rsid w:val="00B025A1"/>
    <w:rsid w:val="00B027D5"/>
    <w:rsid w:val="00B043C2"/>
    <w:rsid w:val="00B066C9"/>
    <w:rsid w:val="00B16038"/>
    <w:rsid w:val="00B205DD"/>
    <w:rsid w:val="00B231BB"/>
    <w:rsid w:val="00B2580C"/>
    <w:rsid w:val="00B2708C"/>
    <w:rsid w:val="00B27AE7"/>
    <w:rsid w:val="00B32B04"/>
    <w:rsid w:val="00B36BA7"/>
    <w:rsid w:val="00B37281"/>
    <w:rsid w:val="00B40EC4"/>
    <w:rsid w:val="00B4240F"/>
    <w:rsid w:val="00B457BB"/>
    <w:rsid w:val="00B4695E"/>
    <w:rsid w:val="00B47036"/>
    <w:rsid w:val="00B53CAB"/>
    <w:rsid w:val="00B55CCB"/>
    <w:rsid w:val="00B565F3"/>
    <w:rsid w:val="00B651BA"/>
    <w:rsid w:val="00B753DA"/>
    <w:rsid w:val="00B75C4A"/>
    <w:rsid w:val="00B85E24"/>
    <w:rsid w:val="00B95046"/>
    <w:rsid w:val="00B958E2"/>
    <w:rsid w:val="00BA18A3"/>
    <w:rsid w:val="00BA1996"/>
    <w:rsid w:val="00BA6190"/>
    <w:rsid w:val="00BA6CAD"/>
    <w:rsid w:val="00BA7D77"/>
    <w:rsid w:val="00BB09EE"/>
    <w:rsid w:val="00BB0C95"/>
    <w:rsid w:val="00BB4FDB"/>
    <w:rsid w:val="00BC0EF9"/>
    <w:rsid w:val="00BC76FE"/>
    <w:rsid w:val="00BD221F"/>
    <w:rsid w:val="00BD4A2A"/>
    <w:rsid w:val="00BD6201"/>
    <w:rsid w:val="00BE1176"/>
    <w:rsid w:val="00BE4588"/>
    <w:rsid w:val="00BE5812"/>
    <w:rsid w:val="00BF0FD3"/>
    <w:rsid w:val="00BF3548"/>
    <w:rsid w:val="00BF641F"/>
    <w:rsid w:val="00C0282D"/>
    <w:rsid w:val="00C039D5"/>
    <w:rsid w:val="00C10B05"/>
    <w:rsid w:val="00C210D1"/>
    <w:rsid w:val="00C2564F"/>
    <w:rsid w:val="00C260E8"/>
    <w:rsid w:val="00C3068B"/>
    <w:rsid w:val="00C31C6D"/>
    <w:rsid w:val="00C33678"/>
    <w:rsid w:val="00C40517"/>
    <w:rsid w:val="00C42BEA"/>
    <w:rsid w:val="00C43944"/>
    <w:rsid w:val="00C44093"/>
    <w:rsid w:val="00C470A3"/>
    <w:rsid w:val="00C539BB"/>
    <w:rsid w:val="00C61ECD"/>
    <w:rsid w:val="00C625EE"/>
    <w:rsid w:val="00C62989"/>
    <w:rsid w:val="00C63EF9"/>
    <w:rsid w:val="00C670AB"/>
    <w:rsid w:val="00C67287"/>
    <w:rsid w:val="00C703C8"/>
    <w:rsid w:val="00C72C9F"/>
    <w:rsid w:val="00C8166A"/>
    <w:rsid w:val="00C819E0"/>
    <w:rsid w:val="00C828A2"/>
    <w:rsid w:val="00C82EC5"/>
    <w:rsid w:val="00C834FF"/>
    <w:rsid w:val="00C8357D"/>
    <w:rsid w:val="00C95101"/>
    <w:rsid w:val="00C95162"/>
    <w:rsid w:val="00C95261"/>
    <w:rsid w:val="00C95F2F"/>
    <w:rsid w:val="00C9734E"/>
    <w:rsid w:val="00CA108F"/>
    <w:rsid w:val="00CB0791"/>
    <w:rsid w:val="00CB1B2C"/>
    <w:rsid w:val="00CB31B2"/>
    <w:rsid w:val="00CB3C3F"/>
    <w:rsid w:val="00CB3CAE"/>
    <w:rsid w:val="00CC4B24"/>
    <w:rsid w:val="00CD7095"/>
    <w:rsid w:val="00CD72C3"/>
    <w:rsid w:val="00CE1316"/>
    <w:rsid w:val="00CE2054"/>
    <w:rsid w:val="00CE701B"/>
    <w:rsid w:val="00CF129C"/>
    <w:rsid w:val="00CF148D"/>
    <w:rsid w:val="00CF5782"/>
    <w:rsid w:val="00CF79C3"/>
    <w:rsid w:val="00D0535B"/>
    <w:rsid w:val="00D07993"/>
    <w:rsid w:val="00D1108A"/>
    <w:rsid w:val="00D14868"/>
    <w:rsid w:val="00D1697A"/>
    <w:rsid w:val="00D17499"/>
    <w:rsid w:val="00D4137E"/>
    <w:rsid w:val="00D43A4C"/>
    <w:rsid w:val="00D44280"/>
    <w:rsid w:val="00D44844"/>
    <w:rsid w:val="00D463A2"/>
    <w:rsid w:val="00D46A0C"/>
    <w:rsid w:val="00D46A5B"/>
    <w:rsid w:val="00D47B89"/>
    <w:rsid w:val="00D5266C"/>
    <w:rsid w:val="00D54AAB"/>
    <w:rsid w:val="00D57802"/>
    <w:rsid w:val="00D6027D"/>
    <w:rsid w:val="00D71762"/>
    <w:rsid w:val="00D76383"/>
    <w:rsid w:val="00D7743D"/>
    <w:rsid w:val="00D90AFD"/>
    <w:rsid w:val="00D97043"/>
    <w:rsid w:val="00DA1B50"/>
    <w:rsid w:val="00DA46A7"/>
    <w:rsid w:val="00DA5268"/>
    <w:rsid w:val="00DA5E21"/>
    <w:rsid w:val="00DB209B"/>
    <w:rsid w:val="00DB339E"/>
    <w:rsid w:val="00DB3A55"/>
    <w:rsid w:val="00DB3F5E"/>
    <w:rsid w:val="00DC4196"/>
    <w:rsid w:val="00DC55F8"/>
    <w:rsid w:val="00DD0EFA"/>
    <w:rsid w:val="00DD2E3A"/>
    <w:rsid w:val="00DD4E5C"/>
    <w:rsid w:val="00DD650E"/>
    <w:rsid w:val="00DD659E"/>
    <w:rsid w:val="00DE2F64"/>
    <w:rsid w:val="00DE5E30"/>
    <w:rsid w:val="00DF0755"/>
    <w:rsid w:val="00DF6597"/>
    <w:rsid w:val="00E038BE"/>
    <w:rsid w:val="00E03B15"/>
    <w:rsid w:val="00E101B8"/>
    <w:rsid w:val="00E13125"/>
    <w:rsid w:val="00E136A8"/>
    <w:rsid w:val="00E21C63"/>
    <w:rsid w:val="00E23608"/>
    <w:rsid w:val="00E245FB"/>
    <w:rsid w:val="00E250A8"/>
    <w:rsid w:val="00E27694"/>
    <w:rsid w:val="00E27A23"/>
    <w:rsid w:val="00E3077A"/>
    <w:rsid w:val="00E33686"/>
    <w:rsid w:val="00E36780"/>
    <w:rsid w:val="00E40CEF"/>
    <w:rsid w:val="00E45140"/>
    <w:rsid w:val="00E46E40"/>
    <w:rsid w:val="00E47D1F"/>
    <w:rsid w:val="00E55B2E"/>
    <w:rsid w:val="00E6232D"/>
    <w:rsid w:val="00E6500F"/>
    <w:rsid w:val="00E6669A"/>
    <w:rsid w:val="00E70581"/>
    <w:rsid w:val="00E734AD"/>
    <w:rsid w:val="00E80FE3"/>
    <w:rsid w:val="00E8334A"/>
    <w:rsid w:val="00E8742B"/>
    <w:rsid w:val="00E87F18"/>
    <w:rsid w:val="00E91324"/>
    <w:rsid w:val="00E96789"/>
    <w:rsid w:val="00EB58D7"/>
    <w:rsid w:val="00EC05D5"/>
    <w:rsid w:val="00EC0735"/>
    <w:rsid w:val="00EC1807"/>
    <w:rsid w:val="00EC2EF5"/>
    <w:rsid w:val="00EC57F9"/>
    <w:rsid w:val="00ED0619"/>
    <w:rsid w:val="00ED1B9E"/>
    <w:rsid w:val="00ED31AB"/>
    <w:rsid w:val="00ED637A"/>
    <w:rsid w:val="00ED72F7"/>
    <w:rsid w:val="00EE07DE"/>
    <w:rsid w:val="00EE0D5D"/>
    <w:rsid w:val="00EE4815"/>
    <w:rsid w:val="00EE67E1"/>
    <w:rsid w:val="00EF6D8C"/>
    <w:rsid w:val="00F1102D"/>
    <w:rsid w:val="00F1630B"/>
    <w:rsid w:val="00F22D24"/>
    <w:rsid w:val="00F33307"/>
    <w:rsid w:val="00F35D12"/>
    <w:rsid w:val="00F42945"/>
    <w:rsid w:val="00F42DC8"/>
    <w:rsid w:val="00F5371A"/>
    <w:rsid w:val="00F56D36"/>
    <w:rsid w:val="00F60FB9"/>
    <w:rsid w:val="00F64509"/>
    <w:rsid w:val="00F6580A"/>
    <w:rsid w:val="00F67460"/>
    <w:rsid w:val="00F7307B"/>
    <w:rsid w:val="00F74FC1"/>
    <w:rsid w:val="00F75FAF"/>
    <w:rsid w:val="00F802A4"/>
    <w:rsid w:val="00F80A4D"/>
    <w:rsid w:val="00F81973"/>
    <w:rsid w:val="00F8481E"/>
    <w:rsid w:val="00F87000"/>
    <w:rsid w:val="00F90D5C"/>
    <w:rsid w:val="00F93FDD"/>
    <w:rsid w:val="00F9584E"/>
    <w:rsid w:val="00F97381"/>
    <w:rsid w:val="00FA5C4A"/>
    <w:rsid w:val="00FA61AF"/>
    <w:rsid w:val="00FB0DD3"/>
    <w:rsid w:val="00FB3D44"/>
    <w:rsid w:val="00FB415D"/>
    <w:rsid w:val="00FB653E"/>
    <w:rsid w:val="00FC304E"/>
    <w:rsid w:val="00FC3ED6"/>
    <w:rsid w:val="00FC58C3"/>
    <w:rsid w:val="00FD0FD7"/>
    <w:rsid w:val="00FD1417"/>
    <w:rsid w:val="00FD4706"/>
    <w:rsid w:val="00FE1E86"/>
    <w:rsid w:val="00FE3D61"/>
    <w:rsid w:val="00FE6F41"/>
    <w:rsid w:val="00FE740B"/>
    <w:rsid w:val="00FF1361"/>
    <w:rsid w:val="00FF5653"/>
    <w:rsid w:val="00FF5C49"/>
    <w:rsid w:val="00FF7DFE"/>
    <w:rsid w:val="03EB0DE4"/>
    <w:rsid w:val="10FE385D"/>
    <w:rsid w:val="16085858"/>
    <w:rsid w:val="180D6A22"/>
    <w:rsid w:val="1ED97568"/>
    <w:rsid w:val="28DE2F6B"/>
    <w:rsid w:val="2B3D7B71"/>
    <w:rsid w:val="2FE05868"/>
    <w:rsid w:val="421718EE"/>
    <w:rsid w:val="5D800C41"/>
    <w:rsid w:val="625B2C86"/>
    <w:rsid w:val="67557E32"/>
    <w:rsid w:val="797B0EDC"/>
    <w:rsid w:val="7D8509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pPr>
    <w:rPr>
      <w:rFonts w:ascii="Times New Roman" w:hAnsi="Times New Roman" w:eastAsia="MS Mincho" w:cs="Times New Roman"/>
      <w:sz w:val="22"/>
      <w:szCs w:val="24"/>
      <w:lang w:val="en-US" w:eastAsia="ja-JP" w:bidi="ar-SA"/>
    </w:rPr>
  </w:style>
  <w:style w:type="paragraph" w:styleId="2">
    <w:name w:val="heading 1"/>
    <w:basedOn w:val="1"/>
    <w:next w:val="1"/>
    <w:qFormat/>
    <w:uiPriority w:val="0"/>
    <w:pPr>
      <w:keepNext/>
      <w:numPr>
        <w:ilvl w:val="0"/>
        <w:numId w:val="1"/>
      </w:numPr>
      <w:pBdr>
        <w:top w:val="single" w:color="auto" w:sz="12" w:space="3"/>
      </w:pBdr>
      <w:spacing w:before="360" w:after="180"/>
      <w:ind w:left="431" w:hanging="431"/>
      <w:outlineLvl w:val="0"/>
    </w:pPr>
    <w:rPr>
      <w:rFonts w:ascii="Arial" w:hAnsi="Arial" w:cs="Arial"/>
      <w:bCs/>
      <w:sz w:val="36"/>
      <w:szCs w:val="32"/>
    </w:rPr>
  </w:style>
  <w:style w:type="paragraph" w:styleId="3">
    <w:name w:val="heading 2"/>
    <w:basedOn w:val="2"/>
    <w:next w:val="1"/>
    <w:qFormat/>
    <w:uiPriority w:val="0"/>
    <w:pPr>
      <w:numPr>
        <w:ilvl w:val="1"/>
      </w:numPr>
      <w:pBdr>
        <w:top w:val="none" w:color="auto" w:sz="0" w:space="0"/>
      </w:pBdr>
      <w:tabs>
        <w:tab w:val="left" w:pos="576"/>
      </w:tabs>
      <w:spacing w:before="180"/>
      <w:ind w:left="578" w:hanging="578"/>
      <w:outlineLvl w:val="1"/>
    </w:pPr>
    <w:rPr>
      <w:bCs w:val="0"/>
      <w:iCs/>
      <w:sz w:val="32"/>
      <w:szCs w:val="28"/>
    </w:rPr>
  </w:style>
  <w:style w:type="paragraph" w:styleId="4">
    <w:name w:val="heading 3"/>
    <w:basedOn w:val="3"/>
    <w:next w:val="1"/>
    <w:qFormat/>
    <w:uiPriority w:val="0"/>
    <w:pPr>
      <w:numPr>
        <w:ilvl w:val="2"/>
      </w:numPr>
      <w:tabs>
        <w:tab w:val="left" w:pos="720"/>
      </w:tabs>
      <w:spacing w:before="120" w:after="60"/>
      <w:outlineLvl w:val="2"/>
    </w:pPr>
    <w:rPr>
      <w:bCs/>
      <w:sz w:val="28"/>
      <w:szCs w:val="26"/>
    </w:rPr>
  </w:style>
  <w:style w:type="paragraph" w:styleId="5">
    <w:name w:val="heading 4"/>
    <w:basedOn w:val="4"/>
    <w:next w:val="1"/>
    <w:qFormat/>
    <w:uiPriority w:val="0"/>
    <w:pPr>
      <w:numPr>
        <w:ilvl w:val="3"/>
      </w:numPr>
      <w:tabs>
        <w:tab w:val="left" w:pos="864"/>
      </w:tabs>
      <w:spacing w:before="240"/>
      <w:outlineLvl w:val="3"/>
    </w:pPr>
    <w:rPr>
      <w:bCs w:val="0"/>
      <w:sz w:val="24"/>
      <w:szCs w:val="28"/>
    </w:rPr>
  </w:style>
  <w:style w:type="paragraph" w:styleId="6">
    <w:name w:val="heading 5"/>
    <w:basedOn w:val="5"/>
    <w:next w:val="1"/>
    <w:qFormat/>
    <w:uiPriority w:val="0"/>
    <w:pPr>
      <w:numPr>
        <w:ilvl w:val="4"/>
      </w:numPr>
      <w:tabs>
        <w:tab w:val="left" w:pos="1008"/>
      </w:tabs>
      <w:outlineLvl w:val="4"/>
    </w:pPr>
    <w:rPr>
      <w:bCs/>
      <w:iCs w:val="0"/>
      <w:sz w:val="22"/>
      <w:szCs w:val="26"/>
    </w:rPr>
  </w:style>
  <w:style w:type="paragraph" w:styleId="7">
    <w:name w:val="heading 6"/>
    <w:basedOn w:val="1"/>
    <w:next w:val="1"/>
    <w:qFormat/>
    <w:uiPriority w:val="0"/>
    <w:pPr>
      <w:numPr>
        <w:ilvl w:val="5"/>
        <w:numId w:val="1"/>
      </w:numPr>
      <w:spacing w:before="240" w:after="60"/>
      <w:outlineLvl w:val="5"/>
    </w:pPr>
    <w:rPr>
      <w:rFonts w:ascii="Arial" w:hAnsi="Arial"/>
      <w:bCs/>
      <w:szCs w:val="22"/>
    </w:rPr>
  </w:style>
  <w:style w:type="paragraph" w:styleId="8">
    <w:name w:val="heading 7"/>
    <w:basedOn w:val="1"/>
    <w:next w:val="1"/>
    <w:qFormat/>
    <w:uiPriority w:val="0"/>
    <w:pPr>
      <w:numPr>
        <w:ilvl w:val="6"/>
        <w:numId w:val="1"/>
      </w:numPr>
      <w:spacing w:before="240" w:after="60"/>
      <w:outlineLvl w:val="6"/>
    </w:pPr>
    <w:rPr>
      <w:rFonts w:ascii="Arial" w:hAnsi="Arial"/>
    </w:rPr>
  </w:style>
  <w:style w:type="paragraph" w:styleId="9">
    <w:name w:val="heading 8"/>
    <w:basedOn w:val="1"/>
    <w:next w:val="1"/>
    <w:qFormat/>
    <w:uiPriority w:val="0"/>
    <w:pPr>
      <w:numPr>
        <w:ilvl w:val="7"/>
        <w:numId w:val="1"/>
      </w:numPr>
      <w:spacing w:before="240" w:after="60"/>
      <w:outlineLvl w:val="7"/>
    </w:pPr>
    <w:rPr>
      <w:rFonts w:ascii="Arial" w:hAnsi="Arial"/>
      <w:iCs/>
    </w:rPr>
  </w:style>
  <w:style w:type="paragraph" w:styleId="10">
    <w:name w:val="heading 9"/>
    <w:basedOn w:val="1"/>
    <w:next w:val="1"/>
    <w:qFormat/>
    <w:uiPriority w:val="0"/>
    <w:pPr>
      <w:numPr>
        <w:ilvl w:val="8"/>
        <w:numId w:val="1"/>
      </w:numPr>
      <w:spacing w:before="240" w:after="60"/>
      <w:outlineLvl w:val="8"/>
    </w:pPr>
    <w:rPr>
      <w:rFonts w:ascii="Arial" w:hAnsi="Arial" w:cs="Arial"/>
      <w:szCs w:val="22"/>
    </w:rPr>
  </w:style>
  <w:style w:type="character" w:default="1" w:styleId="19">
    <w:name w:val="Default Paragraph Font"/>
    <w:semiHidden/>
    <w:unhideWhenUsed/>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47"/>
    <w:qFormat/>
    <w:uiPriority w:val="0"/>
    <w:pPr>
      <w:overflowPunct/>
      <w:autoSpaceDE/>
      <w:autoSpaceDN/>
      <w:adjustRightInd/>
      <w:jc w:val="left"/>
    </w:pPr>
    <w:rPr>
      <w:rFonts w:ascii="Times New Roman" w:hAnsi="Times New Roman" w:eastAsia="MS Mincho"/>
      <w:b/>
      <w:bCs/>
      <w:lang w:val="en-US" w:eastAsia="ja-JP"/>
    </w:rPr>
  </w:style>
  <w:style w:type="paragraph" w:styleId="12">
    <w:name w:val="annotation text"/>
    <w:basedOn w:val="1"/>
    <w:link w:val="46"/>
    <w:unhideWhenUsed/>
    <w:qFormat/>
    <w:uiPriority w:val="0"/>
    <w:pPr>
      <w:overflowPunct w:val="0"/>
      <w:autoSpaceDE w:val="0"/>
      <w:autoSpaceDN w:val="0"/>
      <w:adjustRightInd w:val="0"/>
      <w:jc w:val="both"/>
    </w:pPr>
    <w:rPr>
      <w:rFonts w:ascii="Arial" w:hAnsi="Arial" w:eastAsia="Times New Roman"/>
      <w:sz w:val="20"/>
      <w:szCs w:val="20"/>
      <w:lang w:val="en-GB" w:eastAsia="zh-CN"/>
    </w:rPr>
  </w:style>
  <w:style w:type="paragraph" w:styleId="13">
    <w:name w:val="caption"/>
    <w:basedOn w:val="1"/>
    <w:next w:val="1"/>
    <w:qFormat/>
    <w:uiPriority w:val="0"/>
    <w:rPr>
      <w:b/>
      <w:bCs/>
      <w:sz w:val="20"/>
      <w:szCs w:val="20"/>
    </w:rPr>
  </w:style>
  <w:style w:type="paragraph" w:styleId="14">
    <w:name w:val="Body Text"/>
    <w:basedOn w:val="1"/>
    <w:link w:val="45"/>
    <w:qFormat/>
    <w:uiPriority w:val="0"/>
  </w:style>
  <w:style w:type="paragraph" w:styleId="15">
    <w:name w:val="Balloon Text"/>
    <w:basedOn w:val="1"/>
    <w:link w:val="25"/>
    <w:uiPriority w:val="0"/>
    <w:pPr>
      <w:spacing w:after="0"/>
    </w:pPr>
    <w:rPr>
      <w:rFonts w:ascii="Segoe UI" w:hAnsi="Segoe UI" w:cs="Segoe UI"/>
      <w:sz w:val="18"/>
      <w:szCs w:val="18"/>
    </w:rPr>
  </w:style>
  <w:style w:type="paragraph" w:styleId="16">
    <w:name w:val="footer"/>
    <w:basedOn w:val="1"/>
    <w:link w:val="28"/>
    <w:uiPriority w:val="99"/>
    <w:pPr>
      <w:tabs>
        <w:tab w:val="center" w:pos="4153"/>
        <w:tab w:val="right" w:pos="8306"/>
      </w:tabs>
      <w:snapToGrid w:val="0"/>
    </w:pPr>
    <w:rPr>
      <w:sz w:val="18"/>
      <w:szCs w:val="18"/>
    </w:rPr>
  </w:style>
  <w:style w:type="paragraph" w:styleId="17">
    <w:name w:val="header"/>
    <w:basedOn w:val="1"/>
    <w:link w:val="31"/>
    <w:uiPriority w:val="0"/>
    <w:pPr>
      <w:pBdr>
        <w:bottom w:val="single" w:color="auto" w:sz="6" w:space="1"/>
      </w:pBdr>
      <w:tabs>
        <w:tab w:val="center" w:pos="4153"/>
        <w:tab w:val="right" w:pos="8306"/>
      </w:tabs>
      <w:snapToGrid w:val="0"/>
      <w:jc w:val="center"/>
    </w:pPr>
    <w:rPr>
      <w:sz w:val="18"/>
      <w:szCs w:val="18"/>
    </w:rPr>
  </w:style>
  <w:style w:type="paragraph" w:styleId="18">
    <w:name w:val="List"/>
    <w:basedOn w:val="1"/>
    <w:qFormat/>
    <w:uiPriority w:val="0"/>
    <w:pPr>
      <w:ind w:left="283" w:hanging="283"/>
      <w:contextualSpacing/>
    </w:pPr>
  </w:style>
  <w:style w:type="character" w:styleId="20">
    <w:name w:val="FollowedHyperlink"/>
    <w:qFormat/>
    <w:uiPriority w:val="0"/>
    <w:rPr>
      <w:color w:val="954F72"/>
      <w:u w:val="single"/>
    </w:rPr>
  </w:style>
  <w:style w:type="character" w:styleId="21">
    <w:name w:val="Hyperlink"/>
    <w:qFormat/>
    <w:uiPriority w:val="0"/>
    <w:rPr>
      <w:color w:val="0000FF"/>
      <w:u w:val="single"/>
    </w:rPr>
  </w:style>
  <w:style w:type="character" w:styleId="22">
    <w:name w:val="annotation reference"/>
    <w:unhideWhenUsed/>
    <w:qFormat/>
    <w:uiPriority w:val="0"/>
    <w:rPr>
      <w:sz w:val="16"/>
      <w:szCs w:val="16"/>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5">
    <w:name w:val="批注框文本 字符"/>
    <w:link w:val="15"/>
    <w:uiPriority w:val="0"/>
    <w:rPr>
      <w:rFonts w:ascii="Segoe UI" w:hAnsi="Segoe UI" w:cs="Segoe UI"/>
      <w:sz w:val="18"/>
      <w:szCs w:val="18"/>
      <w:lang w:eastAsia="ja-JP"/>
    </w:rPr>
  </w:style>
  <w:style w:type="character" w:customStyle="1" w:styleId="26">
    <w:name w:val="TAL Char"/>
    <w:link w:val="27"/>
    <w:qFormat/>
    <w:uiPriority w:val="0"/>
    <w:rPr>
      <w:rFonts w:ascii="Arial" w:hAnsi="Arial" w:eastAsia="Times New Roman"/>
      <w:sz w:val="18"/>
      <w:lang w:val="en-GB"/>
    </w:rPr>
  </w:style>
  <w:style w:type="paragraph" w:customStyle="1" w:styleId="27">
    <w:name w:val="TAL"/>
    <w:basedOn w:val="1"/>
    <w:link w:val="26"/>
    <w:uiPriority w:val="0"/>
    <w:pPr>
      <w:keepNext/>
      <w:keepLines/>
      <w:spacing w:after="0"/>
    </w:pPr>
    <w:rPr>
      <w:rFonts w:ascii="Arial" w:hAnsi="Arial" w:eastAsia="Times New Roman"/>
      <w:sz w:val="18"/>
      <w:szCs w:val="20"/>
      <w:lang w:val="en-GB" w:eastAsia="en-US"/>
    </w:rPr>
  </w:style>
  <w:style w:type="character" w:customStyle="1" w:styleId="28">
    <w:name w:val="页脚 字符"/>
    <w:link w:val="16"/>
    <w:uiPriority w:val="99"/>
    <w:rPr>
      <w:sz w:val="18"/>
      <w:szCs w:val="18"/>
      <w:lang w:eastAsia="ja-JP"/>
    </w:rPr>
  </w:style>
  <w:style w:type="character" w:customStyle="1" w:styleId="29">
    <w:name w:val="TAH Char"/>
    <w:link w:val="30"/>
    <w:uiPriority w:val="0"/>
    <w:rPr>
      <w:rFonts w:ascii="Arial" w:hAnsi="Arial" w:eastAsia="Times New Roman"/>
      <w:b/>
      <w:sz w:val="18"/>
      <w:lang w:val="en-GB"/>
    </w:rPr>
  </w:style>
  <w:style w:type="paragraph" w:customStyle="1" w:styleId="30">
    <w:name w:val="TAH"/>
    <w:basedOn w:val="1"/>
    <w:link w:val="29"/>
    <w:uiPriority w:val="0"/>
    <w:pPr>
      <w:keepNext/>
      <w:keepLines/>
      <w:spacing w:after="0"/>
      <w:jc w:val="center"/>
    </w:pPr>
    <w:rPr>
      <w:rFonts w:ascii="Arial" w:hAnsi="Arial" w:eastAsia="Times New Roman"/>
      <w:b/>
      <w:sz w:val="18"/>
      <w:szCs w:val="20"/>
      <w:lang w:val="en-GB" w:eastAsia="en-US"/>
    </w:rPr>
  </w:style>
  <w:style w:type="character" w:customStyle="1" w:styleId="31">
    <w:name w:val="页眉 字符"/>
    <w:link w:val="17"/>
    <w:uiPriority w:val="0"/>
    <w:rPr>
      <w:sz w:val="18"/>
      <w:szCs w:val="18"/>
      <w:lang w:eastAsia="ja-JP"/>
    </w:rPr>
  </w:style>
  <w:style w:type="paragraph" w:customStyle="1" w:styleId="32">
    <w:name w:val="3GPP_Header"/>
    <w:basedOn w:val="1"/>
    <w:uiPriority w:val="0"/>
    <w:pPr>
      <w:tabs>
        <w:tab w:val="left" w:pos="1701"/>
        <w:tab w:val="right" w:pos="9639"/>
      </w:tabs>
      <w:spacing w:after="240"/>
    </w:pPr>
    <w:rPr>
      <w:b/>
      <w:sz w:val="24"/>
    </w:rPr>
  </w:style>
  <w:style w:type="paragraph" w:customStyle="1" w:styleId="33">
    <w:name w:val="Reference"/>
    <w:basedOn w:val="1"/>
    <w:uiPriority w:val="0"/>
    <w:pPr>
      <w:numPr>
        <w:ilvl w:val="0"/>
        <w:numId w:val="2"/>
      </w:numPr>
      <w:tabs>
        <w:tab w:val="left" w:pos="1701"/>
      </w:tabs>
    </w:pPr>
  </w:style>
  <w:style w:type="paragraph" w:customStyle="1" w:styleId="34">
    <w:name w:val="Agreement"/>
    <w:basedOn w:val="1"/>
    <w:next w:val="1"/>
    <w:qFormat/>
    <w:uiPriority w:val="0"/>
    <w:pPr>
      <w:numPr>
        <w:ilvl w:val="0"/>
        <w:numId w:val="3"/>
      </w:numPr>
      <w:spacing w:before="60" w:after="0"/>
    </w:pPr>
    <w:rPr>
      <w:rFonts w:ascii="Arial" w:hAnsi="Arial"/>
      <w:b/>
      <w:sz w:val="20"/>
      <w:lang w:val="en-GB" w:eastAsia="en-GB"/>
    </w:rPr>
  </w:style>
  <w:style w:type="paragraph" w:customStyle="1" w:styleId="35">
    <w:name w:val="CR Cover Page"/>
    <w:link w:val="36"/>
    <w:qFormat/>
    <w:uiPriority w:val="0"/>
    <w:pPr>
      <w:spacing w:after="120"/>
    </w:pPr>
    <w:rPr>
      <w:rFonts w:ascii="Arial" w:hAnsi="Arial" w:eastAsia="Yu Mincho" w:cs="Times New Roman"/>
      <w:lang w:val="en-GB" w:eastAsia="en-US" w:bidi="ar-SA"/>
    </w:rPr>
  </w:style>
  <w:style w:type="character" w:customStyle="1" w:styleId="36">
    <w:name w:val="CR Cover Page Zchn"/>
    <w:link w:val="35"/>
    <w:qFormat/>
    <w:locked/>
    <w:uiPriority w:val="0"/>
    <w:rPr>
      <w:rFonts w:ascii="Arial" w:hAnsi="Arial" w:eastAsia="Yu Mincho"/>
      <w:lang w:val="en-GB" w:eastAsia="en-US"/>
    </w:rPr>
  </w:style>
  <w:style w:type="paragraph" w:customStyle="1" w:styleId="37">
    <w:name w:val="ReviewText"/>
    <w:basedOn w:val="1"/>
    <w:link w:val="38"/>
    <w:qFormat/>
    <w:uiPriority w:val="0"/>
    <w:pPr>
      <w:overflowPunct w:val="0"/>
      <w:autoSpaceDE w:val="0"/>
      <w:autoSpaceDN w:val="0"/>
      <w:adjustRightInd w:val="0"/>
      <w:spacing w:after="80"/>
      <w:ind w:left="567"/>
      <w:textAlignment w:val="baseline"/>
    </w:pPr>
    <w:rPr>
      <w:rFonts w:ascii="Arial" w:hAnsi="Arial" w:eastAsia="Times New Roman"/>
      <w:sz w:val="20"/>
      <w:szCs w:val="20"/>
      <w:lang w:val="en-GB" w:eastAsia="zh-CN"/>
    </w:rPr>
  </w:style>
  <w:style w:type="character" w:customStyle="1" w:styleId="38">
    <w:name w:val="ReviewText Char"/>
    <w:link w:val="37"/>
    <w:qFormat/>
    <w:uiPriority w:val="0"/>
    <w:rPr>
      <w:rFonts w:ascii="Arial" w:hAnsi="Arial" w:eastAsia="Times New Roman"/>
    </w:rPr>
  </w:style>
  <w:style w:type="character" w:customStyle="1" w:styleId="39">
    <w:name w:val="B1 Char1"/>
    <w:link w:val="40"/>
    <w:qFormat/>
    <w:locked/>
    <w:uiPriority w:val="0"/>
    <w:rPr>
      <w:rFonts w:ascii="Arial" w:hAnsi="Arial" w:cs="Arial"/>
      <w:lang w:eastAsia="zh-CN"/>
    </w:rPr>
  </w:style>
  <w:style w:type="paragraph" w:customStyle="1" w:styleId="40">
    <w:name w:val="B1"/>
    <w:basedOn w:val="18"/>
    <w:link w:val="39"/>
    <w:qFormat/>
    <w:uiPriority w:val="0"/>
    <w:pPr>
      <w:overflowPunct w:val="0"/>
      <w:autoSpaceDE w:val="0"/>
      <w:autoSpaceDN w:val="0"/>
      <w:adjustRightInd w:val="0"/>
      <w:spacing w:after="180"/>
      <w:ind w:left="568" w:hanging="284"/>
      <w:contextualSpacing w:val="0"/>
    </w:pPr>
    <w:rPr>
      <w:rFonts w:ascii="Arial" w:hAnsi="Arial" w:cs="Arial"/>
      <w:sz w:val="20"/>
      <w:szCs w:val="20"/>
      <w:lang w:val="en-GB" w:eastAsia="zh-CN"/>
    </w:rPr>
  </w:style>
  <w:style w:type="character" w:customStyle="1" w:styleId="41">
    <w:name w:val="Proposal Char"/>
    <w:link w:val="42"/>
    <w:qFormat/>
    <w:locked/>
    <w:uiPriority w:val="0"/>
    <w:rPr>
      <w:rFonts w:ascii="Arial" w:hAnsi="Arial" w:cs="Arial"/>
      <w:b/>
      <w:bCs/>
      <w:lang w:val="zh-CN" w:eastAsia="zh-CN"/>
    </w:rPr>
  </w:style>
  <w:style w:type="paragraph" w:customStyle="1" w:styleId="42">
    <w:name w:val="Proposal"/>
    <w:basedOn w:val="1"/>
    <w:link w:val="41"/>
    <w:qFormat/>
    <w:uiPriority w:val="0"/>
    <w:pPr>
      <w:numPr>
        <w:ilvl w:val="0"/>
        <w:numId w:val="4"/>
      </w:numPr>
      <w:overflowPunct w:val="0"/>
      <w:autoSpaceDE w:val="0"/>
      <w:autoSpaceDN w:val="0"/>
      <w:adjustRightInd w:val="0"/>
      <w:jc w:val="both"/>
    </w:pPr>
    <w:rPr>
      <w:rFonts w:ascii="Arial" w:hAnsi="Arial" w:cs="Arial"/>
      <w:b/>
      <w:bCs/>
      <w:sz w:val="20"/>
      <w:szCs w:val="20"/>
      <w:lang w:val="zh-CN" w:eastAsia="zh-CN"/>
    </w:rPr>
  </w:style>
  <w:style w:type="character" w:customStyle="1" w:styleId="43">
    <w:name w:val="IvD bodytext Char"/>
    <w:link w:val="44"/>
    <w:qFormat/>
    <w:locked/>
    <w:uiPriority w:val="0"/>
    <w:rPr>
      <w:rFonts w:ascii="Arial" w:hAnsi="Arial" w:eastAsia="Times New Roman"/>
      <w:spacing w:val="2"/>
      <w:lang w:val="en-US"/>
    </w:rPr>
  </w:style>
  <w:style w:type="paragraph" w:customStyle="1" w:styleId="44">
    <w:name w:val="IvD bodytext"/>
    <w:basedOn w:val="14"/>
    <w:link w:val="43"/>
    <w:qFormat/>
    <w:uiPriority w:val="0"/>
    <w:pPr>
      <w:keepLines/>
      <w:tabs>
        <w:tab w:val="left" w:pos="2552"/>
        <w:tab w:val="left" w:pos="3856"/>
        <w:tab w:val="left" w:pos="5216"/>
        <w:tab w:val="left" w:pos="6464"/>
        <w:tab w:val="left" w:pos="7768"/>
        <w:tab w:val="left" w:pos="9072"/>
        <w:tab w:val="left" w:pos="9639"/>
      </w:tabs>
      <w:spacing w:before="240" w:after="0"/>
    </w:pPr>
    <w:rPr>
      <w:rFonts w:ascii="Arial" w:hAnsi="Arial" w:eastAsia="Times New Roman"/>
      <w:spacing w:val="2"/>
      <w:sz w:val="20"/>
      <w:szCs w:val="20"/>
      <w:lang w:eastAsia="zh-CN"/>
    </w:rPr>
  </w:style>
  <w:style w:type="character" w:customStyle="1" w:styleId="45">
    <w:name w:val="正文文本 字符"/>
    <w:link w:val="14"/>
    <w:qFormat/>
    <w:uiPriority w:val="0"/>
    <w:rPr>
      <w:sz w:val="22"/>
      <w:szCs w:val="24"/>
      <w:lang w:val="en-US" w:eastAsia="ja-JP"/>
    </w:rPr>
  </w:style>
  <w:style w:type="character" w:customStyle="1" w:styleId="46">
    <w:name w:val="批注文字 字符"/>
    <w:link w:val="12"/>
    <w:qFormat/>
    <w:uiPriority w:val="0"/>
    <w:rPr>
      <w:rFonts w:ascii="Arial" w:hAnsi="Arial" w:eastAsia="Times New Roman"/>
    </w:rPr>
  </w:style>
  <w:style w:type="character" w:customStyle="1" w:styleId="47">
    <w:name w:val="批注主题 字符"/>
    <w:link w:val="11"/>
    <w:qFormat/>
    <w:uiPriority w:val="0"/>
    <w:rPr>
      <w:rFonts w:ascii="Arial" w:hAnsi="Arial" w:eastAsia="Times New Roman"/>
      <w:b/>
      <w:bCs/>
      <w:lang w:val="en-US" w:eastAsia="ja-JP"/>
    </w:rPr>
  </w:style>
  <w:style w:type="paragraph" w:styleId="48">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6</Pages>
  <Words>1945</Words>
  <Characters>11090</Characters>
  <Lines>92</Lines>
  <Paragraphs>26</Paragraphs>
  <TotalTime>0</TotalTime>
  <ScaleCrop>false</ScaleCrop>
  <LinksUpToDate>false</LinksUpToDate>
  <CharactersWithSpaces>13009</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2020-08-18T00:12:00Z</dcterms:created>
  <dc:creator>Ericsson User</dc:creator>
  <cp:lastModifiedBy>ZTE-LiDapeng</cp:lastModifiedBy>
  <dcterms:modified xsi:type="dcterms:W3CDTF">2020-08-18T07:46:32Z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(2)muqa2df+0xRNWy6/P6mKsm09aX2A+3pQSTfdTazPdH29hK4tBs6rx3ZSwiECN8Fg4UgMNLxn_x000d_
IxJIdOI8GRm/A+1n87XOZ4Gm+RTxQgT97bm2EezDuRRhtLIKIA2QQ40QP9qRkvKzeq2LwopX_x000d_
FM1CedIiFwgWMsi4a5BCdt9cw5ajrYEuiH0MEX5TyPPLeTeRGeylEqIXdxY0gGY8GWSbDNA5_x000d_
J7iZIdi2tnb7BLS/z0</vt:lpwstr>
  </property>
  <property fmtid="{D5CDD505-2E9C-101B-9397-08002B2CF9AE}" pid="4" name="_2015_ms_pID_7253431">
    <vt:lpwstr>jt1nLtL1L4zpza94coTvDTUH/0T9bPb64Uw5SA4d7Ne/jxGtHwjA1D_x000d_
+xH95XyE8EsremtzUs8yZXItpm0yGec5jwktEiY3Qu9bd2Vj/DiN+JZKrf5EsCB6YNyUBf0+_x000d_
WyfMz7LspbxJKVGAxYtdtO5Yh2rb3T4Ze43nX6jGU2km2HBOxDPNRyVegYAob4Pb/hDG8lIi_x000d_
V+QcrFwl3nHsKzr3</vt:lpwstr>
  </property>
  <property fmtid="{D5CDD505-2E9C-101B-9397-08002B2CF9AE}" pid="5" name="KSOProductBuildVer">
    <vt:lpwstr>2052-10.8.2.7027</vt:lpwstr>
  </property>
</Properties>
</file>