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79C33999"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Pr>
          <w:rFonts w:ascii="Arial" w:hAnsi="Arial" w:cs="Arial"/>
          <w:b/>
          <w:bCs/>
          <w:noProof/>
          <w:snapToGrid w:val="0"/>
          <w:kern w:val="0"/>
          <w:sz w:val="28"/>
          <w:szCs w:val="28"/>
          <w:lang w:val="en-GB"/>
        </w:rPr>
        <w:t>AH1801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w:t>
      </w:r>
      <w:r w:rsidR="007021D2">
        <w:rPr>
          <w:rFonts w:ascii="Arial" w:hAnsi="Arial" w:cs="Arial"/>
          <w:b/>
          <w:bCs/>
          <w:noProof/>
          <w:snapToGrid w:val="0"/>
          <w:kern w:val="0"/>
          <w:sz w:val="28"/>
          <w:szCs w:val="28"/>
        </w:rPr>
        <w:t>00466</w:t>
      </w:r>
    </w:p>
    <w:p w14:paraId="3D29C805" w14:textId="77777777" w:rsidR="00553234" w:rsidRPr="00402985" w:rsidRDefault="00553234"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Vancouver</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Canada</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22 - 26 Jan</w:t>
      </w:r>
      <w:r w:rsidRPr="008A4FE1">
        <w:rPr>
          <w:rFonts w:ascii="Arial" w:hAnsi="Arial" w:cs="Arial"/>
          <w:b/>
          <w:bCs/>
          <w:noProof/>
          <w:kern w:val="0"/>
          <w:sz w:val="28"/>
          <w:szCs w:val="28"/>
          <w:lang w:val="en-GB"/>
        </w:rPr>
        <w:t xml:space="preserve"> 201</w:t>
      </w:r>
      <w:r>
        <w:rPr>
          <w:rFonts w:ascii="Arial" w:hAnsi="Arial" w:cs="Arial"/>
          <w:b/>
          <w:bCs/>
          <w:noProof/>
          <w:kern w:val="0"/>
          <w:sz w:val="28"/>
          <w:szCs w:val="28"/>
          <w:lang w:val="en-GB"/>
        </w:rPr>
        <w:t>8</w:t>
      </w:r>
      <w:r>
        <w:rPr>
          <w:rFonts w:ascii="Arial" w:hAnsi="Arial" w:cs="Arial"/>
          <w:b/>
          <w:bCs/>
          <w:noProof/>
          <w:kern w:val="0"/>
          <w:sz w:val="28"/>
          <w:szCs w:val="28"/>
        </w:rPr>
        <w:t xml:space="preserve"> </w:t>
      </w:r>
      <w:r>
        <w:rPr>
          <w:rFonts w:ascii="Arial" w:hAnsi="Arial" w:cs="Arial"/>
          <w:b/>
          <w:bCs/>
          <w:noProof/>
          <w:kern w:val="0"/>
          <w:sz w:val="28"/>
          <w:szCs w:val="28"/>
          <w:lang w:val="en-GB"/>
        </w:rPr>
        <w:tab/>
      </w:r>
      <w:r>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1CCF9C31"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7021D2" w:rsidRPr="007021D2">
        <w:rPr>
          <w:rFonts w:ascii="Arial" w:hAnsi="Arial" w:cs="Arial"/>
          <w:b/>
          <w:bCs/>
          <w:noProof/>
          <w:snapToGrid w:val="0"/>
          <w:kern w:val="0"/>
          <w:sz w:val="28"/>
          <w:szCs w:val="28"/>
        </w:rPr>
        <w:t>Framework for DRB integrity protection</w:t>
      </w:r>
    </w:p>
    <w:p w14:paraId="350787AF" w14:textId="47812C61"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80871">
        <w:rPr>
          <w:rFonts w:ascii="Arial" w:hAnsi="Arial" w:cs="Arial"/>
          <w:b/>
          <w:bCs/>
          <w:noProof/>
          <w:snapToGrid w:val="0"/>
          <w:kern w:val="0"/>
          <w:sz w:val="28"/>
          <w:szCs w:val="28"/>
        </w:rPr>
        <w:t>10.2.</w:t>
      </w:r>
      <w:r w:rsidR="00553234">
        <w:rPr>
          <w:rFonts w:ascii="Arial" w:hAnsi="Arial" w:cs="Arial"/>
          <w:b/>
          <w:bCs/>
          <w:noProof/>
          <w:snapToGrid w:val="0"/>
          <w:kern w:val="0"/>
          <w:sz w:val="28"/>
          <w:szCs w:val="28"/>
        </w:rPr>
        <w:t>10</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C0BE9B9" w14:textId="042681B6" w:rsidR="0019547D" w:rsidRDefault="0075278C" w:rsidP="006F2252">
      <w:r>
        <w:t xml:space="preserve">At RAN2#100, it was agreed that the UE will signal </w:t>
      </w:r>
      <w:r w:rsidR="00EC201F">
        <w:t>the capability of data rate up to which the DRB integrity protection could be supported:</w:t>
      </w:r>
    </w:p>
    <w:p w14:paraId="176E7EF2"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Agreements</w:t>
      </w:r>
    </w:p>
    <w:p w14:paraId="0508CAF5"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1</w:t>
      </w:r>
      <w:r>
        <w:tab/>
        <w:t xml:space="preserve">UE capability to be added for the maximum aggregate data rate per UE of user plane integrity protected data for DRBs.  </w:t>
      </w:r>
    </w:p>
    <w:p w14:paraId="3D5EBF98" w14:textId="77777777" w:rsidR="00EC201F" w:rsidRDefault="00EC201F" w:rsidP="00EC201F">
      <w:pPr>
        <w:pStyle w:val="Doc-text2"/>
        <w:pBdr>
          <w:top w:val="single" w:sz="4" w:space="1" w:color="auto"/>
          <w:left w:val="single" w:sz="4" w:space="4" w:color="auto"/>
          <w:bottom w:val="single" w:sz="4" w:space="1" w:color="auto"/>
          <w:right w:val="single" w:sz="4" w:space="4" w:color="auto"/>
        </w:pBdr>
      </w:pPr>
      <w:r>
        <w:t>2</w:t>
      </w:r>
      <w:r>
        <w:tab/>
        <w:t>Lowest possible value for the data rate is XX kbps</w:t>
      </w:r>
    </w:p>
    <w:p w14:paraId="6C0041E8" w14:textId="3C69159D" w:rsidR="00EC201F" w:rsidRDefault="00EC201F" w:rsidP="006F2252">
      <w:pPr>
        <w:rPr>
          <w:rFonts w:ascii="Arial" w:hAnsi="Arial" w:cs="Arial"/>
          <w:b/>
          <w:bCs/>
          <w:kern w:val="0"/>
          <w:sz w:val="32"/>
          <w:szCs w:val="36"/>
        </w:rPr>
      </w:pPr>
      <w:r>
        <w:t>The above agreement was captured in 38.306 as a PDCP capability field (</w:t>
      </w:r>
      <w:r w:rsidRPr="00EC201F">
        <w:rPr>
          <w:i/>
        </w:rPr>
        <w:t>dataRateDRB-IP</w:t>
      </w:r>
      <w:r>
        <w:t xml:space="preserve">). In this contribution we discuss the overall architectural framework applicable to DRB IP and suggest capturing the </w:t>
      </w:r>
      <w:r w:rsidRPr="00B243E6">
        <w:rPr>
          <w:i/>
        </w:rPr>
        <w:t>dataRateDRB-IP</w:t>
      </w:r>
      <w:r>
        <w:t xml:space="preserve"> as a security capability.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491214F" w14:textId="5FE25BD9" w:rsidR="00EC201F" w:rsidRDefault="00EC201F" w:rsidP="00C91C45">
      <w:r>
        <w:t xml:space="preserve">SA3 have agreed DRB integrity protection as a mandatory feature to be supported for UEs. The feature is likely to be </w:t>
      </w:r>
      <w:r w:rsidR="00B243E6">
        <w:t>enabled for</w:t>
      </w:r>
      <w:r>
        <w:t xml:space="preserve"> certain applications such as IoT. The user plane security policy</w:t>
      </w:r>
      <w:r w:rsidR="00B243E6">
        <w:t xml:space="preserve"> and the QoS profile</w:t>
      </w:r>
      <w:r>
        <w:t xml:space="preserve"> </w:t>
      </w:r>
      <w:r w:rsidR="00B243E6">
        <w:t>are</w:t>
      </w:r>
      <w:r>
        <w:t xml:space="preserve"> determined by SMF (in conjunction with PCF) as depicted in </w:t>
      </w:r>
      <w:r>
        <w:fldChar w:fldCharType="begin"/>
      </w:r>
      <w:r>
        <w:instrText xml:space="preserve"> REF _Ref502922878 \h </w:instrText>
      </w:r>
      <w:r>
        <w:fldChar w:fldCharType="separate"/>
      </w:r>
      <w:r>
        <w:t xml:space="preserve">Figure </w:t>
      </w:r>
      <w:r>
        <w:rPr>
          <w:noProof/>
        </w:rPr>
        <w:t>1</w:t>
      </w:r>
      <w:r>
        <w:fldChar w:fldCharType="end"/>
      </w:r>
      <w:r>
        <w:t xml:space="preserve"> below (see 38.899). </w:t>
      </w:r>
      <w:r w:rsidR="00B243E6">
        <w:t>RAN2 agreed that the integrity protection will only be supported up to a maximum data rate which is a UE capability. Given that SMF makes the decision with regards to the security policy</w:t>
      </w:r>
      <w:r w:rsidR="007021D2">
        <w:t xml:space="preserve"> and QoS policy</w:t>
      </w:r>
      <w:r w:rsidR="00B243E6">
        <w:t xml:space="preserve">, the SMF should have the necessary knowledge about the data rate up to which integrity protection is supported by the UE. Based on this (along with other information pertaining to the data rate requirements for the session etc), the SMF will decide </w:t>
      </w:r>
      <w:r w:rsidR="00F16AB3">
        <w:t>whether</w:t>
      </w:r>
      <w:r w:rsidR="00B243E6">
        <w:t xml:space="preserve"> to enable UP integrity protection </w:t>
      </w:r>
      <w:r w:rsidR="00AA76B7">
        <w:t xml:space="preserve">or not </w:t>
      </w:r>
      <w:r w:rsidR="00B243E6">
        <w:t>and indicate this decision to the gNB. This indication will have to be part of the security policy received from SMF.</w:t>
      </w:r>
      <w:r w:rsidR="008704C2">
        <w:t xml:space="preserve"> The SMF may in turn signal the applicable data rate restrictions (along with the security policy) to the gNB when UP IP is applicable to the session. </w:t>
      </w:r>
      <w:r w:rsidR="00B243E6">
        <w:t xml:space="preserve"> </w:t>
      </w:r>
    </w:p>
    <w:p w14:paraId="4A3052BD" w14:textId="77777777" w:rsidR="00EC201F" w:rsidRDefault="00EC201F" w:rsidP="00C91C45"/>
    <w:p w14:paraId="5FCE2909" w14:textId="77777777" w:rsidR="00EC201F" w:rsidRDefault="00EC201F" w:rsidP="00EC201F">
      <w:pPr>
        <w:keepNext/>
        <w:jc w:val="center"/>
      </w:pPr>
      <w:r>
        <w:object w:dxaOrig="7635" w:dyaOrig="10455" w14:anchorId="3AE30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523pt" o:ole="">
            <v:imagedata r:id="rId8" o:title=""/>
          </v:shape>
          <o:OLEObject Type="Embed" ProgID="Visio.Drawing.15" ShapeID="_x0000_i1025" DrawAspect="Content" ObjectID="_1577192208" r:id="rId9"/>
        </w:object>
      </w:r>
    </w:p>
    <w:p w14:paraId="70366F9D" w14:textId="4FF5AB7B" w:rsidR="00EC201F" w:rsidRDefault="00EC201F" w:rsidP="00EC201F">
      <w:pPr>
        <w:pStyle w:val="Caption"/>
        <w:jc w:val="center"/>
      </w:pPr>
      <w:bookmarkStart w:id="2" w:name="_Ref502922878"/>
      <w:r>
        <w:t xml:space="preserve">Figure </w:t>
      </w:r>
      <w:fldSimple w:instr=" SEQ Figure \* ARABIC ">
        <w:r>
          <w:rPr>
            <w:noProof/>
          </w:rPr>
          <w:t>1</w:t>
        </w:r>
      </w:fldSimple>
      <w:bookmarkEnd w:id="2"/>
      <w:r>
        <w:t xml:space="preserve">: </w:t>
      </w:r>
      <w:r w:rsidRPr="001C4F9E">
        <w:t>UP security negotiation</w:t>
      </w:r>
    </w:p>
    <w:p w14:paraId="7E407179" w14:textId="38CBC8A2" w:rsidR="00EC201F" w:rsidRPr="00B243E6" w:rsidRDefault="00B243E6" w:rsidP="00C91C45">
      <w:pPr>
        <w:rPr>
          <w:b/>
        </w:rPr>
      </w:pPr>
      <w:r w:rsidRPr="00B243E6">
        <w:rPr>
          <w:b/>
        </w:rPr>
        <w:t xml:space="preserve">Observation 1: SMF will make a decision on whether or not the integrity protection should be enabled. Hence, the SMF should have the knowledge about the </w:t>
      </w:r>
      <w:r w:rsidRPr="00B243E6">
        <w:rPr>
          <w:b/>
          <w:i/>
        </w:rPr>
        <w:t>dataRateDRB-IP</w:t>
      </w:r>
      <w:r w:rsidRPr="00B243E6">
        <w:rPr>
          <w:b/>
        </w:rPr>
        <w:t xml:space="preserve">. </w:t>
      </w:r>
    </w:p>
    <w:p w14:paraId="182641A0" w14:textId="77777777" w:rsidR="00EC201F" w:rsidRDefault="00EC201F" w:rsidP="00C91C45"/>
    <w:p w14:paraId="3D6DBB93" w14:textId="53C9BA5D" w:rsidR="00B243E6" w:rsidRDefault="00B243E6" w:rsidP="00C91C45">
      <w:r>
        <w:t xml:space="preserve">Given the above observation, it is necessary that the </w:t>
      </w:r>
      <w:r w:rsidRPr="00B243E6">
        <w:rPr>
          <w:i/>
        </w:rPr>
        <w:t>dataRateDRB-IP</w:t>
      </w:r>
      <w:r>
        <w:t xml:space="preserve"> is included in the security capability container. The security capability container will be specified by CT1 in the NAS spec and hence we propose that the </w:t>
      </w:r>
      <w:r w:rsidRPr="007021D2">
        <w:rPr>
          <w:i/>
        </w:rPr>
        <w:t>dataRateDRB-IP</w:t>
      </w:r>
      <w:r>
        <w:t xml:space="preserve"> is removed from the radio capability list and indicate to CT1 that this capability shall be included in the security capability container. </w:t>
      </w:r>
    </w:p>
    <w:p w14:paraId="1AFBA59F" w14:textId="183D9618" w:rsidR="00B243E6" w:rsidRPr="00B243E6" w:rsidRDefault="00B243E6" w:rsidP="00C91C45">
      <w:pPr>
        <w:rPr>
          <w:b/>
        </w:rPr>
      </w:pPr>
      <w:r w:rsidRPr="00B243E6">
        <w:rPr>
          <w:b/>
        </w:rPr>
        <w:t xml:space="preserve">Proposal 1: Remove the </w:t>
      </w:r>
      <w:r w:rsidRPr="007021D2">
        <w:rPr>
          <w:b/>
          <w:i/>
        </w:rPr>
        <w:t>dataRateDRB-IP</w:t>
      </w:r>
      <w:r w:rsidRPr="00B243E6">
        <w:rPr>
          <w:b/>
        </w:rPr>
        <w:t xml:space="preserve"> from the radio capability container in 38.306 and </w:t>
      </w:r>
      <w:r>
        <w:rPr>
          <w:b/>
        </w:rPr>
        <w:t>send an LS to</w:t>
      </w:r>
      <w:r w:rsidRPr="00B243E6">
        <w:rPr>
          <w:b/>
        </w:rPr>
        <w:t xml:space="preserve"> CT1 </w:t>
      </w:r>
      <w:r w:rsidRPr="00B243E6">
        <w:rPr>
          <w:b/>
        </w:rPr>
        <w:lastRenderedPageBreak/>
        <w:t>to include this in the security capability container that is to be specified in the NAS spec</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17AEACC4" w14:textId="1AD582DB" w:rsidR="00F32911" w:rsidRDefault="00635291" w:rsidP="00F32911">
      <w:r>
        <w:t>In this contribution, we discussed the aspects related to UP integrity protection for DRB and the following observations/proposals are made:</w:t>
      </w:r>
    </w:p>
    <w:p w14:paraId="6FDDEC50" w14:textId="77777777" w:rsidR="00635291" w:rsidRDefault="00635291" w:rsidP="00635291">
      <w:pPr>
        <w:rPr>
          <w:b/>
        </w:rPr>
      </w:pPr>
    </w:p>
    <w:p w14:paraId="25A91171" w14:textId="77777777" w:rsidR="008D3E0C" w:rsidRPr="008D3E0C" w:rsidRDefault="008D3E0C" w:rsidP="008D3E0C">
      <w:pPr>
        <w:rPr>
          <w:b/>
        </w:rPr>
      </w:pPr>
      <w:r w:rsidRPr="008D3E0C">
        <w:rPr>
          <w:b/>
        </w:rPr>
        <w:t xml:space="preserve">Observation 1: SMF will make a decision on whether or not the integrity protection should be enabled. Hence, the SMF should have the knowledge about the </w:t>
      </w:r>
      <w:r w:rsidRPr="008D3E0C">
        <w:rPr>
          <w:b/>
          <w:i/>
        </w:rPr>
        <w:t>dataRateDRB-IP</w:t>
      </w:r>
      <w:r w:rsidRPr="008D3E0C">
        <w:rPr>
          <w:b/>
        </w:rPr>
        <w:t xml:space="preserve">. </w:t>
      </w:r>
    </w:p>
    <w:p w14:paraId="620ED478" w14:textId="77777777" w:rsidR="008D3E0C" w:rsidRPr="008D3E0C" w:rsidRDefault="008D3E0C" w:rsidP="008D3E0C">
      <w:pPr>
        <w:rPr>
          <w:b/>
        </w:rPr>
      </w:pPr>
      <w:r w:rsidRPr="008D3E0C">
        <w:rPr>
          <w:b/>
        </w:rPr>
        <w:t xml:space="preserve">Proposal 1: Remove the </w:t>
      </w:r>
      <w:bookmarkStart w:id="3" w:name="_GoBack"/>
      <w:r w:rsidRPr="007021D2">
        <w:rPr>
          <w:b/>
          <w:i/>
        </w:rPr>
        <w:t>dataRateDRB-IP</w:t>
      </w:r>
      <w:r w:rsidRPr="008D3E0C">
        <w:rPr>
          <w:b/>
        </w:rPr>
        <w:t xml:space="preserve"> </w:t>
      </w:r>
      <w:bookmarkEnd w:id="3"/>
      <w:r w:rsidRPr="008D3E0C">
        <w:rPr>
          <w:b/>
        </w:rPr>
        <w:t>from the radio capability container in 38.306 and send an LS to CT1 to include this in the security capability container that is to be specified in the NAS spec</w:t>
      </w:r>
    </w:p>
    <w:p w14:paraId="230E0733" w14:textId="77777777" w:rsidR="00A504A8" w:rsidRPr="00A504A8" w:rsidRDefault="00A504A8" w:rsidP="00A504A8"/>
    <w:sectPr w:rsidR="00A504A8" w:rsidRPr="00A504A8"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88B09" w14:textId="77777777" w:rsidR="0043611A" w:rsidRDefault="0043611A" w:rsidP="00FF0AAD">
      <w:r>
        <w:separator/>
      </w:r>
    </w:p>
  </w:endnote>
  <w:endnote w:type="continuationSeparator" w:id="0">
    <w:p w14:paraId="06931666" w14:textId="77777777" w:rsidR="0043611A" w:rsidRDefault="0043611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9B668" w14:textId="77777777" w:rsidR="0043611A" w:rsidRDefault="0043611A" w:rsidP="00FF0AAD">
      <w:r>
        <w:separator/>
      </w:r>
    </w:p>
  </w:footnote>
  <w:footnote w:type="continuationSeparator" w:id="0">
    <w:p w14:paraId="74C46C58" w14:textId="77777777" w:rsidR="0043611A" w:rsidRDefault="0043611A"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2"/>
  </w:num>
  <w:num w:numId="4">
    <w:abstractNumId w:val="2"/>
  </w:num>
  <w:num w:numId="5">
    <w:abstractNumId w:val="13"/>
  </w:num>
  <w:num w:numId="6">
    <w:abstractNumId w:val="9"/>
  </w:num>
  <w:num w:numId="7">
    <w:abstractNumId w:val="15"/>
  </w:num>
  <w:num w:numId="8">
    <w:abstractNumId w:val="21"/>
  </w:num>
  <w:num w:numId="9">
    <w:abstractNumId w:val="25"/>
  </w:num>
  <w:num w:numId="10">
    <w:abstractNumId w:val="7"/>
  </w:num>
  <w:num w:numId="11">
    <w:abstractNumId w:val="17"/>
  </w:num>
  <w:num w:numId="12">
    <w:abstractNumId w:val="16"/>
  </w:num>
  <w:num w:numId="13">
    <w:abstractNumId w:val="24"/>
  </w:num>
  <w:num w:numId="14">
    <w:abstractNumId w:val="3"/>
  </w:num>
  <w:num w:numId="15">
    <w:abstractNumId w:val="4"/>
  </w:num>
  <w:num w:numId="16">
    <w:abstractNumId w:val="20"/>
  </w:num>
  <w:num w:numId="17">
    <w:abstractNumId w:val="6"/>
  </w:num>
  <w:num w:numId="18">
    <w:abstractNumId w:val="23"/>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3039"/>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11A"/>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1D2"/>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04C2"/>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564BB-D83F-4823-A68B-B7EF66B5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26</cp:revision>
  <cp:lastPrinted>2113-01-01T00:00:00Z</cp:lastPrinted>
  <dcterms:created xsi:type="dcterms:W3CDTF">2017-11-02T12:11:00Z</dcterms:created>
  <dcterms:modified xsi:type="dcterms:W3CDTF">2018-01-11T16:10:00Z</dcterms:modified>
</cp:coreProperties>
</file>