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DE" w:rsidRPr="00F31639" w:rsidRDefault="005D76DE" w:rsidP="00543BFD">
      <w:pPr>
        <w:pStyle w:val="Header"/>
        <w:spacing w:before="60" w:after="120"/>
        <w:jc w:val="both"/>
        <w:rPr>
          <w:rFonts w:eastAsia="宋体" w:cs="Arial"/>
          <w:sz w:val="22"/>
          <w:szCs w:val="22"/>
          <w:lang w:eastAsia="zh-CN"/>
        </w:rPr>
      </w:pPr>
      <w:r w:rsidRPr="00D97C2F">
        <w:rPr>
          <w:rFonts w:eastAsia="宋体" w:cs="Arial"/>
          <w:sz w:val="22"/>
          <w:szCs w:val="22"/>
          <w:lang w:eastAsia="zh-CN"/>
        </w:rPr>
        <w:t>3GPP TSG-RAN WG2 Meeting #9</w:t>
      </w:r>
      <w:r>
        <w:rPr>
          <w:rFonts w:eastAsia="宋体" w:cs="Arial" w:hint="eastAsia"/>
          <w:sz w:val="22"/>
          <w:szCs w:val="22"/>
          <w:lang w:eastAsia="zh-CN"/>
        </w:rPr>
        <w:t>9</w:t>
      </w:r>
      <w:r w:rsidRPr="00D97C2F">
        <w:rPr>
          <w:lang w:val="en-GB"/>
        </w:rPr>
        <w:t xml:space="preserve"> </w:t>
      </w:r>
      <w:r>
        <w:rPr>
          <w:rFonts w:eastAsia="宋体" w:hint="eastAsia"/>
          <w:lang w:val="en-GB" w:eastAsia="zh-CN"/>
        </w:rPr>
        <w:t xml:space="preserve">                                   R2-</w:t>
      </w:r>
      <w:r w:rsidR="00F460FC" w:rsidRPr="00F460FC">
        <w:rPr>
          <w:rFonts w:eastAsia="宋体"/>
          <w:lang w:val="en-GB" w:eastAsia="zh-CN"/>
        </w:rPr>
        <w:t>1707919</w:t>
      </w:r>
    </w:p>
    <w:p w:rsidR="005D76DE" w:rsidRPr="00B06D87" w:rsidRDefault="005D76DE" w:rsidP="00543BFD">
      <w:pPr>
        <w:pStyle w:val="Header"/>
        <w:jc w:val="both"/>
        <w:rPr>
          <w:rFonts w:eastAsia="宋体" w:cs="Arial"/>
          <w:sz w:val="22"/>
          <w:szCs w:val="22"/>
          <w:lang w:eastAsia="zh-CN"/>
        </w:rPr>
      </w:pPr>
      <w:r>
        <w:rPr>
          <w:rFonts w:eastAsia="宋体" w:cs="Arial" w:hint="eastAsia"/>
          <w:sz w:val="22"/>
          <w:szCs w:val="22"/>
          <w:lang w:eastAsia="zh-CN"/>
        </w:rPr>
        <w:t>Berlin</w:t>
      </w:r>
      <w:r w:rsidRPr="00B06D87">
        <w:rPr>
          <w:rFonts w:eastAsia="宋体" w:cs="Arial"/>
          <w:sz w:val="22"/>
          <w:szCs w:val="22"/>
          <w:lang w:eastAsia="zh-CN"/>
        </w:rPr>
        <w:t xml:space="preserve">, </w:t>
      </w:r>
      <w:r>
        <w:rPr>
          <w:rFonts w:eastAsia="宋体" w:cs="Arial" w:hint="eastAsia"/>
          <w:sz w:val="22"/>
          <w:szCs w:val="22"/>
          <w:lang w:eastAsia="zh-CN"/>
        </w:rPr>
        <w:t>Germany</w:t>
      </w:r>
      <w:r w:rsidRPr="00B06D87">
        <w:rPr>
          <w:rFonts w:eastAsia="宋体" w:cs="Arial"/>
          <w:sz w:val="22"/>
          <w:szCs w:val="22"/>
          <w:lang w:eastAsia="zh-CN"/>
        </w:rPr>
        <w:t xml:space="preserve">, </w:t>
      </w:r>
      <w:r>
        <w:rPr>
          <w:rFonts w:eastAsia="宋体" w:cs="Arial" w:hint="eastAsia"/>
          <w:sz w:val="22"/>
          <w:szCs w:val="22"/>
          <w:lang w:eastAsia="zh-CN"/>
        </w:rPr>
        <w:t>21</w:t>
      </w:r>
      <w:r>
        <w:rPr>
          <w:rFonts w:eastAsia="宋体" w:cs="Arial" w:hint="eastAsia"/>
          <w:sz w:val="22"/>
          <w:szCs w:val="22"/>
          <w:vertAlign w:val="superscript"/>
          <w:lang w:eastAsia="zh-CN"/>
        </w:rPr>
        <w:t>st</w:t>
      </w:r>
      <w:r w:rsidRPr="00B06D87">
        <w:rPr>
          <w:rFonts w:eastAsia="宋体" w:cs="Arial"/>
          <w:sz w:val="22"/>
          <w:szCs w:val="22"/>
          <w:lang w:eastAsia="zh-CN"/>
        </w:rPr>
        <w:t xml:space="preserve"> –</w:t>
      </w:r>
      <w:r>
        <w:rPr>
          <w:rFonts w:eastAsia="宋体" w:cs="Arial" w:hint="eastAsia"/>
          <w:sz w:val="22"/>
          <w:szCs w:val="22"/>
          <w:lang w:eastAsia="zh-CN"/>
        </w:rPr>
        <w:t>25</w:t>
      </w:r>
      <w:r w:rsidRPr="00261241">
        <w:rPr>
          <w:rFonts w:eastAsia="宋体" w:cs="Arial"/>
          <w:sz w:val="22"/>
          <w:szCs w:val="22"/>
          <w:vertAlign w:val="superscript"/>
          <w:lang w:eastAsia="zh-CN"/>
        </w:rPr>
        <w:t>th</w:t>
      </w:r>
      <w:r w:rsidRPr="00B06D87">
        <w:rPr>
          <w:rFonts w:eastAsia="宋体" w:cs="Arial"/>
          <w:sz w:val="22"/>
          <w:szCs w:val="22"/>
          <w:lang w:eastAsia="zh-CN"/>
        </w:rPr>
        <w:t xml:space="preserve"> </w:t>
      </w:r>
      <w:r>
        <w:rPr>
          <w:rFonts w:eastAsia="宋体" w:cs="Arial" w:hint="eastAsia"/>
          <w:sz w:val="22"/>
          <w:szCs w:val="22"/>
          <w:lang w:eastAsia="zh-CN"/>
        </w:rPr>
        <w:t>AUG</w:t>
      </w:r>
      <w:r w:rsidRPr="00B06D87">
        <w:rPr>
          <w:rFonts w:eastAsia="宋体" w:cs="Arial"/>
          <w:sz w:val="22"/>
          <w:szCs w:val="22"/>
          <w:lang w:eastAsia="zh-CN"/>
        </w:rPr>
        <w:t xml:space="preserve"> 2017</w:t>
      </w:r>
    </w:p>
    <w:p w:rsidR="005D76DE" w:rsidRPr="00076E3A" w:rsidRDefault="005D76DE" w:rsidP="00543BFD">
      <w:pPr>
        <w:pStyle w:val="Header"/>
        <w:jc w:val="both"/>
        <w:rPr>
          <w:rFonts w:cs="Arial"/>
          <w:sz w:val="22"/>
          <w:szCs w:val="22"/>
        </w:rPr>
      </w:pPr>
    </w:p>
    <w:p w:rsidR="005D76DE" w:rsidRPr="00076E3A" w:rsidRDefault="005D76DE" w:rsidP="00543BFD">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5D76DE" w:rsidRPr="00470264" w:rsidRDefault="005D76DE" w:rsidP="00543BFD">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04121" w:rsidRPr="00C04121">
        <w:rPr>
          <w:rFonts w:cs="Arial"/>
          <w:sz w:val="22"/>
          <w:szCs w:val="22"/>
        </w:rPr>
        <w:t xml:space="preserve">Discussion on BSR </w:t>
      </w:r>
      <w:r w:rsidR="00F460FC">
        <w:rPr>
          <w:rFonts w:eastAsiaTheme="minorEastAsia" w:cs="Arial" w:hint="eastAsia"/>
          <w:sz w:val="22"/>
          <w:szCs w:val="22"/>
          <w:lang w:eastAsia="zh-CN"/>
        </w:rPr>
        <w:t>T</w:t>
      </w:r>
      <w:r w:rsidR="00C04121" w:rsidRPr="00C04121">
        <w:rPr>
          <w:rFonts w:cs="Arial"/>
          <w:sz w:val="22"/>
          <w:szCs w:val="22"/>
        </w:rPr>
        <w:t xml:space="preserve">ransmission and </w:t>
      </w:r>
      <w:r w:rsidR="00F460FC">
        <w:rPr>
          <w:rFonts w:eastAsiaTheme="minorEastAsia" w:cs="Arial" w:hint="eastAsia"/>
          <w:sz w:val="22"/>
          <w:szCs w:val="22"/>
          <w:lang w:eastAsia="zh-CN"/>
        </w:rPr>
        <w:t>C</w:t>
      </w:r>
      <w:r w:rsidR="00C04121" w:rsidRPr="00C04121">
        <w:rPr>
          <w:rFonts w:cs="Arial"/>
          <w:sz w:val="22"/>
          <w:szCs w:val="22"/>
        </w:rPr>
        <w:t>ancellation</w:t>
      </w:r>
    </w:p>
    <w:p w:rsidR="005D76DE" w:rsidRPr="00C04121" w:rsidRDefault="005D76DE" w:rsidP="00543BFD">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04121">
        <w:rPr>
          <w:rFonts w:eastAsiaTheme="minorEastAsia" w:cs="Arial" w:hint="eastAsia"/>
          <w:sz w:val="22"/>
          <w:szCs w:val="22"/>
          <w:lang w:eastAsia="zh-CN"/>
        </w:rPr>
        <w:t>10.3.1.6</w:t>
      </w:r>
    </w:p>
    <w:p w:rsidR="005D76DE" w:rsidRPr="00B81B31" w:rsidRDefault="005D76DE" w:rsidP="00543BFD">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5D76DE" w:rsidRPr="00E2577D" w:rsidRDefault="005D76DE" w:rsidP="00543BFD">
      <w:pPr>
        <w:pBdr>
          <w:bottom w:val="single" w:sz="4" w:space="1" w:color="auto"/>
        </w:pBdr>
        <w:tabs>
          <w:tab w:val="left" w:pos="2552"/>
        </w:tabs>
        <w:jc w:val="both"/>
      </w:pPr>
    </w:p>
    <w:p w:rsidR="005D76DE" w:rsidRPr="00D62F40" w:rsidRDefault="005D76DE" w:rsidP="00543BFD">
      <w:pPr>
        <w:pStyle w:val="Heading1"/>
        <w:jc w:val="both"/>
        <w:rPr>
          <w:szCs w:val="28"/>
        </w:rPr>
      </w:pPr>
      <w:r w:rsidRPr="00D62F40">
        <w:rPr>
          <w:szCs w:val="28"/>
        </w:rPr>
        <w:t>Introduction</w:t>
      </w:r>
    </w:p>
    <w:p w:rsidR="00B723D4" w:rsidRDefault="00401278" w:rsidP="00E40E20">
      <w:pPr>
        <w:pStyle w:val="BodyText"/>
        <w:spacing w:beforeLines="50"/>
        <w:rPr>
          <w:rFonts w:eastAsiaTheme="minorEastAsia"/>
          <w:lang w:eastAsia="zh-CN"/>
        </w:rPr>
      </w:pPr>
      <w:r>
        <w:rPr>
          <w:rFonts w:hint="eastAsia"/>
        </w:rPr>
        <w:t>During RAN2#98</w:t>
      </w:r>
      <w:r w:rsidR="00064F40">
        <w:rPr>
          <w:rFonts w:hint="eastAsia"/>
        </w:rPr>
        <w:t xml:space="preserve"> and Ad-</w:t>
      </w:r>
      <w:r w:rsidR="00064F40">
        <w:rPr>
          <w:rFonts w:eastAsiaTheme="minorEastAsia" w:hint="eastAsia"/>
          <w:lang w:eastAsia="zh-CN"/>
        </w:rPr>
        <w:t>H</w:t>
      </w:r>
      <w:r>
        <w:rPr>
          <w:rFonts w:hint="eastAsia"/>
        </w:rPr>
        <w:t xml:space="preserve">oc meetings, there was </w:t>
      </w:r>
      <w:r w:rsidR="006244EB">
        <w:t xml:space="preserve">some </w:t>
      </w:r>
      <w:r>
        <w:rPr>
          <w:rFonts w:hint="eastAsia"/>
        </w:rPr>
        <w:t>progress on BSR timers and triggers</w:t>
      </w:r>
      <w:r w:rsidR="006244EB">
        <w:t>,</w:t>
      </w:r>
      <w:r w:rsidR="006244EB">
        <w:rPr>
          <w:rFonts w:eastAsiaTheme="minorEastAsia"/>
          <w:lang w:eastAsia="zh-CN"/>
        </w:rPr>
        <w:t xml:space="preserve"> per the below extract of the Chairlady’s notes:</w:t>
      </w:r>
    </w:p>
    <w:p w:rsidR="002A15EC" w:rsidRDefault="006244EB" w:rsidP="00E40E20">
      <w:pPr>
        <w:pStyle w:val="BodyText"/>
        <w:spacing w:beforeLines="50"/>
      </w:pPr>
      <w:r>
        <w:t>RAN2#98:</w:t>
      </w:r>
    </w:p>
    <w:p w:rsidR="006244EB" w:rsidRPr="00E57F0F" w:rsidRDefault="006244EB" w:rsidP="006244EB">
      <w:pPr>
        <w:pStyle w:val="Doc-text2"/>
        <w:pBdr>
          <w:top w:val="single" w:sz="4" w:space="1" w:color="auto"/>
          <w:left w:val="single" w:sz="4" w:space="4" w:color="auto"/>
          <w:bottom w:val="single" w:sz="4" w:space="1" w:color="auto"/>
          <w:right w:val="single" w:sz="4" w:space="4" w:color="auto"/>
        </w:pBdr>
        <w:rPr>
          <w:b/>
        </w:rPr>
      </w:pPr>
      <w:r w:rsidRPr="00E57F0F">
        <w:rPr>
          <w:b/>
        </w:rPr>
        <w:t>Agreements</w:t>
      </w:r>
    </w:p>
    <w:p w:rsidR="006244EB" w:rsidRPr="00956F71" w:rsidRDefault="006244EB" w:rsidP="006244EB">
      <w:pPr>
        <w:pStyle w:val="Doc-text2"/>
        <w:numPr>
          <w:ilvl w:val="0"/>
          <w:numId w:val="7"/>
        </w:numPr>
        <w:pBdr>
          <w:top w:val="single" w:sz="4" w:space="1" w:color="auto"/>
          <w:left w:val="single" w:sz="4" w:space="4" w:color="auto"/>
          <w:bottom w:val="single" w:sz="4" w:space="1" w:color="auto"/>
          <w:right w:val="single" w:sz="4" w:space="4" w:color="auto"/>
        </w:pBdr>
      </w:pPr>
      <w:r w:rsidRPr="00956F71">
        <w:t xml:space="preserve">The number of LCGs will be increased up to 8.  </w:t>
      </w:r>
      <w:r w:rsidR="002A7DC2" w:rsidRPr="00956F71">
        <w:rPr>
          <w:rFonts w:eastAsiaTheme="minorEastAsia" w:hint="eastAsia"/>
          <w:lang w:eastAsia="zh-CN"/>
        </w:rPr>
        <w:t xml:space="preserve"> </w:t>
      </w:r>
    </w:p>
    <w:p w:rsidR="006244EB" w:rsidRDefault="006244EB" w:rsidP="006244EB">
      <w:pPr>
        <w:pStyle w:val="Doc-text2"/>
        <w:numPr>
          <w:ilvl w:val="0"/>
          <w:numId w:val="7"/>
        </w:numPr>
        <w:pBdr>
          <w:top w:val="single" w:sz="4" w:space="1" w:color="auto"/>
          <w:left w:val="single" w:sz="4" w:space="4" w:color="auto"/>
          <w:bottom w:val="single" w:sz="4" w:space="1" w:color="auto"/>
          <w:right w:val="single" w:sz="4" w:space="4" w:color="auto"/>
        </w:pBdr>
      </w:pPr>
      <w:r>
        <w:t xml:space="preserve">The concept of </w:t>
      </w:r>
      <w:r w:rsidRPr="00761BA1">
        <w:rPr>
          <w:i/>
        </w:rPr>
        <w:t>periodicBSR-timer</w:t>
      </w:r>
      <w:r>
        <w:t xml:space="preserve"> and </w:t>
      </w:r>
      <w:r w:rsidRPr="00761BA1">
        <w:rPr>
          <w:i/>
        </w:rPr>
        <w:t>retx-BSRtimers</w:t>
      </w:r>
      <w:r>
        <w:t xml:space="preserve"> are reused and are configured per MAC entity </w:t>
      </w:r>
    </w:p>
    <w:p w:rsidR="006244EB" w:rsidRDefault="006244EB" w:rsidP="006244EB">
      <w:pPr>
        <w:pStyle w:val="Doc-text2"/>
        <w:numPr>
          <w:ilvl w:val="0"/>
          <w:numId w:val="7"/>
        </w:numPr>
        <w:pBdr>
          <w:top w:val="single" w:sz="4" w:space="1" w:color="auto"/>
          <w:left w:val="single" w:sz="4" w:space="4" w:color="auto"/>
          <w:bottom w:val="single" w:sz="4" w:space="1" w:color="auto"/>
          <w:right w:val="single" w:sz="4" w:space="4" w:color="auto"/>
        </w:pBdr>
      </w:pPr>
      <w:r>
        <w:t>As a baseline, the concept of logicalChannelSR-ProhibitTimer is reused in NR. It is allowed to configured infinite value for this timer.</w:t>
      </w:r>
    </w:p>
    <w:p w:rsidR="006244EB" w:rsidRDefault="006244EB" w:rsidP="006244EB">
      <w:pPr>
        <w:pStyle w:val="Doc-text2"/>
        <w:numPr>
          <w:ilvl w:val="0"/>
          <w:numId w:val="7"/>
        </w:numPr>
        <w:pBdr>
          <w:top w:val="single" w:sz="4" w:space="1" w:color="auto"/>
          <w:left w:val="single" w:sz="4" w:space="4" w:color="auto"/>
          <w:bottom w:val="single" w:sz="4" w:space="1" w:color="auto"/>
          <w:right w:val="single" w:sz="4" w:space="4" w:color="auto"/>
        </w:pBdr>
      </w:pPr>
      <w:r w:rsidRPr="00814C22">
        <w:t xml:space="preserve">The logicalChannelSR-Mask is supported </w:t>
      </w:r>
    </w:p>
    <w:p w:rsidR="006244EB" w:rsidRDefault="006244EB" w:rsidP="00543BFD">
      <w:pPr>
        <w:jc w:val="both"/>
      </w:pPr>
    </w:p>
    <w:p w:rsidR="006244EB" w:rsidRDefault="006244EB" w:rsidP="00543BFD">
      <w:pPr>
        <w:jc w:val="both"/>
      </w:pPr>
      <w:r>
        <w:t>RAN2 AH NR#2:</w:t>
      </w:r>
    </w:p>
    <w:p w:rsidR="006244EB" w:rsidRPr="003447BD" w:rsidRDefault="006244EB" w:rsidP="006244EB">
      <w:pPr>
        <w:pStyle w:val="Doc-text2"/>
        <w:pBdr>
          <w:top w:val="single" w:sz="4" w:space="1" w:color="auto"/>
          <w:left w:val="single" w:sz="4" w:space="4" w:color="auto"/>
          <w:bottom w:val="single" w:sz="4" w:space="1" w:color="auto"/>
          <w:right w:val="single" w:sz="4" w:space="4" w:color="auto"/>
        </w:pBdr>
        <w:rPr>
          <w:b/>
        </w:rPr>
      </w:pPr>
      <w:r w:rsidRPr="003447BD">
        <w:rPr>
          <w:b/>
        </w:rPr>
        <w:t>Agreements</w:t>
      </w:r>
    </w:p>
    <w:p w:rsidR="006244EB" w:rsidRPr="003447BD" w:rsidRDefault="006244EB" w:rsidP="006244EB">
      <w:pPr>
        <w:pStyle w:val="Doc-text2"/>
        <w:pBdr>
          <w:top w:val="single" w:sz="4" w:space="1" w:color="auto"/>
          <w:left w:val="single" w:sz="4" w:space="4" w:color="auto"/>
          <w:bottom w:val="single" w:sz="4" w:space="1" w:color="auto"/>
          <w:right w:val="single" w:sz="4" w:space="4" w:color="auto"/>
        </w:pBdr>
      </w:pPr>
      <w:r w:rsidRPr="003447BD">
        <w:t>=&gt;</w:t>
      </w:r>
      <w:r w:rsidRPr="003447BD">
        <w:tab/>
        <w:t xml:space="preserve">No new BSR triggers in addition to LTE are needed </w:t>
      </w:r>
    </w:p>
    <w:p w:rsidR="006244EB" w:rsidRDefault="006244EB" w:rsidP="006244EB">
      <w:pPr>
        <w:pStyle w:val="Doc-text2"/>
      </w:pPr>
      <w:r>
        <w:t>=&gt;</w:t>
      </w:r>
      <w:r>
        <w:tab/>
        <w:t>The overheating issue should be discussed in the joint session first</w:t>
      </w:r>
    </w:p>
    <w:p w:rsidR="006244EB" w:rsidRDefault="006244EB" w:rsidP="006244EB">
      <w:pPr>
        <w:rPr>
          <w:rFonts w:eastAsiaTheme="minorEastAsia"/>
        </w:rPr>
      </w:pPr>
    </w:p>
    <w:p w:rsidR="00401278" w:rsidRDefault="00401278" w:rsidP="00543BFD">
      <w:pPr>
        <w:jc w:val="both"/>
      </w:pPr>
      <w:r>
        <w:rPr>
          <w:rFonts w:hint="eastAsia"/>
        </w:rPr>
        <w:t>In this contribution, we will further discuss the open issue</w:t>
      </w:r>
      <w:r w:rsidR="000F7C9E">
        <w:t>s</w:t>
      </w:r>
      <w:r>
        <w:rPr>
          <w:rFonts w:hint="eastAsia"/>
        </w:rPr>
        <w:t xml:space="preserve"> on BSR:</w:t>
      </w:r>
    </w:p>
    <w:p w:rsidR="00401278" w:rsidRDefault="006244EB" w:rsidP="00543BFD">
      <w:pPr>
        <w:pStyle w:val="ListParagraph"/>
        <w:numPr>
          <w:ilvl w:val="0"/>
          <w:numId w:val="5"/>
        </w:numPr>
        <w:ind w:firstLineChars="0"/>
      </w:pPr>
      <w:r>
        <w:t xml:space="preserve">How </w:t>
      </w:r>
      <w:r w:rsidR="00401278">
        <w:rPr>
          <w:rFonts w:hint="eastAsia"/>
        </w:rPr>
        <w:t>BSR distinguish</w:t>
      </w:r>
      <w:r>
        <w:t>es</w:t>
      </w:r>
      <w:r w:rsidR="00401278">
        <w:rPr>
          <w:rFonts w:hint="eastAsia"/>
        </w:rPr>
        <w:t xml:space="preserve"> TTI/numerology information</w:t>
      </w:r>
    </w:p>
    <w:p w:rsidR="00401278" w:rsidRDefault="00401278" w:rsidP="00543BFD">
      <w:pPr>
        <w:pStyle w:val="ListParagraph"/>
        <w:numPr>
          <w:ilvl w:val="0"/>
          <w:numId w:val="5"/>
        </w:numPr>
        <w:ind w:firstLineChars="0"/>
      </w:pPr>
      <w:r>
        <w:rPr>
          <w:rFonts w:hint="eastAsia"/>
        </w:rPr>
        <w:t>Where to transmit the pending BSR?</w:t>
      </w:r>
    </w:p>
    <w:p w:rsidR="00401278" w:rsidRDefault="00401278" w:rsidP="00543BFD">
      <w:pPr>
        <w:pStyle w:val="ListParagraph"/>
        <w:numPr>
          <w:ilvl w:val="0"/>
          <w:numId w:val="5"/>
        </w:numPr>
        <w:ind w:firstLineChars="0"/>
      </w:pPr>
      <w:r>
        <w:rPr>
          <w:rFonts w:hint="eastAsia"/>
        </w:rPr>
        <w:t>BSR cancellation mechanism</w:t>
      </w:r>
    </w:p>
    <w:p w:rsidR="005D76DE" w:rsidRDefault="005D76DE" w:rsidP="00543BFD">
      <w:pPr>
        <w:pStyle w:val="Heading1"/>
        <w:jc w:val="both"/>
        <w:rPr>
          <w:szCs w:val="28"/>
          <w:lang w:eastAsia="zh-CN"/>
        </w:rPr>
      </w:pPr>
      <w:r w:rsidRPr="005D76DE">
        <w:rPr>
          <w:rFonts w:hint="eastAsia"/>
          <w:szCs w:val="28"/>
        </w:rPr>
        <w:t>Discussion</w:t>
      </w:r>
    </w:p>
    <w:p w:rsidR="00401278" w:rsidRDefault="00401278" w:rsidP="00543BFD">
      <w:pPr>
        <w:jc w:val="both"/>
        <w:rPr>
          <w:b/>
        </w:rPr>
      </w:pPr>
      <w:r>
        <w:rPr>
          <w:rFonts w:hint="eastAsia"/>
          <w:b/>
        </w:rPr>
        <w:t>2.1 Distinguish</w:t>
      </w:r>
      <w:r w:rsidR="006244EB">
        <w:rPr>
          <w:b/>
        </w:rPr>
        <w:t>ing</w:t>
      </w:r>
      <w:r>
        <w:rPr>
          <w:rFonts w:hint="eastAsia"/>
          <w:b/>
        </w:rPr>
        <w:t xml:space="preserve"> TTI/numerology</w:t>
      </w:r>
    </w:p>
    <w:p w:rsidR="00401278" w:rsidRDefault="00401278" w:rsidP="00543BFD">
      <w:pPr>
        <w:jc w:val="both"/>
      </w:pPr>
      <w:r>
        <w:rPr>
          <w:rFonts w:hint="eastAsia"/>
        </w:rPr>
        <w:t xml:space="preserve">In NR, a LCH is restricted to use UL grant corresponding to specific transmission profiles (e.g. TTI/numerology(s)). </w:t>
      </w:r>
      <w:r w:rsidR="006244EB">
        <w:t>Hence i</w:t>
      </w:r>
      <w:r>
        <w:rPr>
          <w:rFonts w:hint="eastAsia"/>
        </w:rPr>
        <w:t xml:space="preserve">t is </w:t>
      </w:r>
      <w:r w:rsidR="006244EB">
        <w:t>important</w:t>
      </w:r>
      <w:r w:rsidR="006244EB">
        <w:rPr>
          <w:rFonts w:hint="eastAsia"/>
        </w:rPr>
        <w:t xml:space="preserve"> </w:t>
      </w:r>
      <w:r>
        <w:rPr>
          <w:rFonts w:hint="eastAsia"/>
        </w:rPr>
        <w:t xml:space="preserve">for </w:t>
      </w:r>
      <w:r w:rsidR="006244EB">
        <w:t xml:space="preserve">the </w:t>
      </w:r>
      <w:r>
        <w:rPr>
          <w:rFonts w:hint="eastAsia"/>
        </w:rPr>
        <w:t xml:space="preserve">NW to be aware of </w:t>
      </w:r>
      <w:r w:rsidR="006244EB">
        <w:rPr>
          <w:rFonts w:hint="eastAsia"/>
        </w:rPr>
        <w:t xml:space="preserve">which transmission profiles </w:t>
      </w:r>
      <w:r>
        <w:rPr>
          <w:rFonts w:hint="eastAsia"/>
        </w:rPr>
        <w:t>the pending UL data is associated with</w:t>
      </w:r>
      <w:r w:rsidR="006244EB">
        <w:t xml:space="preserve"> so as to serve it appropriately</w:t>
      </w:r>
      <w:r>
        <w:rPr>
          <w:rFonts w:hint="eastAsia"/>
        </w:rPr>
        <w:t xml:space="preserve">. During the discussions on SR, it has been agreed that SR should distinguish TTI/numerology information and multiple SR configurations </w:t>
      </w:r>
      <w:r w:rsidR="006244EB">
        <w:t>are</w:t>
      </w:r>
      <w:r>
        <w:rPr>
          <w:rFonts w:hint="eastAsia"/>
        </w:rPr>
        <w:t xml:space="preserve"> supported. </w:t>
      </w:r>
      <w:r w:rsidR="006244EB">
        <w:t>Since an SR is triggered by a BSR</w:t>
      </w:r>
      <w:r>
        <w:rPr>
          <w:rFonts w:hint="eastAsia"/>
        </w:rPr>
        <w:t xml:space="preserve">, </w:t>
      </w:r>
      <w:r w:rsidR="006244EB">
        <w:t xml:space="preserve">it makes sense that </w:t>
      </w:r>
      <w:r>
        <w:rPr>
          <w:rFonts w:hint="eastAsia"/>
        </w:rPr>
        <w:t xml:space="preserve">BSR also has the </w:t>
      </w:r>
      <w:r>
        <w:t>requirement</w:t>
      </w:r>
      <w:r>
        <w:rPr>
          <w:rFonts w:hint="eastAsia"/>
        </w:rPr>
        <w:t xml:space="preserve"> to distinguish the TTI/numerology information. There are two potential options </w:t>
      </w:r>
      <w:r w:rsidR="006244EB">
        <w:t xml:space="preserve">that </w:t>
      </w:r>
      <w:r>
        <w:rPr>
          <w:rFonts w:hint="eastAsia"/>
        </w:rPr>
        <w:t>can be considered:</w:t>
      </w:r>
    </w:p>
    <w:p w:rsidR="00401278" w:rsidRDefault="00401278" w:rsidP="00543BFD">
      <w:pPr>
        <w:ind w:leftChars="100" w:left="200"/>
        <w:jc w:val="both"/>
      </w:pPr>
      <w:r w:rsidRPr="0086670F">
        <w:rPr>
          <w:rFonts w:hint="eastAsia"/>
          <w:i/>
          <w:u w:val="single"/>
        </w:rPr>
        <w:lastRenderedPageBreak/>
        <w:t>Option 1</w:t>
      </w:r>
      <w:r>
        <w:rPr>
          <w:rFonts w:hint="eastAsia"/>
        </w:rPr>
        <w:t>: BSR transmitted on the TTI/numerology (transmission profile) mapped to the LCH which has available data.</w:t>
      </w:r>
    </w:p>
    <w:p w:rsidR="00401278" w:rsidRDefault="00401278" w:rsidP="00543BFD">
      <w:pPr>
        <w:ind w:leftChars="100" w:left="200"/>
        <w:jc w:val="both"/>
      </w:pPr>
      <w:r w:rsidRPr="0086670F">
        <w:rPr>
          <w:rFonts w:hint="eastAsia"/>
          <w:i/>
          <w:u w:val="single"/>
        </w:rPr>
        <w:t>Option 2</w:t>
      </w:r>
      <w:r>
        <w:rPr>
          <w:rFonts w:hint="eastAsia"/>
        </w:rPr>
        <w:t>: The LCHs mapped to the similar/same TTI/numerology (transmission profile) are grouped into the same LCG</w:t>
      </w:r>
    </w:p>
    <w:p w:rsidR="00401278" w:rsidRDefault="00401278" w:rsidP="00543BFD">
      <w:pPr>
        <w:jc w:val="both"/>
      </w:pPr>
      <w:r>
        <w:rPr>
          <w:rFonts w:hint="eastAsia"/>
        </w:rPr>
        <w:t xml:space="preserve">For option 1, if multiple LCHs have available data for transmission, there might be </w:t>
      </w:r>
      <w:r>
        <w:t>several</w:t>
      </w:r>
      <w:r>
        <w:rPr>
          <w:rFonts w:hint="eastAsia"/>
        </w:rPr>
        <w:t xml:space="preserve"> BSRs ongoing via different TTIs/numerologies. Correspondingly, UE might have to maintain multiple sets of BSR timers. Therefore, this option would increase the complexity of UE implementation and reduce the transmission efficiency of BSR.</w:t>
      </w:r>
    </w:p>
    <w:p w:rsidR="00401278" w:rsidRDefault="00401278" w:rsidP="00543BFD">
      <w:pPr>
        <w:jc w:val="both"/>
      </w:pPr>
      <w:r>
        <w:rPr>
          <w:rFonts w:hint="eastAsia"/>
        </w:rPr>
        <w:t>F</w:t>
      </w:r>
      <w:r>
        <w:t>o</w:t>
      </w:r>
      <w:r>
        <w:rPr>
          <w:rFonts w:hint="eastAsia"/>
        </w:rPr>
        <w:t xml:space="preserve">r option 2, NW can be aware of how much data </w:t>
      </w:r>
      <w:r w:rsidR="00DC0796">
        <w:t xml:space="preserve">is </w:t>
      </w:r>
      <w:r>
        <w:rPr>
          <w:rFonts w:hint="eastAsia"/>
        </w:rPr>
        <w:t xml:space="preserve">pending on different TTI/numerology according to the </w:t>
      </w:r>
      <w:r w:rsidR="00DC0796">
        <w:t xml:space="preserve">individual </w:t>
      </w:r>
      <w:r>
        <w:rPr>
          <w:rFonts w:hint="eastAsia"/>
        </w:rPr>
        <w:t>buffer stat</w:t>
      </w:r>
      <w:r w:rsidR="00DC0796">
        <w:t>uses</w:t>
      </w:r>
      <w:r>
        <w:rPr>
          <w:rFonts w:hint="eastAsia"/>
        </w:rPr>
        <w:t xml:space="preserve"> of different LCG</w:t>
      </w:r>
      <w:r w:rsidR="00DC0796">
        <w:t>s</w:t>
      </w:r>
      <w:r>
        <w:rPr>
          <w:rFonts w:hint="eastAsia"/>
        </w:rPr>
        <w:t>. In addition, it can be left to gNB implementation to do the LCG grouping, so no extra complexity or standardization effort is introduced.</w:t>
      </w:r>
    </w:p>
    <w:p w:rsidR="00401278" w:rsidRDefault="00DC0796" w:rsidP="00543BFD">
      <w:pPr>
        <w:jc w:val="both"/>
      </w:pPr>
      <w:r>
        <w:t>Hence</w:t>
      </w:r>
      <w:r w:rsidR="00401278">
        <w:rPr>
          <w:rFonts w:hint="eastAsia"/>
        </w:rPr>
        <w:t xml:space="preserve"> we prefer to apply option 2.</w:t>
      </w:r>
    </w:p>
    <w:p w:rsidR="00401278" w:rsidRPr="004C0E59" w:rsidRDefault="00401278" w:rsidP="00543BFD">
      <w:pPr>
        <w:jc w:val="both"/>
        <w:rPr>
          <w:b/>
        </w:rPr>
      </w:pPr>
      <w:r w:rsidRPr="004C0E59">
        <w:rPr>
          <w:rFonts w:hint="eastAsia"/>
          <w:b/>
        </w:rPr>
        <w:t xml:space="preserve">Proposal 1: </w:t>
      </w:r>
      <w:r>
        <w:rPr>
          <w:rFonts w:hint="eastAsia"/>
          <w:b/>
        </w:rPr>
        <w:t>The LCHs mapped to the similar/same TTI/numerology (transmission profile) are grouped into one LCG by gNB. Based on this, BSR can distinguish the TTI/numerology information.</w:t>
      </w:r>
    </w:p>
    <w:p w:rsidR="00401278" w:rsidRDefault="00401278" w:rsidP="00543BFD">
      <w:pPr>
        <w:jc w:val="both"/>
        <w:rPr>
          <w:b/>
        </w:rPr>
      </w:pPr>
    </w:p>
    <w:p w:rsidR="00401278" w:rsidRDefault="00401278" w:rsidP="00543BFD">
      <w:pPr>
        <w:jc w:val="both"/>
        <w:rPr>
          <w:b/>
        </w:rPr>
      </w:pPr>
      <w:r>
        <w:rPr>
          <w:rFonts w:hint="eastAsia"/>
          <w:b/>
        </w:rPr>
        <w:t>2.2 Where to transmit the BSR</w:t>
      </w:r>
    </w:p>
    <w:p w:rsidR="00401278" w:rsidRDefault="00401278" w:rsidP="00543BFD">
      <w:pPr>
        <w:jc w:val="both"/>
      </w:pPr>
      <w:r>
        <w:rPr>
          <w:rFonts w:hint="eastAsia"/>
        </w:rPr>
        <w:t xml:space="preserve">In NR, UE can transmit multiple MAC PDUs simultaneously if it has multiple UL grants at the same time. In our opinion, there </w:t>
      </w:r>
      <w:r>
        <w:t xml:space="preserve">is no significant difference on which UL grant is used to carry </w:t>
      </w:r>
      <w:r w:rsidR="00DC0796">
        <w:t xml:space="preserve">the </w:t>
      </w:r>
      <w:r>
        <w:t xml:space="preserve">pending BSR. </w:t>
      </w:r>
      <w:r>
        <w:rPr>
          <w:rFonts w:hint="eastAsia"/>
        </w:rPr>
        <w:t>Some may concern about the UL scheduling latency and consider it is better to transmit pending BSR using a shorter TTI. However, it is also beneficial to use the shorter TTI for URLLC data rather than MAC CE. UE is able to balance the transmission of URLLC data and MAC CE. Therefore, we can leave it to UE implementation.</w:t>
      </w:r>
    </w:p>
    <w:p w:rsidR="00401278" w:rsidRDefault="00401278" w:rsidP="00543BFD">
      <w:pPr>
        <w:jc w:val="both"/>
        <w:rPr>
          <w:b/>
        </w:rPr>
      </w:pPr>
      <w:r w:rsidRPr="007F6A59">
        <w:rPr>
          <w:rFonts w:hint="eastAsia"/>
          <w:b/>
        </w:rPr>
        <w:t xml:space="preserve">Proposal 2: If UE has multiple UL grants, it can involve </w:t>
      </w:r>
      <w:r w:rsidR="00C04121">
        <w:rPr>
          <w:rFonts w:eastAsiaTheme="minorEastAsia" w:hint="eastAsia"/>
          <w:b/>
          <w:lang w:eastAsia="zh-CN"/>
        </w:rPr>
        <w:t>regular or periodic</w:t>
      </w:r>
      <w:r w:rsidRPr="007F6A59">
        <w:rPr>
          <w:rFonts w:hint="eastAsia"/>
          <w:b/>
        </w:rPr>
        <w:t xml:space="preserve"> BSR in one of the MAC PDU transmitted at the same time. This is left to UE implementation.</w:t>
      </w:r>
    </w:p>
    <w:p w:rsidR="00401278" w:rsidRPr="00D81E16" w:rsidRDefault="00401278" w:rsidP="00543BFD">
      <w:pPr>
        <w:jc w:val="both"/>
        <w:rPr>
          <w:b/>
        </w:rPr>
      </w:pPr>
    </w:p>
    <w:p w:rsidR="00401278" w:rsidRDefault="00401278" w:rsidP="00543BFD">
      <w:pPr>
        <w:jc w:val="both"/>
        <w:rPr>
          <w:b/>
        </w:rPr>
      </w:pPr>
      <w:r>
        <w:rPr>
          <w:rFonts w:hint="eastAsia"/>
          <w:b/>
        </w:rPr>
        <w:t>2.3</w:t>
      </w:r>
      <w:r w:rsidRPr="00E16DEC">
        <w:rPr>
          <w:rFonts w:hint="eastAsia"/>
          <w:b/>
        </w:rPr>
        <w:t xml:space="preserve"> BSR cancellation mechanism</w:t>
      </w:r>
    </w:p>
    <w:p w:rsidR="00401278" w:rsidRDefault="00401278" w:rsidP="00543BFD">
      <w:pPr>
        <w:jc w:val="both"/>
      </w:pPr>
      <w:r>
        <w:rPr>
          <w:rFonts w:hint="eastAsia"/>
        </w:rPr>
        <w:t xml:space="preserve">In LTE, there are two conditions to </w:t>
      </w:r>
      <w:r>
        <w:t>cancel</w:t>
      </w:r>
      <w:r>
        <w:rPr>
          <w:rFonts w:hint="eastAsia"/>
        </w:rPr>
        <w:t xml:space="preserve"> the pending BSR:</w:t>
      </w:r>
    </w:p>
    <w:p w:rsidR="00401278" w:rsidRDefault="00401278" w:rsidP="00543BFD">
      <w:pPr>
        <w:pStyle w:val="ListParagraph"/>
        <w:numPr>
          <w:ilvl w:val="0"/>
          <w:numId w:val="6"/>
        </w:numPr>
        <w:ind w:firstLineChars="0"/>
      </w:pPr>
      <w:r>
        <w:rPr>
          <w:rFonts w:hint="eastAsia"/>
        </w:rPr>
        <w:t xml:space="preserve">Case 1: If a BSR MAC CE is </w:t>
      </w:r>
      <w:r>
        <w:t xml:space="preserve">involved in a </w:t>
      </w:r>
      <w:r>
        <w:rPr>
          <w:rFonts w:hint="eastAsia"/>
        </w:rPr>
        <w:t xml:space="preserve">MAC PDU (except </w:t>
      </w:r>
      <w:r>
        <w:t>padding</w:t>
      </w:r>
      <w:r>
        <w:rPr>
          <w:rFonts w:hint="eastAsia"/>
        </w:rPr>
        <w:t xml:space="preserve"> BSR MAC CE), all pending BSRs should be cancelled.</w:t>
      </w:r>
    </w:p>
    <w:p w:rsidR="00401278" w:rsidRDefault="00401278" w:rsidP="00543BFD">
      <w:pPr>
        <w:pStyle w:val="ListParagraph"/>
        <w:numPr>
          <w:ilvl w:val="0"/>
          <w:numId w:val="6"/>
        </w:numPr>
        <w:ind w:firstLineChars="0"/>
      </w:pPr>
      <w:r>
        <w:rPr>
          <w:rFonts w:hint="eastAsia"/>
        </w:rPr>
        <w:t xml:space="preserve">Case 2: If a MAC PDU can </w:t>
      </w:r>
      <w:r>
        <w:t>accommodate</w:t>
      </w:r>
      <w:r>
        <w:rPr>
          <w:rFonts w:hint="eastAsia"/>
        </w:rPr>
        <w:t xml:space="preserve"> all the available data, all pending BSRs should be cancelled.</w:t>
      </w:r>
    </w:p>
    <w:p w:rsidR="00401278" w:rsidRDefault="00401278" w:rsidP="00543BFD">
      <w:pPr>
        <w:jc w:val="both"/>
      </w:pPr>
      <w:r>
        <w:rPr>
          <w:rFonts w:hint="eastAsia"/>
        </w:rPr>
        <w:t>As long as the reported BSR is not truncated, gNB can know the entire buffer state of the UE so that all the pending BSR</w:t>
      </w:r>
      <w:r w:rsidR="0031444D">
        <w:t>s</w:t>
      </w:r>
      <w:r>
        <w:rPr>
          <w:rFonts w:hint="eastAsia"/>
        </w:rPr>
        <w:t xml:space="preserve"> can be cancelled. In NR, we think the regular and periodic BSR should not be truncated</w:t>
      </w:r>
      <w:r w:rsidR="006904C9">
        <w:rPr>
          <w:rFonts w:eastAsiaTheme="minorEastAsia" w:hint="eastAsia"/>
          <w:lang w:eastAsia="zh-CN"/>
        </w:rPr>
        <w:t xml:space="preserve"> (including all LCGs with data available for transmission)</w:t>
      </w:r>
      <w:r>
        <w:rPr>
          <w:rFonts w:hint="eastAsia"/>
        </w:rPr>
        <w:t xml:space="preserve">. If there is regular and periodic BSR pending, UE can leave enough room for BSR MAC CE </w:t>
      </w:r>
      <w:r w:rsidR="00D67697">
        <w:t>when</w:t>
      </w:r>
      <w:r w:rsidR="00D67697">
        <w:rPr>
          <w:rFonts w:hint="eastAsia"/>
        </w:rPr>
        <w:t xml:space="preserve"> </w:t>
      </w:r>
      <w:r>
        <w:rPr>
          <w:rFonts w:hint="eastAsia"/>
        </w:rPr>
        <w:t xml:space="preserve">processing the MAC PDU. </w:t>
      </w:r>
      <w:r w:rsidR="00F478D9">
        <w:t xml:space="preserve">Note this does not necessarily imply the format of the regular and periodic BSRs is fixed to its maximum size. In </w:t>
      </w:r>
      <w:r w:rsidR="00B41C6A">
        <w:fldChar w:fldCharType="begin"/>
      </w:r>
      <w:r w:rsidR="00F478D9">
        <w:instrText xml:space="preserve"> REF _Ref483643285 \r \h </w:instrText>
      </w:r>
      <w:r w:rsidR="00B41C6A">
        <w:fldChar w:fldCharType="separate"/>
      </w:r>
      <w:r w:rsidR="00F478D9">
        <w:t xml:space="preserve">[1] </w:t>
      </w:r>
      <w:r w:rsidR="00B41C6A">
        <w:fldChar w:fldCharType="end"/>
      </w:r>
      <w:r w:rsidR="00F478D9">
        <w:t>we propose a variable-size MAC CE format for BSR</w:t>
      </w:r>
      <w:r w:rsidR="0031444D">
        <w:t>.</w:t>
      </w:r>
      <w:r w:rsidR="00F478D9">
        <w:t xml:space="preserve"> </w:t>
      </w:r>
      <w:r>
        <w:rPr>
          <w:rFonts w:hint="eastAsia"/>
        </w:rPr>
        <w:t xml:space="preserve">The </w:t>
      </w:r>
      <w:r>
        <w:t>padding</w:t>
      </w:r>
      <w:r>
        <w:rPr>
          <w:rFonts w:hint="eastAsia"/>
        </w:rPr>
        <w:t xml:space="preserve"> BSR could be truncated since it depends on how may spare room is left after all pending data is involved in the MAC PDU. In this light, the first case of BSR cancellation can be applied in NR. </w:t>
      </w:r>
    </w:p>
    <w:p w:rsidR="00401278" w:rsidRDefault="005506F0" w:rsidP="00543BFD">
      <w:pPr>
        <w:jc w:val="both"/>
      </w:pPr>
      <w:r>
        <w:t>And, same as LTE, i</w:t>
      </w:r>
      <w:r w:rsidR="00401278">
        <w:rPr>
          <w:rFonts w:hint="eastAsia"/>
        </w:rPr>
        <w:t xml:space="preserve">f all the pending data can be transmitted using the UL grant, all the </w:t>
      </w:r>
      <w:r>
        <w:t>pending BSRs should be cancelled.</w:t>
      </w:r>
    </w:p>
    <w:p w:rsidR="00401278" w:rsidRPr="002A7DC2" w:rsidRDefault="00401278" w:rsidP="00543BFD">
      <w:pPr>
        <w:jc w:val="both"/>
        <w:rPr>
          <w:rFonts w:eastAsiaTheme="minorEastAsia"/>
          <w:b/>
          <w:lang w:eastAsia="zh-CN"/>
        </w:rPr>
      </w:pPr>
      <w:r w:rsidRPr="00543BFD">
        <w:rPr>
          <w:rFonts w:hint="eastAsia"/>
          <w:b/>
        </w:rPr>
        <w:t xml:space="preserve">Proposal 3: </w:t>
      </w:r>
      <w:r w:rsidR="002A7DC2">
        <w:rPr>
          <w:rFonts w:eastAsiaTheme="minorEastAsia" w:hint="eastAsia"/>
          <w:b/>
          <w:lang w:eastAsia="zh-CN"/>
        </w:rPr>
        <w:t xml:space="preserve"> The regular and periodic BSR</w:t>
      </w:r>
      <w:r w:rsidR="000261DC">
        <w:rPr>
          <w:rFonts w:eastAsiaTheme="minorEastAsia" w:hint="eastAsia"/>
          <w:b/>
          <w:lang w:eastAsia="zh-CN"/>
        </w:rPr>
        <w:t xml:space="preserve"> reporting</w:t>
      </w:r>
      <w:r w:rsidR="002A7DC2">
        <w:rPr>
          <w:rFonts w:eastAsiaTheme="minorEastAsia" w:hint="eastAsia"/>
          <w:b/>
          <w:lang w:eastAsia="zh-CN"/>
        </w:rPr>
        <w:t xml:space="preserve"> </w:t>
      </w:r>
      <w:r w:rsidR="002A7DC2">
        <w:rPr>
          <w:rFonts w:eastAsiaTheme="minorEastAsia"/>
          <w:b/>
          <w:lang w:eastAsia="zh-CN"/>
        </w:rPr>
        <w:t>should</w:t>
      </w:r>
      <w:r w:rsidR="002A7DC2">
        <w:rPr>
          <w:rFonts w:eastAsiaTheme="minorEastAsia" w:hint="eastAsia"/>
          <w:b/>
          <w:lang w:eastAsia="zh-CN"/>
        </w:rPr>
        <w:t xml:space="preserve"> include buffer state of all LCG</w:t>
      </w:r>
      <w:r w:rsidR="000261DC">
        <w:rPr>
          <w:rFonts w:eastAsiaTheme="minorEastAsia" w:hint="eastAsia"/>
          <w:b/>
          <w:lang w:eastAsia="zh-CN"/>
        </w:rPr>
        <w:t>(s)</w:t>
      </w:r>
      <w:r w:rsidR="002A7DC2">
        <w:rPr>
          <w:rFonts w:eastAsiaTheme="minorEastAsia" w:hint="eastAsia"/>
          <w:b/>
          <w:lang w:eastAsia="zh-CN"/>
        </w:rPr>
        <w:t xml:space="preserve"> with data available for transmission.</w:t>
      </w:r>
    </w:p>
    <w:p w:rsidR="00401278" w:rsidRPr="00543BFD" w:rsidRDefault="00401278" w:rsidP="00543BFD">
      <w:pPr>
        <w:jc w:val="both"/>
        <w:rPr>
          <w:b/>
        </w:rPr>
      </w:pPr>
      <w:r w:rsidRPr="00543BFD">
        <w:rPr>
          <w:rFonts w:hint="eastAsia"/>
          <w:b/>
        </w:rPr>
        <w:lastRenderedPageBreak/>
        <w:t xml:space="preserve">Proposal 4: If a BSR MAC CE is transmitted in MAC PDU (except </w:t>
      </w:r>
      <w:r w:rsidRPr="00543BFD">
        <w:rPr>
          <w:b/>
        </w:rPr>
        <w:t>padding</w:t>
      </w:r>
      <w:r w:rsidRPr="00543BFD">
        <w:rPr>
          <w:rFonts w:hint="eastAsia"/>
          <w:b/>
        </w:rPr>
        <w:t xml:space="preserve"> BSR MAC CE), all pending BSRs should be cancelled.</w:t>
      </w:r>
    </w:p>
    <w:p w:rsidR="00401278" w:rsidRPr="00CD37B0" w:rsidRDefault="00401278" w:rsidP="00543BFD">
      <w:pPr>
        <w:jc w:val="both"/>
        <w:rPr>
          <w:b/>
        </w:rPr>
      </w:pPr>
      <w:r w:rsidRPr="00543BFD">
        <w:rPr>
          <w:rFonts w:hint="eastAsia"/>
          <w:b/>
        </w:rPr>
        <w:t>Proposal 5: If a</w:t>
      </w:r>
      <w:r w:rsidR="005506F0">
        <w:rPr>
          <w:b/>
        </w:rPr>
        <w:t>n</w:t>
      </w:r>
      <w:r w:rsidRPr="00543BFD">
        <w:rPr>
          <w:rFonts w:hint="eastAsia"/>
          <w:b/>
        </w:rPr>
        <w:t xml:space="preserve"> UL grant can </w:t>
      </w:r>
      <w:r w:rsidRPr="00543BFD">
        <w:rPr>
          <w:b/>
        </w:rPr>
        <w:t>accommodate</w:t>
      </w:r>
      <w:r w:rsidRPr="00543BFD">
        <w:rPr>
          <w:rFonts w:hint="eastAsia"/>
          <w:b/>
        </w:rPr>
        <w:t xml:space="preserve"> all the available data pending for transmission, all pending BSRs should be cancelled.</w:t>
      </w:r>
    </w:p>
    <w:p w:rsidR="00061C19" w:rsidRPr="00061C19" w:rsidRDefault="00061C19" w:rsidP="00543BFD">
      <w:pPr>
        <w:pStyle w:val="Heading1"/>
        <w:jc w:val="both"/>
        <w:rPr>
          <w:szCs w:val="28"/>
        </w:rPr>
      </w:pPr>
      <w:r w:rsidRPr="00061C19">
        <w:rPr>
          <w:rFonts w:hint="eastAsia"/>
          <w:szCs w:val="28"/>
        </w:rPr>
        <w:t>Proposals</w:t>
      </w:r>
    </w:p>
    <w:p w:rsidR="00061C19" w:rsidRDefault="00956F71" w:rsidP="00543BFD">
      <w:pPr>
        <w:pStyle w:val="BodyText"/>
        <w:jc w:val="both"/>
        <w:rPr>
          <w:rFonts w:eastAsiaTheme="minorEastAsia"/>
          <w:b/>
          <w:lang w:eastAsia="zh-CN"/>
        </w:rPr>
      </w:pPr>
      <w:r w:rsidRPr="004C0E59">
        <w:rPr>
          <w:rFonts w:hint="eastAsia"/>
          <w:b/>
        </w:rPr>
        <w:t xml:space="preserve">Proposal 1: </w:t>
      </w:r>
      <w:r>
        <w:rPr>
          <w:rFonts w:hint="eastAsia"/>
          <w:b/>
        </w:rPr>
        <w:t>The LCHs mapped to the similar/same TTI/numerology (transmission profile) are grouped into one LCG by gNB. Based on this, BSR can distinguish the TTI/numerology information.</w:t>
      </w:r>
    </w:p>
    <w:p w:rsidR="00956F71" w:rsidRDefault="00956F71" w:rsidP="00543BFD">
      <w:pPr>
        <w:pStyle w:val="BodyText"/>
        <w:jc w:val="both"/>
        <w:rPr>
          <w:rFonts w:eastAsiaTheme="minorEastAsia"/>
          <w:b/>
          <w:lang w:eastAsia="zh-CN"/>
        </w:rPr>
      </w:pPr>
      <w:r w:rsidRPr="007F6A59">
        <w:rPr>
          <w:rFonts w:hint="eastAsia"/>
          <w:b/>
        </w:rPr>
        <w:t xml:space="preserve">Proposal 2: If UE has multiple UL grants, it can involve </w:t>
      </w:r>
      <w:r>
        <w:rPr>
          <w:rFonts w:eastAsiaTheme="minorEastAsia" w:hint="eastAsia"/>
          <w:b/>
          <w:lang w:eastAsia="zh-CN"/>
        </w:rPr>
        <w:t>regular or periodic</w:t>
      </w:r>
      <w:r w:rsidRPr="007F6A59">
        <w:rPr>
          <w:rFonts w:hint="eastAsia"/>
          <w:b/>
        </w:rPr>
        <w:t xml:space="preserve"> BSR in one of the MAC PDU transmitted at the same time. This is left to UE implementation.</w:t>
      </w:r>
    </w:p>
    <w:p w:rsidR="00956F71" w:rsidRPr="002A7DC2" w:rsidRDefault="00956F71" w:rsidP="00956F71">
      <w:pPr>
        <w:jc w:val="both"/>
        <w:rPr>
          <w:rFonts w:eastAsiaTheme="minorEastAsia"/>
          <w:b/>
          <w:lang w:eastAsia="zh-CN"/>
        </w:rPr>
      </w:pPr>
      <w:r w:rsidRPr="00543BFD">
        <w:rPr>
          <w:rFonts w:hint="eastAsia"/>
          <w:b/>
        </w:rPr>
        <w:t xml:space="preserve">Proposal 3: </w:t>
      </w:r>
      <w:r>
        <w:rPr>
          <w:rFonts w:eastAsiaTheme="minorEastAsia" w:hint="eastAsia"/>
          <w:b/>
          <w:lang w:eastAsia="zh-CN"/>
        </w:rPr>
        <w:t xml:space="preserve"> The regular and periodic BSR reporting </w:t>
      </w:r>
      <w:r>
        <w:rPr>
          <w:rFonts w:eastAsiaTheme="minorEastAsia"/>
          <w:b/>
          <w:lang w:eastAsia="zh-CN"/>
        </w:rPr>
        <w:t>should</w:t>
      </w:r>
      <w:r>
        <w:rPr>
          <w:rFonts w:eastAsiaTheme="minorEastAsia" w:hint="eastAsia"/>
          <w:b/>
          <w:lang w:eastAsia="zh-CN"/>
        </w:rPr>
        <w:t xml:space="preserve"> include buffer state of all LCG(s) with data available for transmission.</w:t>
      </w:r>
    </w:p>
    <w:p w:rsidR="00956F71" w:rsidRPr="00543BFD" w:rsidRDefault="00956F71" w:rsidP="00956F71">
      <w:pPr>
        <w:jc w:val="both"/>
        <w:rPr>
          <w:b/>
        </w:rPr>
      </w:pPr>
      <w:r w:rsidRPr="00543BFD">
        <w:rPr>
          <w:rFonts w:hint="eastAsia"/>
          <w:b/>
        </w:rPr>
        <w:t xml:space="preserve">Proposal 4: If a BSR MAC CE is transmitted in MAC PDU (except </w:t>
      </w:r>
      <w:r w:rsidRPr="00543BFD">
        <w:rPr>
          <w:b/>
        </w:rPr>
        <w:t>padding</w:t>
      </w:r>
      <w:r w:rsidRPr="00543BFD">
        <w:rPr>
          <w:rFonts w:hint="eastAsia"/>
          <w:b/>
        </w:rPr>
        <w:t xml:space="preserve"> BSR MAC CE), all pending BSRs should be cancelled.</w:t>
      </w:r>
    </w:p>
    <w:p w:rsidR="00956F71" w:rsidRPr="00956F71" w:rsidRDefault="00956F71" w:rsidP="00956F71">
      <w:pPr>
        <w:pStyle w:val="BodyText"/>
        <w:jc w:val="both"/>
        <w:rPr>
          <w:rFonts w:eastAsiaTheme="minorEastAsia"/>
          <w:b/>
          <w:lang w:eastAsia="zh-CN"/>
        </w:rPr>
      </w:pPr>
      <w:r w:rsidRPr="00543BFD">
        <w:rPr>
          <w:rFonts w:hint="eastAsia"/>
          <w:b/>
        </w:rPr>
        <w:t>Proposal 5: If a</w:t>
      </w:r>
      <w:r>
        <w:rPr>
          <w:b/>
        </w:rPr>
        <w:t>n</w:t>
      </w:r>
      <w:r w:rsidRPr="00543BFD">
        <w:rPr>
          <w:rFonts w:hint="eastAsia"/>
          <w:b/>
        </w:rPr>
        <w:t xml:space="preserve"> UL grant can </w:t>
      </w:r>
      <w:r w:rsidRPr="00543BFD">
        <w:rPr>
          <w:b/>
        </w:rPr>
        <w:t>accommodate</w:t>
      </w:r>
      <w:r w:rsidRPr="00543BFD">
        <w:rPr>
          <w:rFonts w:hint="eastAsia"/>
          <w:b/>
        </w:rPr>
        <w:t xml:space="preserve"> all the available data pending for transmission, all pending BSRs should be cancelled.</w:t>
      </w:r>
    </w:p>
    <w:p w:rsidR="00F478D9" w:rsidRPr="00061C19" w:rsidRDefault="00F478D9" w:rsidP="00F478D9">
      <w:pPr>
        <w:pStyle w:val="Heading1"/>
        <w:jc w:val="both"/>
        <w:rPr>
          <w:szCs w:val="28"/>
        </w:rPr>
      </w:pPr>
      <w:r>
        <w:rPr>
          <w:szCs w:val="28"/>
        </w:rPr>
        <w:t>Reference</w:t>
      </w:r>
      <w:r w:rsidRPr="00061C19">
        <w:rPr>
          <w:rFonts w:hint="eastAsia"/>
          <w:szCs w:val="28"/>
        </w:rPr>
        <w:t>s</w:t>
      </w:r>
    </w:p>
    <w:p w:rsidR="00064F40" w:rsidRPr="00064F40" w:rsidRDefault="00064F40" w:rsidP="00064F40">
      <w:pPr>
        <w:pStyle w:val="BodyText"/>
        <w:numPr>
          <w:ilvl w:val="0"/>
          <w:numId w:val="8"/>
        </w:numPr>
        <w:jc w:val="both"/>
        <w:rPr>
          <w:rFonts w:eastAsia="宋体"/>
          <w:lang w:val="en-GB" w:eastAsia="zh-CN"/>
        </w:rPr>
      </w:pPr>
      <w:bookmarkStart w:id="3" w:name="_Ref483643285"/>
      <w:r>
        <w:rPr>
          <w:rFonts w:eastAsia="宋体"/>
          <w:lang w:val="en-GB" w:eastAsia="zh-CN"/>
        </w:rPr>
        <w:t>R2-170</w:t>
      </w:r>
      <w:r w:rsidR="00E40E20">
        <w:rPr>
          <w:rFonts w:eastAsia="宋体"/>
          <w:lang w:val="en-GB" w:eastAsia="zh-CN"/>
        </w:rPr>
        <w:t>7920</w:t>
      </w:r>
      <w:r>
        <w:rPr>
          <w:rFonts w:eastAsia="宋体"/>
          <w:lang w:val="en-GB" w:eastAsia="zh-CN"/>
        </w:rPr>
        <w:t xml:space="preserve"> BSR MAC CE format, CATT</w:t>
      </w:r>
      <w:bookmarkEnd w:id="3"/>
    </w:p>
    <w:p w:rsidR="002A15EC" w:rsidRPr="002A15EC" w:rsidRDefault="006904C9" w:rsidP="002A15EC">
      <w:pPr>
        <w:pStyle w:val="BodyText"/>
        <w:numPr>
          <w:ilvl w:val="0"/>
          <w:numId w:val="8"/>
        </w:numPr>
        <w:jc w:val="both"/>
        <w:rPr>
          <w:rFonts w:eastAsia="宋体"/>
          <w:lang w:val="en-GB" w:eastAsia="zh-CN"/>
        </w:rPr>
      </w:pPr>
      <w:r>
        <w:rPr>
          <w:lang w:val="en-GB"/>
        </w:rPr>
        <w:t>R2-1704030</w:t>
      </w:r>
      <w:r>
        <w:rPr>
          <w:rFonts w:eastAsiaTheme="minorEastAsia" w:hint="eastAsia"/>
          <w:lang w:val="en-GB" w:eastAsia="zh-CN"/>
        </w:rPr>
        <w:t xml:space="preserve"> </w:t>
      </w:r>
      <w:r w:rsidRPr="001A62B2">
        <w:t xml:space="preserve">Report from </w:t>
      </w:r>
      <w:r>
        <w:t>NR/</w:t>
      </w:r>
      <w:r w:rsidRPr="001A62B2">
        <w:t>LTE Break-Out Session</w:t>
      </w:r>
    </w:p>
    <w:p w:rsidR="004F5B1B" w:rsidRPr="00064F40" w:rsidRDefault="006904C9">
      <w:pPr>
        <w:pStyle w:val="BodyText"/>
        <w:numPr>
          <w:ilvl w:val="0"/>
          <w:numId w:val="8"/>
        </w:numPr>
        <w:jc w:val="both"/>
        <w:rPr>
          <w:rFonts w:eastAsia="宋体"/>
          <w:lang w:val="en-GB" w:eastAsia="zh-CN"/>
        </w:rPr>
      </w:pPr>
      <w:r>
        <w:rPr>
          <w:lang w:val="en-GB"/>
        </w:rPr>
        <w:t>R2-1707500</w:t>
      </w:r>
      <w:r>
        <w:rPr>
          <w:rFonts w:eastAsiaTheme="minorEastAsia" w:hint="eastAsia"/>
          <w:lang w:val="en-GB" w:eastAsia="zh-CN"/>
        </w:rPr>
        <w:t xml:space="preserve"> </w:t>
      </w:r>
      <w:r w:rsidRPr="001A62B2">
        <w:t xml:space="preserve">Report from </w:t>
      </w:r>
      <w:r>
        <w:t>NR User Plane Break-Out</w:t>
      </w:r>
      <w:r w:rsidRPr="001A62B2">
        <w:t xml:space="preserve"> Session</w:t>
      </w:r>
    </w:p>
    <w:p w:rsidR="00064F40" w:rsidRDefault="00064F40" w:rsidP="00064F40">
      <w:pPr>
        <w:pStyle w:val="BodyText"/>
        <w:jc w:val="both"/>
        <w:rPr>
          <w:rFonts w:eastAsia="宋体"/>
          <w:lang w:val="en-GB" w:eastAsia="zh-CN"/>
        </w:rPr>
      </w:pPr>
    </w:p>
    <w:sectPr w:rsidR="00064F40" w:rsidSect="008C1B0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48F" w:rsidRDefault="00E1148F" w:rsidP="001A4BB6">
      <w:r>
        <w:separator/>
      </w:r>
    </w:p>
  </w:endnote>
  <w:endnote w:type="continuationSeparator" w:id="0">
    <w:p w:rsidR="00E1148F" w:rsidRDefault="00E1148F" w:rsidP="001A4BB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6" w:rsidRDefault="001A4B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6" w:rsidRDefault="001A4BB6">
    <w:pPr>
      <w:pStyle w:val="Footer"/>
    </w:pPr>
    <w:r>
      <w:rPr>
        <w:rFonts w:eastAsia="宋体" w:hint="eastAsia"/>
        <w:lang w:val="en-GB" w:eastAsia="zh-CN"/>
      </w:rPr>
      <w:t>R2-</w:t>
    </w:r>
    <w:r w:rsidRPr="00F460FC">
      <w:rPr>
        <w:rFonts w:eastAsia="宋体"/>
        <w:lang w:val="en-GB" w:eastAsia="zh-CN"/>
      </w:rPr>
      <w:t>1707919</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6" w:rsidRDefault="001A4BB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48F" w:rsidRDefault="00E1148F" w:rsidP="001A4BB6">
      <w:r>
        <w:separator/>
      </w:r>
    </w:p>
  </w:footnote>
  <w:footnote w:type="continuationSeparator" w:id="0">
    <w:p w:rsidR="00E1148F" w:rsidRDefault="00E1148F" w:rsidP="001A4B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6" w:rsidRDefault="001A4B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6" w:rsidRDefault="001A4BB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BB6" w:rsidRDefault="001A4B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863159"/>
    <w:multiLevelType w:val="hybridMultilevel"/>
    <w:tmpl w:val="ADB68EF6"/>
    <w:lvl w:ilvl="0" w:tplc="10C6FCC4">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4A94377"/>
    <w:multiLevelType w:val="hybridMultilevel"/>
    <w:tmpl w:val="C0063B0A"/>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nsid w:val="7BED18BC"/>
    <w:multiLevelType w:val="multilevel"/>
    <w:tmpl w:val="1832ACAA"/>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4"/>
  </w:num>
  <w:num w:numId="3">
    <w:abstractNumId w:val="4"/>
  </w:num>
  <w:num w:numId="4">
    <w:abstractNumId w:val="4"/>
  </w:num>
  <w:num w:numId="5">
    <w:abstractNumId w:val="3"/>
  </w:num>
  <w:num w:numId="6">
    <w:abstractNumId w:val="0"/>
  </w:num>
  <w:num w:numId="7">
    <w:abstractNumId w:val="1"/>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D76DE"/>
    <w:rsid w:val="000169AC"/>
    <w:rsid w:val="000261DC"/>
    <w:rsid w:val="0003513E"/>
    <w:rsid w:val="00056E85"/>
    <w:rsid w:val="00061C19"/>
    <w:rsid w:val="00064F40"/>
    <w:rsid w:val="000C10CF"/>
    <w:rsid w:val="000E1EE2"/>
    <w:rsid w:val="000E242A"/>
    <w:rsid w:val="000F7C9E"/>
    <w:rsid w:val="00116D79"/>
    <w:rsid w:val="00130DC4"/>
    <w:rsid w:val="001A4BB6"/>
    <w:rsid w:val="001D06CD"/>
    <w:rsid w:val="002202BA"/>
    <w:rsid w:val="002505E4"/>
    <w:rsid w:val="0026012E"/>
    <w:rsid w:val="00260853"/>
    <w:rsid w:val="002A15EC"/>
    <w:rsid w:val="002A7DC2"/>
    <w:rsid w:val="002D1B49"/>
    <w:rsid w:val="002F6E3C"/>
    <w:rsid w:val="0031444D"/>
    <w:rsid w:val="003B4945"/>
    <w:rsid w:val="00401278"/>
    <w:rsid w:val="004223C3"/>
    <w:rsid w:val="0043725A"/>
    <w:rsid w:val="004F5B1B"/>
    <w:rsid w:val="00543BFD"/>
    <w:rsid w:val="005506F0"/>
    <w:rsid w:val="005D76DE"/>
    <w:rsid w:val="006244EB"/>
    <w:rsid w:val="0062642E"/>
    <w:rsid w:val="00654786"/>
    <w:rsid w:val="006904C9"/>
    <w:rsid w:val="006C5B84"/>
    <w:rsid w:val="006D3A52"/>
    <w:rsid w:val="006F228F"/>
    <w:rsid w:val="006F6330"/>
    <w:rsid w:val="0070695F"/>
    <w:rsid w:val="0075336E"/>
    <w:rsid w:val="00811C06"/>
    <w:rsid w:val="00814A13"/>
    <w:rsid w:val="00821D97"/>
    <w:rsid w:val="00830E9A"/>
    <w:rsid w:val="00832136"/>
    <w:rsid w:val="008B3BCC"/>
    <w:rsid w:val="008C1B01"/>
    <w:rsid w:val="00922CAE"/>
    <w:rsid w:val="00956F71"/>
    <w:rsid w:val="009E5129"/>
    <w:rsid w:val="00A32595"/>
    <w:rsid w:val="00AB5988"/>
    <w:rsid w:val="00B41C6A"/>
    <w:rsid w:val="00B4700F"/>
    <w:rsid w:val="00B723D4"/>
    <w:rsid w:val="00B81051"/>
    <w:rsid w:val="00C04121"/>
    <w:rsid w:val="00CB3B43"/>
    <w:rsid w:val="00D67697"/>
    <w:rsid w:val="00DC0796"/>
    <w:rsid w:val="00DD3855"/>
    <w:rsid w:val="00E1148F"/>
    <w:rsid w:val="00E11766"/>
    <w:rsid w:val="00E40E20"/>
    <w:rsid w:val="00E51965"/>
    <w:rsid w:val="00E94EDE"/>
    <w:rsid w:val="00E955B7"/>
    <w:rsid w:val="00EB144E"/>
    <w:rsid w:val="00ED7BE6"/>
    <w:rsid w:val="00F0742E"/>
    <w:rsid w:val="00F44400"/>
    <w:rsid w:val="00F460FC"/>
    <w:rsid w:val="00F478D9"/>
    <w:rsid w:val="00F572EA"/>
    <w:rsid w:val="00F6747B"/>
    <w:rsid w:val="00FB5A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6DE"/>
    <w:rPr>
      <w:rFonts w:ascii="Times New Roman" w:eastAsia="Times New Roman" w:hAnsi="Times New Roman" w:cs="Times New Roman"/>
      <w:kern w:val="0"/>
      <w:sz w:val="20"/>
      <w:szCs w:val="24"/>
      <w:lang w:eastAsia="en-US"/>
    </w:rPr>
  </w:style>
  <w:style w:type="paragraph" w:styleId="Heading1">
    <w:name w:val="heading 1"/>
    <w:basedOn w:val="Normal"/>
    <w:next w:val="BodyText"/>
    <w:link w:val="Heading1Char"/>
    <w:qFormat/>
    <w:rsid w:val="005D76DE"/>
    <w:pPr>
      <w:keepNext/>
      <w:numPr>
        <w:numId w:val="1"/>
      </w:numPr>
      <w:spacing w:before="360" w:after="120"/>
      <w:outlineLvl w:val="0"/>
    </w:pPr>
    <w:rPr>
      <w:rFonts w:ascii="Arial" w:eastAsia="宋体" w:hAnsi="Arial"/>
      <w:b/>
      <w:bCs/>
      <w:kern w:val="32"/>
      <w:sz w:val="28"/>
      <w:szCs w:val="32"/>
    </w:rPr>
  </w:style>
  <w:style w:type="paragraph" w:styleId="Heading2">
    <w:name w:val="heading 2"/>
    <w:basedOn w:val="Normal"/>
    <w:next w:val="BodyText"/>
    <w:link w:val="Heading2Char"/>
    <w:qFormat/>
    <w:rsid w:val="005D76DE"/>
    <w:pPr>
      <w:keepNext/>
      <w:numPr>
        <w:ilvl w:val="1"/>
        <w:numId w:val="1"/>
      </w:numPr>
      <w:spacing w:before="240" w:after="60"/>
      <w:outlineLvl w:val="1"/>
    </w:pPr>
    <w:rPr>
      <w:rFonts w:ascii="Arial" w:eastAsia="MS Mincho"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D76DE"/>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D76DE"/>
    <w:rPr>
      <w:rFonts w:ascii="Arial" w:eastAsia="宋体" w:hAnsi="Arial" w:cs="Times New Roman"/>
      <w:b/>
      <w:bCs/>
      <w:kern w:val="32"/>
      <w:sz w:val="28"/>
      <w:szCs w:val="32"/>
      <w:lang w:eastAsia="en-US"/>
    </w:rPr>
  </w:style>
  <w:style w:type="character" w:customStyle="1" w:styleId="Heading2Char">
    <w:name w:val="Heading 2 Char"/>
    <w:basedOn w:val="DefaultParagraphFont"/>
    <w:link w:val="Heading2"/>
    <w:rsid w:val="005D76DE"/>
    <w:rPr>
      <w:rFonts w:ascii="Arial" w:eastAsia="MS Mincho" w:hAnsi="Arial" w:cs="Arial"/>
      <w:b/>
      <w:bCs/>
      <w:iCs/>
      <w:kern w:val="0"/>
      <w:sz w:val="20"/>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76DE"/>
    <w:rPr>
      <w:rFonts w:ascii="Times New Roman" w:eastAsia="MS Mincho" w:hAnsi="Times New Roman" w:cs="Times New Roman"/>
      <w:b/>
      <w:bCs/>
      <w:kern w:val="0"/>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5D76DE"/>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D76DE"/>
    <w:rPr>
      <w:rFonts w:ascii="Arial" w:eastAsia="MS Mincho" w:hAnsi="Arial" w:cs="Times New Roman"/>
      <w:b/>
      <w:kern w:val="0"/>
      <w:sz w:val="20"/>
      <w:szCs w:val="24"/>
      <w:lang w:eastAsia="en-US"/>
    </w:rPr>
  </w:style>
  <w:style w:type="paragraph" w:styleId="BodyText">
    <w:name w:val="Body Text"/>
    <w:basedOn w:val="Normal"/>
    <w:link w:val="BodyTextChar"/>
    <w:uiPriority w:val="99"/>
    <w:unhideWhenUsed/>
    <w:rsid w:val="005D76DE"/>
    <w:pPr>
      <w:spacing w:after="120"/>
    </w:pPr>
  </w:style>
  <w:style w:type="character" w:customStyle="1" w:styleId="BodyTextChar">
    <w:name w:val="Body Text Char"/>
    <w:basedOn w:val="DefaultParagraphFont"/>
    <w:link w:val="BodyText"/>
    <w:uiPriority w:val="99"/>
    <w:rsid w:val="005D76DE"/>
    <w:rPr>
      <w:rFonts w:ascii="Times New Roman" w:eastAsia="Times New Roman" w:hAnsi="Times New Roman" w:cs="Times New Roman"/>
      <w:kern w:val="0"/>
      <w:sz w:val="20"/>
      <w:szCs w:val="24"/>
      <w:lang w:eastAsia="en-US"/>
    </w:rPr>
  </w:style>
  <w:style w:type="table" w:styleId="TableGrid">
    <w:name w:val="Table Grid"/>
    <w:basedOn w:val="TableNormal"/>
    <w:uiPriority w:val="59"/>
    <w:rsid w:val="005D76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01278"/>
    <w:rPr>
      <w:rFonts w:ascii="宋体" w:eastAsia="宋体"/>
      <w:sz w:val="18"/>
      <w:szCs w:val="18"/>
    </w:rPr>
  </w:style>
  <w:style w:type="character" w:customStyle="1" w:styleId="DocumentMapChar">
    <w:name w:val="Document Map Char"/>
    <w:basedOn w:val="DefaultParagraphFont"/>
    <w:link w:val="DocumentMap"/>
    <w:uiPriority w:val="99"/>
    <w:semiHidden/>
    <w:rsid w:val="00401278"/>
    <w:rPr>
      <w:rFonts w:ascii="宋体" w:eastAsia="宋体" w:hAnsi="Times New Roman" w:cs="Times New Roman"/>
      <w:kern w:val="0"/>
      <w:sz w:val="18"/>
      <w:szCs w:val="18"/>
      <w:lang w:eastAsia="en-US"/>
    </w:rPr>
  </w:style>
  <w:style w:type="paragraph" w:styleId="ListParagraph">
    <w:name w:val="List Paragraph"/>
    <w:basedOn w:val="Normal"/>
    <w:uiPriority w:val="34"/>
    <w:qFormat/>
    <w:rsid w:val="00401278"/>
    <w:pPr>
      <w:widowControl w:val="0"/>
      <w:ind w:firstLineChars="200" w:firstLine="420"/>
      <w:jc w:val="both"/>
    </w:pPr>
    <w:rPr>
      <w:rFonts w:asciiTheme="minorHAnsi" w:eastAsiaTheme="minorEastAsia" w:hAnsiTheme="minorHAnsi" w:cstheme="minorBidi"/>
      <w:kern w:val="2"/>
      <w:sz w:val="21"/>
      <w:szCs w:val="22"/>
      <w:lang w:eastAsia="zh-CN"/>
    </w:rPr>
  </w:style>
  <w:style w:type="paragraph" w:customStyle="1" w:styleId="Doc-text2">
    <w:name w:val="Doc-text2"/>
    <w:basedOn w:val="Normal"/>
    <w:link w:val="Doc-text2Char"/>
    <w:qFormat/>
    <w:rsid w:val="000F7C9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F7C9E"/>
    <w:rPr>
      <w:rFonts w:ascii="Arial" w:eastAsia="MS Mincho" w:hAnsi="Arial" w:cs="Times New Roman"/>
      <w:kern w:val="0"/>
      <w:sz w:val="20"/>
      <w:szCs w:val="24"/>
      <w:lang w:val="en-GB" w:eastAsia="en-GB"/>
    </w:rPr>
  </w:style>
  <w:style w:type="character" w:styleId="CommentReference">
    <w:name w:val="annotation reference"/>
    <w:basedOn w:val="DefaultParagraphFont"/>
    <w:uiPriority w:val="99"/>
    <w:semiHidden/>
    <w:unhideWhenUsed/>
    <w:rsid w:val="005506F0"/>
    <w:rPr>
      <w:sz w:val="16"/>
      <w:szCs w:val="16"/>
    </w:rPr>
  </w:style>
  <w:style w:type="paragraph" w:styleId="CommentText">
    <w:name w:val="annotation text"/>
    <w:basedOn w:val="Normal"/>
    <w:link w:val="CommentTextChar"/>
    <w:uiPriority w:val="99"/>
    <w:semiHidden/>
    <w:unhideWhenUsed/>
    <w:rsid w:val="005506F0"/>
    <w:rPr>
      <w:szCs w:val="20"/>
    </w:rPr>
  </w:style>
  <w:style w:type="character" w:customStyle="1" w:styleId="CommentTextChar">
    <w:name w:val="Comment Text Char"/>
    <w:basedOn w:val="DefaultParagraphFont"/>
    <w:link w:val="CommentText"/>
    <w:uiPriority w:val="99"/>
    <w:semiHidden/>
    <w:rsid w:val="005506F0"/>
    <w:rPr>
      <w:rFonts w:ascii="Times New Roman" w:eastAsia="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506F0"/>
    <w:rPr>
      <w:b/>
      <w:bCs/>
    </w:rPr>
  </w:style>
  <w:style w:type="character" w:customStyle="1" w:styleId="CommentSubjectChar">
    <w:name w:val="Comment Subject Char"/>
    <w:basedOn w:val="CommentTextChar"/>
    <w:link w:val="CommentSubject"/>
    <w:uiPriority w:val="99"/>
    <w:semiHidden/>
    <w:rsid w:val="005506F0"/>
    <w:rPr>
      <w:b/>
      <w:bCs/>
    </w:rPr>
  </w:style>
  <w:style w:type="paragraph" w:styleId="BalloonText">
    <w:name w:val="Balloon Text"/>
    <w:basedOn w:val="Normal"/>
    <w:link w:val="BalloonTextChar"/>
    <w:uiPriority w:val="99"/>
    <w:semiHidden/>
    <w:unhideWhenUsed/>
    <w:rsid w:val="005506F0"/>
    <w:rPr>
      <w:rFonts w:ascii="Tahoma" w:hAnsi="Tahoma" w:cs="Tahoma"/>
      <w:sz w:val="16"/>
      <w:szCs w:val="16"/>
    </w:rPr>
  </w:style>
  <w:style w:type="character" w:customStyle="1" w:styleId="BalloonTextChar">
    <w:name w:val="Balloon Text Char"/>
    <w:basedOn w:val="DefaultParagraphFont"/>
    <w:link w:val="BalloonText"/>
    <w:uiPriority w:val="99"/>
    <w:semiHidden/>
    <w:rsid w:val="005506F0"/>
    <w:rPr>
      <w:rFonts w:ascii="Tahoma" w:eastAsia="Times New Roman" w:hAnsi="Tahoma" w:cs="Tahoma"/>
      <w:kern w:val="0"/>
      <w:sz w:val="16"/>
      <w:szCs w:val="16"/>
      <w:lang w:eastAsia="en-US"/>
    </w:rPr>
  </w:style>
  <w:style w:type="paragraph" w:styleId="Footer">
    <w:name w:val="footer"/>
    <w:basedOn w:val="Normal"/>
    <w:link w:val="FooterChar"/>
    <w:uiPriority w:val="99"/>
    <w:semiHidden/>
    <w:unhideWhenUsed/>
    <w:rsid w:val="001A4BB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1A4BB6"/>
    <w:rPr>
      <w:rFonts w:ascii="Times New Roman" w:eastAsia="Times New Roman" w:hAnsi="Times New Roman" w:cs="Times New Roman"/>
      <w:kern w:val="0"/>
      <w:sz w:val="18"/>
      <w:szCs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1AB1C-5B95-46D1-B1FC-08D54B05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896</Words>
  <Characters>5111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Pierre Bertrand</cp:lastModifiedBy>
  <cp:revision>2</cp:revision>
  <dcterms:created xsi:type="dcterms:W3CDTF">2017-08-11T09:38:00Z</dcterms:created>
  <dcterms:modified xsi:type="dcterms:W3CDTF">2017-08-11T09:38:00Z</dcterms:modified>
</cp:coreProperties>
</file>