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8C3E" w14:textId="2C203666" w:rsidR="00161307" w:rsidRPr="00161307" w:rsidRDefault="00161307" w:rsidP="00161307">
      <w:pPr>
        <w:widowControl w:val="0"/>
        <w:tabs>
          <w:tab w:val="left" w:pos="1701"/>
          <w:tab w:val="right" w:pos="9923"/>
        </w:tabs>
        <w:spacing w:after="0"/>
        <w:jc w:val="left"/>
        <w:rPr>
          <w:rFonts w:ascii="Arial" w:eastAsia="MS Mincho" w:hAnsi="Arial"/>
          <w:b/>
          <w:sz w:val="24"/>
          <w:lang w:val="en-US" w:eastAsia="x-none"/>
        </w:rPr>
      </w:pPr>
      <w:r w:rsidRPr="00161307">
        <w:rPr>
          <w:rFonts w:ascii="Arial" w:eastAsia="MS Mincho" w:hAnsi="Arial"/>
          <w:b/>
          <w:sz w:val="24"/>
          <w:lang w:val="en-US" w:eastAsia="x-none"/>
        </w:rPr>
        <w:t>3GPP TSG-RAN WG2 Meeting #132</w:t>
      </w:r>
      <w:r w:rsidRPr="00161307">
        <w:rPr>
          <w:rFonts w:ascii="Arial" w:eastAsia="MS Mincho" w:hAnsi="Arial"/>
          <w:b/>
          <w:sz w:val="24"/>
          <w:lang w:val="en-US" w:eastAsia="x-none"/>
        </w:rPr>
        <w:tab/>
        <w:t>R2-250</w:t>
      </w:r>
      <w:r>
        <w:rPr>
          <w:rFonts w:ascii="Arial" w:eastAsia="MS Mincho" w:hAnsi="Arial"/>
          <w:b/>
          <w:sz w:val="24"/>
          <w:lang w:val="en-US" w:eastAsia="ja-JP"/>
        </w:rPr>
        <w:t>841</w:t>
      </w:r>
      <w:r w:rsidR="00FC4750">
        <w:rPr>
          <w:rFonts w:ascii="Arial" w:eastAsia="MS Mincho" w:hAnsi="Arial"/>
          <w:b/>
          <w:sz w:val="24"/>
          <w:lang w:val="en-US" w:eastAsia="ja-JP"/>
        </w:rPr>
        <w:t>5</w:t>
      </w:r>
    </w:p>
    <w:p w14:paraId="30E477BD" w14:textId="3237FF35" w:rsidR="00872D44" w:rsidRPr="00161307" w:rsidRDefault="00161307" w:rsidP="00161307">
      <w:pPr>
        <w:widowControl w:val="0"/>
        <w:tabs>
          <w:tab w:val="left" w:pos="1701"/>
          <w:tab w:val="right" w:pos="9923"/>
        </w:tabs>
        <w:spacing w:after="0"/>
        <w:jc w:val="left"/>
        <w:rPr>
          <w:rFonts w:ascii="Arial" w:eastAsia="MS Mincho" w:hAnsi="Arial"/>
          <w:b/>
          <w:sz w:val="24"/>
          <w:lang w:val="en-US" w:eastAsia="x-none"/>
        </w:rPr>
      </w:pPr>
      <w:r w:rsidRPr="00161307">
        <w:rPr>
          <w:rFonts w:ascii="Arial" w:eastAsia="MS Mincho" w:hAnsi="Arial"/>
          <w:b/>
          <w:sz w:val="24"/>
          <w:lang w:val="en-US" w:eastAsia="x-none"/>
        </w:rPr>
        <w:t>Dallas, USA, Nov. 17</w:t>
      </w:r>
      <w:r w:rsidRPr="00161307">
        <w:rPr>
          <w:rFonts w:ascii="Arial" w:eastAsia="MS Mincho" w:hAnsi="Arial"/>
          <w:b/>
          <w:sz w:val="24"/>
          <w:vertAlign w:val="superscript"/>
          <w:lang w:val="en-US" w:eastAsia="x-none"/>
        </w:rPr>
        <w:t>th</w:t>
      </w:r>
      <w:r w:rsidRPr="00161307">
        <w:rPr>
          <w:rFonts w:ascii="Arial" w:eastAsia="MS Mincho" w:hAnsi="Arial"/>
          <w:b/>
          <w:sz w:val="24"/>
          <w:lang w:val="en-US" w:eastAsia="x-none"/>
        </w:rPr>
        <w:t>-21</w:t>
      </w:r>
      <w:r w:rsidRPr="00161307">
        <w:rPr>
          <w:rFonts w:ascii="Arial" w:eastAsia="MS Mincho" w:hAnsi="Arial"/>
          <w:b/>
          <w:sz w:val="24"/>
          <w:vertAlign w:val="superscript"/>
          <w:lang w:val="en-US" w:eastAsia="x-none"/>
        </w:rPr>
        <w:t>st</w:t>
      </w:r>
      <w:r w:rsidRPr="00161307">
        <w:rPr>
          <w:rFonts w:ascii="Arial" w:eastAsia="MS Mincho" w:hAnsi="Arial"/>
          <w:b/>
          <w:sz w:val="24"/>
          <w:lang w:val="en-US" w:eastAsia="x-none"/>
        </w:rPr>
        <w:t xml:space="preserve">  </w:t>
      </w:r>
      <w:r w:rsidR="00F57AE8" w:rsidRPr="009D2DEF">
        <w:rPr>
          <w:b/>
          <w:lang w:val="en-US"/>
        </w:rPr>
        <w:tab/>
      </w:r>
    </w:p>
    <w:p w14:paraId="47D24CC0" w14:textId="77777777" w:rsidR="00FD0EF8" w:rsidRPr="009D2DEF" w:rsidRDefault="00FD0EF8" w:rsidP="00E05E6B">
      <w:pPr>
        <w:pBdr>
          <w:top w:val="single" w:sz="4" w:space="1" w:color="auto"/>
        </w:pBdr>
        <w:rPr>
          <w:b/>
          <w:kern w:val="2"/>
          <w:lang w:val="en-US" w:eastAsia="zh-CN"/>
        </w:rPr>
      </w:pPr>
    </w:p>
    <w:p w14:paraId="69D73957" w14:textId="77819E98" w:rsidR="00791306" w:rsidRPr="009D2DEF" w:rsidRDefault="00791306" w:rsidP="00E05E6B">
      <w:pPr>
        <w:spacing w:after="60"/>
        <w:ind w:left="1555" w:hanging="1555"/>
        <w:rPr>
          <w:b/>
          <w:kern w:val="2"/>
          <w:lang w:val="en-US" w:eastAsia="zh-CN"/>
        </w:rPr>
      </w:pPr>
      <w:r w:rsidRPr="009D2DEF">
        <w:rPr>
          <w:b/>
          <w:kern w:val="2"/>
          <w:lang w:val="en-US" w:eastAsia="zh-CN"/>
        </w:rPr>
        <w:t>Agenda Item:</w:t>
      </w:r>
      <w:r w:rsidRPr="009D2DEF">
        <w:rPr>
          <w:b/>
          <w:kern w:val="2"/>
          <w:lang w:val="en-US" w:eastAsia="zh-CN"/>
        </w:rPr>
        <w:tab/>
      </w:r>
      <w:r w:rsidR="00161307">
        <w:rPr>
          <w:b/>
          <w:kern w:val="2"/>
          <w:lang w:val="en-US" w:eastAsia="zh-CN"/>
        </w:rPr>
        <w:t>10.</w:t>
      </w:r>
      <w:r w:rsidR="00FC4750">
        <w:rPr>
          <w:b/>
          <w:kern w:val="2"/>
          <w:lang w:val="en-US" w:eastAsia="zh-CN"/>
        </w:rPr>
        <w:t>2.2</w:t>
      </w:r>
    </w:p>
    <w:p w14:paraId="00BFA569" w14:textId="77777777" w:rsidR="00791306" w:rsidRPr="009D2DEF" w:rsidRDefault="00791306" w:rsidP="00E05E6B">
      <w:pPr>
        <w:spacing w:after="60"/>
        <w:ind w:left="1555" w:hanging="1555"/>
        <w:rPr>
          <w:b/>
          <w:kern w:val="2"/>
          <w:lang w:val="en-US" w:eastAsia="zh-CN"/>
        </w:rPr>
      </w:pPr>
      <w:r w:rsidRPr="009D2DEF">
        <w:rPr>
          <w:b/>
          <w:kern w:val="2"/>
          <w:lang w:val="en-US" w:eastAsia="zh-CN"/>
        </w:rPr>
        <w:t>Source:</w:t>
      </w:r>
      <w:r w:rsidRPr="009D2DEF">
        <w:rPr>
          <w:b/>
          <w:kern w:val="2"/>
          <w:lang w:val="en-US" w:eastAsia="zh-CN"/>
        </w:rPr>
        <w:tab/>
      </w:r>
      <w:r w:rsidR="00204611" w:rsidRPr="009D2DEF">
        <w:rPr>
          <w:b/>
          <w:kern w:val="2"/>
          <w:lang w:val="en-US" w:eastAsia="zh-CN"/>
        </w:rPr>
        <w:t>Amazon</w:t>
      </w:r>
    </w:p>
    <w:p w14:paraId="533968B6" w14:textId="7F315303" w:rsidR="006E5D73" w:rsidRPr="009D2DEF" w:rsidRDefault="00791306" w:rsidP="00E05E6B">
      <w:pPr>
        <w:spacing w:after="60"/>
        <w:ind w:left="1555" w:hanging="1555"/>
        <w:rPr>
          <w:b/>
          <w:kern w:val="2"/>
          <w:lang w:val="en-US" w:eastAsia="zh-CN"/>
        </w:rPr>
      </w:pPr>
      <w:r w:rsidRPr="009D2DEF">
        <w:rPr>
          <w:b/>
          <w:kern w:val="2"/>
          <w:lang w:val="en-US" w:eastAsia="zh-CN"/>
        </w:rPr>
        <w:t>Title:</w:t>
      </w:r>
      <w:r w:rsidRPr="009D2DEF">
        <w:rPr>
          <w:b/>
          <w:kern w:val="2"/>
          <w:lang w:val="en-US" w:eastAsia="zh-CN"/>
        </w:rPr>
        <w:tab/>
      </w:r>
      <w:r w:rsidR="00161307" w:rsidRPr="00161307">
        <w:rPr>
          <w:b/>
          <w:kern w:val="2"/>
          <w:lang w:val="en-US" w:eastAsia="zh-CN"/>
        </w:rPr>
        <w:t xml:space="preserve">Overview of </w:t>
      </w:r>
      <w:r w:rsidR="00FC4750">
        <w:rPr>
          <w:b/>
          <w:kern w:val="2"/>
          <w:lang w:val="en-US" w:eastAsia="zh-CN"/>
        </w:rPr>
        <w:t>harmonized 6G Radio design for TN and NTN</w:t>
      </w:r>
    </w:p>
    <w:p w14:paraId="5C72F777" w14:textId="77777777" w:rsidR="00791306" w:rsidRPr="009D2DEF" w:rsidRDefault="00791306" w:rsidP="00E05E6B">
      <w:pPr>
        <w:spacing w:after="60"/>
        <w:ind w:left="1555" w:hanging="1555"/>
        <w:rPr>
          <w:b/>
          <w:kern w:val="2"/>
          <w:lang w:val="en-US" w:eastAsia="zh-CN"/>
        </w:rPr>
      </w:pPr>
      <w:r w:rsidRPr="009D2DEF">
        <w:rPr>
          <w:b/>
          <w:kern w:val="2"/>
          <w:lang w:val="en-US" w:eastAsia="zh-CN"/>
        </w:rPr>
        <w:t>Docum</w:t>
      </w:r>
      <w:r w:rsidR="00290422" w:rsidRPr="009D2DEF">
        <w:rPr>
          <w:b/>
          <w:kern w:val="2"/>
          <w:lang w:val="en-US" w:eastAsia="zh-CN"/>
        </w:rPr>
        <w:t>ent for:</w:t>
      </w:r>
      <w:r w:rsidR="00235140" w:rsidRPr="009D2DEF">
        <w:rPr>
          <w:b/>
          <w:kern w:val="2"/>
          <w:lang w:val="en-US" w:eastAsia="zh-CN"/>
        </w:rPr>
        <w:tab/>
        <w:t>Discussion</w:t>
      </w:r>
      <w:r w:rsidR="005802CD" w:rsidRPr="009D2DEF">
        <w:rPr>
          <w:b/>
          <w:kern w:val="2"/>
          <w:lang w:val="en-US" w:eastAsia="zh-CN"/>
        </w:rPr>
        <w:t xml:space="preserve"> and </w:t>
      </w:r>
      <w:r w:rsidR="000D516B" w:rsidRPr="009D2DEF">
        <w:rPr>
          <w:b/>
          <w:kern w:val="2"/>
          <w:lang w:val="en-US" w:eastAsia="zh-CN"/>
        </w:rPr>
        <w:t>Decision</w:t>
      </w:r>
    </w:p>
    <w:p w14:paraId="418C845F" w14:textId="77777777" w:rsidR="00791306" w:rsidRPr="009D2DEF" w:rsidRDefault="00791306" w:rsidP="00E05E6B">
      <w:pPr>
        <w:pBdr>
          <w:bottom w:val="single" w:sz="4" w:space="1" w:color="auto"/>
        </w:pBdr>
        <w:rPr>
          <w:b/>
          <w:sz w:val="16"/>
          <w:szCs w:val="16"/>
          <w:lang w:val="en-US"/>
        </w:rPr>
      </w:pPr>
    </w:p>
    <w:p w14:paraId="46BEF8D1" w14:textId="77777777" w:rsidR="00880CFD" w:rsidRPr="009D2DEF" w:rsidRDefault="00791306" w:rsidP="00880CFD">
      <w:pPr>
        <w:pStyle w:val="Heading1"/>
        <w:rPr>
          <w:lang w:val="en-US"/>
        </w:rPr>
      </w:pPr>
      <w:bookmarkStart w:id="0" w:name="_Ref124589705"/>
      <w:bookmarkStart w:id="1" w:name="_Ref129681862"/>
      <w:r w:rsidRPr="009D2DEF">
        <w:rPr>
          <w:lang w:val="en-US"/>
        </w:rPr>
        <w:t>Introduction</w:t>
      </w:r>
      <w:bookmarkEnd w:id="0"/>
      <w:bookmarkEnd w:id="1"/>
    </w:p>
    <w:p w14:paraId="275C4EA2" w14:textId="77777777" w:rsidR="00BF28E0" w:rsidRPr="009D2DEF" w:rsidRDefault="000D516B" w:rsidP="005C108E">
      <w:pPr>
        <w:rPr>
          <w:lang w:val="en-US"/>
        </w:rPr>
      </w:pPr>
      <w:r w:rsidRPr="009D2DEF">
        <w:rPr>
          <w:lang w:val="en-US"/>
        </w:rPr>
        <w:t>The 6G Radio Study Item was approved at the RAN#108 meeting (RP-251881) [1]. The main objectives are</w:t>
      </w:r>
      <w:r w:rsidR="000C7DEF" w:rsidRPr="009D2DEF">
        <w:rPr>
          <w:lang w:val="en-US"/>
        </w:rPr>
        <w:t>:</w:t>
      </w:r>
      <w:r w:rsidR="00A10FEA" w:rsidRPr="009D2DEF">
        <w:rPr>
          <w:lang w:val="en-US"/>
        </w:rPr>
        <w:t xml:space="preserve"> </w:t>
      </w:r>
    </w:p>
    <w:tbl>
      <w:tblPr>
        <w:tblStyle w:val="TableGrid"/>
        <w:tblW w:w="0" w:type="auto"/>
        <w:tblLook w:val="04A0" w:firstRow="1" w:lastRow="0" w:firstColumn="1" w:lastColumn="0" w:noHBand="0" w:noVBand="1"/>
      </w:tblPr>
      <w:tblGrid>
        <w:gridCol w:w="9061"/>
      </w:tblGrid>
      <w:tr w:rsidR="00BF28E0" w:rsidRPr="009D2DEF" w14:paraId="1321EE5B" w14:textId="77777777" w:rsidTr="00BF28E0">
        <w:tc>
          <w:tcPr>
            <w:tcW w:w="9061" w:type="dxa"/>
          </w:tcPr>
          <w:p w14:paraId="1B415520" w14:textId="77777777" w:rsidR="006B4DC3" w:rsidRPr="009D2DEF" w:rsidRDefault="006B4DC3" w:rsidP="006B4DC3">
            <w:pPr>
              <w:numPr>
                <w:ilvl w:val="0"/>
                <w:numId w:val="22"/>
              </w:numPr>
              <w:autoSpaceDE/>
              <w:autoSpaceDN/>
              <w:adjustRightInd/>
              <w:snapToGrid w:val="0"/>
              <w:spacing w:before="0" w:after="0"/>
              <w:jc w:val="left"/>
              <w:rPr>
                <w:lang w:val="en-US"/>
              </w:rPr>
            </w:pPr>
            <w:r w:rsidRPr="009D2DEF">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6B6FE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Ensuring appropriate set of functionalities, minimize the adoption of multiple options for the same functionality, avoid excessive configurations, excessive UE capabilities and UE capabilities reporting.</w:t>
            </w:r>
          </w:p>
          <w:p w14:paraId="18B11BD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Energy efficiency and energy saving: both for network and device.</w:t>
            </w:r>
          </w:p>
          <w:p w14:paraId="5D857A37"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 xml:space="preserve">Enhanced spectral efficiency. </w:t>
            </w:r>
          </w:p>
          <w:p w14:paraId="64AE86E4"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Enhanced overall coverage, focus on cell-edge performance and UL coverage.</w:t>
            </w:r>
          </w:p>
          <w:p w14:paraId="1679BCC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Wider channel bandwidth (at least 200MHz) support for 6G deployments at least above 2 GHz, around 7 GHz.</w:t>
            </w:r>
          </w:p>
          <w:p w14:paraId="574C2A5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Re-use of existing 5G mid-band (~3.5GHz) site grid for 6G deployments in at least around 7 GHz and targeting comparable coverage to 5G mid-band.</w:t>
            </w:r>
          </w:p>
          <w:p w14:paraId="2000EB61"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Target scalable and forward compatible design for diverse device types.</w:t>
            </w:r>
          </w:p>
          <w:p w14:paraId="5E529C50"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Improved spectrum utilization and operations taking into account diverse spectrum allocations.</w:t>
            </w:r>
          </w:p>
          <w:p w14:paraId="22438C1F"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Aim at using common 6G Radio design, which meets mobile broadband service requirements as high priority, to also meet vertical needs.</w:t>
            </w:r>
          </w:p>
          <w:p w14:paraId="146339B0" w14:textId="77777777" w:rsidR="006B4DC3" w:rsidRPr="004F53A6" w:rsidRDefault="006B4DC3" w:rsidP="006B4DC3">
            <w:pPr>
              <w:numPr>
                <w:ilvl w:val="1"/>
                <w:numId w:val="23"/>
              </w:numPr>
              <w:autoSpaceDE/>
              <w:autoSpaceDN/>
              <w:adjustRightInd/>
              <w:snapToGrid w:val="0"/>
              <w:spacing w:before="0" w:after="0"/>
              <w:jc w:val="left"/>
              <w:rPr>
                <w:lang w:val="en-US"/>
              </w:rPr>
            </w:pPr>
            <w:r w:rsidRPr="004F53A6">
              <w:rPr>
                <w:lang w:val="en-US"/>
              </w:rPr>
              <w:t>Aim at a harmonized 6G Radio design for TN and NTN, including their integration.</w:t>
            </w:r>
          </w:p>
          <w:p w14:paraId="3DA8BFCC"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System simplification, including reducing configuration complexity, enabling more efficient Cell/UE management, etc.</w:t>
            </w:r>
          </w:p>
          <w:p w14:paraId="0DD2CB0E" w14:textId="77777777" w:rsidR="006B4DC3" w:rsidRPr="009D2DEF" w:rsidRDefault="006B4DC3" w:rsidP="006B4DC3">
            <w:pPr>
              <w:autoSpaceDE/>
              <w:autoSpaceDN/>
              <w:adjustRightInd/>
              <w:snapToGrid w:val="0"/>
              <w:spacing w:after="0"/>
              <w:ind w:left="1080"/>
              <w:rPr>
                <w:lang w:val="en-US"/>
              </w:rPr>
            </w:pPr>
            <w:r w:rsidRPr="009D2DEF">
              <w:rPr>
                <w:lang w:val="en-US"/>
              </w:rPr>
              <w:t>Note1: the term stand-alone architecture does not imply any particular Core network architecture, which is up to SA2 discussion.</w:t>
            </w:r>
          </w:p>
          <w:p w14:paraId="6AC498AC" w14:textId="77777777" w:rsidR="00236F98" w:rsidRPr="009D2DEF" w:rsidRDefault="00236F98" w:rsidP="00236F98">
            <w:pPr>
              <w:overflowPunct w:val="0"/>
              <w:spacing w:after="0"/>
              <w:textAlignment w:val="baseline"/>
              <w:rPr>
                <w:szCs w:val="16"/>
                <w:lang w:val="en-US"/>
              </w:rPr>
            </w:pPr>
          </w:p>
        </w:tc>
      </w:tr>
    </w:tbl>
    <w:p w14:paraId="4EC7E514" w14:textId="47AB339A" w:rsidR="00A1416A" w:rsidRDefault="00A1416A" w:rsidP="00D70973">
      <w:pPr>
        <w:rPr>
          <w:rFonts w:eastAsia="DengXian"/>
          <w:iCs/>
          <w:lang w:val="en-US"/>
        </w:rPr>
      </w:pPr>
    </w:p>
    <w:p w14:paraId="01F12649" w14:textId="7642DDB7" w:rsidR="001431AE" w:rsidRPr="009D2DEF" w:rsidRDefault="001431AE" w:rsidP="00D70973">
      <w:pPr>
        <w:rPr>
          <w:rFonts w:eastAsia="DengXian"/>
          <w:iCs/>
          <w:lang w:val="en-US"/>
        </w:rPr>
      </w:pPr>
      <w:r>
        <w:rPr>
          <w:rFonts w:eastAsia="DengXian"/>
          <w:iCs/>
          <w:lang w:val="en-US"/>
        </w:rPr>
        <w:t xml:space="preserve">This document provides an overview of </w:t>
      </w:r>
      <w:r w:rsidR="00FC4750">
        <w:rPr>
          <w:rFonts w:eastAsia="DengXian"/>
          <w:iCs/>
          <w:lang w:val="en-US"/>
        </w:rPr>
        <w:t xml:space="preserve">harmonized </w:t>
      </w:r>
      <w:r>
        <w:rPr>
          <w:rFonts w:eastAsia="DengXian"/>
          <w:iCs/>
          <w:lang w:val="en-US"/>
        </w:rPr>
        <w:t xml:space="preserve">6GR </w:t>
      </w:r>
      <w:r w:rsidR="00FC4750">
        <w:rPr>
          <w:rFonts w:eastAsia="DengXian"/>
          <w:iCs/>
          <w:lang w:val="en-US"/>
        </w:rPr>
        <w:t>NTN/TN</w:t>
      </w:r>
      <w:r>
        <w:rPr>
          <w:rFonts w:eastAsia="DengXian"/>
          <w:iCs/>
          <w:lang w:val="en-US"/>
        </w:rPr>
        <w:t xml:space="preserve"> </w:t>
      </w:r>
      <w:r w:rsidR="00FC4750">
        <w:rPr>
          <w:rFonts w:eastAsia="DengXian"/>
          <w:iCs/>
          <w:lang w:val="en-US"/>
        </w:rPr>
        <w:t>air interface design</w:t>
      </w:r>
      <w:r>
        <w:rPr>
          <w:rFonts w:eastAsia="DengXian"/>
          <w:iCs/>
          <w:lang w:val="en-US"/>
        </w:rPr>
        <w:t xml:space="preserve"> requirements.</w:t>
      </w:r>
    </w:p>
    <w:p w14:paraId="65AC030F" w14:textId="77777777" w:rsidR="0075335A" w:rsidRPr="009D2DEF" w:rsidRDefault="0075335A" w:rsidP="00D70973">
      <w:pPr>
        <w:rPr>
          <w:rFonts w:eastAsia="DengXian"/>
          <w:iCs/>
          <w:lang w:val="en-US"/>
        </w:rPr>
      </w:pPr>
    </w:p>
    <w:p w14:paraId="43C32B40" w14:textId="77777777" w:rsidR="00FC4750" w:rsidRPr="009D2DEF" w:rsidRDefault="00FC4750" w:rsidP="00FC4750">
      <w:pPr>
        <w:pStyle w:val="Heading1"/>
        <w:rPr>
          <w:lang w:val="en-US"/>
        </w:rPr>
      </w:pPr>
      <w:r w:rsidRPr="009D2DEF">
        <w:rPr>
          <w:lang w:val="en-US"/>
        </w:rPr>
        <w:t>Lessons learned from NR/IoT NTN</w:t>
      </w:r>
    </w:p>
    <w:p w14:paraId="315F17BC" w14:textId="74DCA2E1" w:rsidR="00FC4750" w:rsidRDefault="00FC4750" w:rsidP="00FC4750">
      <w:pPr>
        <w:rPr>
          <w:rFonts w:eastAsia="DengXian"/>
          <w:iCs/>
          <w:lang w:val="en-US"/>
        </w:rPr>
      </w:pPr>
      <w:r w:rsidRPr="009D2DEF">
        <w:rPr>
          <w:rFonts w:eastAsia="DengXian"/>
          <w:iCs/>
          <w:lang w:val="en-US"/>
        </w:rPr>
        <w:t xml:space="preserve">NTN was </w:t>
      </w:r>
      <w:r>
        <w:rPr>
          <w:rFonts w:eastAsia="DengXian"/>
          <w:iCs/>
          <w:lang w:val="en-US"/>
        </w:rPr>
        <w:t xml:space="preserve">introduced to NR and </w:t>
      </w:r>
      <w:r w:rsidR="00894005">
        <w:rPr>
          <w:rFonts w:eastAsia="DengXian"/>
          <w:iCs/>
          <w:lang w:val="en-US"/>
        </w:rPr>
        <w:t>NB-</w:t>
      </w:r>
      <w:r>
        <w:rPr>
          <w:rFonts w:eastAsia="DengXian"/>
          <w:iCs/>
          <w:lang w:val="en-US"/>
        </w:rPr>
        <w:t xml:space="preserve">IoT after the </w:t>
      </w:r>
      <w:r w:rsidRPr="009D2DEF">
        <w:rPr>
          <w:rFonts w:eastAsia="DengXian"/>
          <w:iCs/>
          <w:lang w:val="en-US"/>
        </w:rPr>
        <w:t xml:space="preserve">initial release. </w:t>
      </w:r>
      <w:r>
        <w:rPr>
          <w:rFonts w:eastAsia="DengXian"/>
          <w:iCs/>
          <w:lang w:val="en-US"/>
        </w:rPr>
        <w:t xml:space="preserve">In another words, </w:t>
      </w:r>
      <w:r w:rsidR="00894005">
        <w:rPr>
          <w:rFonts w:eastAsia="DengXian"/>
          <w:iCs/>
          <w:lang w:val="en-US"/>
        </w:rPr>
        <w:t xml:space="preserve">the </w:t>
      </w:r>
      <w:r w:rsidRPr="009D2DEF">
        <w:rPr>
          <w:rFonts w:eastAsia="DengXian"/>
          <w:iCs/>
          <w:lang w:val="en-US"/>
        </w:rPr>
        <w:t>NR/</w:t>
      </w:r>
      <w:r>
        <w:rPr>
          <w:rFonts w:eastAsia="DengXian"/>
          <w:iCs/>
          <w:lang w:val="en-US"/>
        </w:rPr>
        <w:t>NB-</w:t>
      </w:r>
      <w:r w:rsidRPr="009D2DEF">
        <w:rPr>
          <w:rFonts w:eastAsia="DengXian"/>
          <w:iCs/>
          <w:lang w:val="en-US"/>
        </w:rPr>
        <w:t xml:space="preserve">IoT basic RAT design did not take </w:t>
      </w:r>
      <w:proofErr w:type="gramStart"/>
      <w:r w:rsidR="00894005">
        <w:rPr>
          <w:rFonts w:eastAsia="DengXian"/>
          <w:iCs/>
          <w:lang w:val="en-US"/>
        </w:rPr>
        <w:t>a</w:t>
      </w:r>
      <w:proofErr w:type="gramEnd"/>
      <w:r w:rsidR="00894005">
        <w:rPr>
          <w:rFonts w:eastAsia="DengXian"/>
          <w:iCs/>
          <w:lang w:val="en-US"/>
        </w:rPr>
        <w:t xml:space="preserve"> </w:t>
      </w:r>
      <w:r w:rsidRPr="009D2DEF">
        <w:rPr>
          <w:rFonts w:eastAsia="DengXian"/>
          <w:iCs/>
          <w:lang w:val="en-US"/>
        </w:rPr>
        <w:t xml:space="preserve">NTN deployment scenario into consideration. Such </w:t>
      </w:r>
      <w:r w:rsidR="00894005">
        <w:rPr>
          <w:rFonts w:eastAsia="DengXian"/>
          <w:iCs/>
          <w:lang w:val="en-US"/>
        </w:rPr>
        <w:t xml:space="preserve">a </w:t>
      </w:r>
      <w:r w:rsidRPr="009D2DEF">
        <w:rPr>
          <w:rFonts w:eastAsia="DengXian"/>
          <w:iCs/>
          <w:lang w:val="en-US"/>
        </w:rPr>
        <w:t>progressive standardization approach results in various backward compatibility issues in later phase</w:t>
      </w:r>
      <w:r w:rsidR="00894005">
        <w:rPr>
          <w:rFonts w:eastAsia="DengXian"/>
          <w:iCs/>
          <w:lang w:val="en-US"/>
        </w:rPr>
        <w:t>s</w:t>
      </w:r>
      <w:r w:rsidRPr="009D2DEF">
        <w:rPr>
          <w:rFonts w:eastAsia="DengXian"/>
          <w:iCs/>
          <w:lang w:val="en-US"/>
        </w:rPr>
        <w:t xml:space="preserve"> which is widely recognized by the industry. One example is the dependency of GNSS: 5G NR was designed to support limited RTD (Round Trip Doppler) and RTT (Round Trip Time). When NTN was introduced in later release</w:t>
      </w:r>
      <w:r w:rsidR="00894005">
        <w:rPr>
          <w:rFonts w:eastAsia="DengXian"/>
          <w:iCs/>
          <w:lang w:val="en-US"/>
        </w:rPr>
        <w:t>s</w:t>
      </w:r>
      <w:r w:rsidRPr="009D2DEF">
        <w:rPr>
          <w:rFonts w:eastAsia="DengXian"/>
          <w:iCs/>
          <w:lang w:val="en-US"/>
        </w:rPr>
        <w:t xml:space="preserve">, </w:t>
      </w:r>
      <w:r w:rsidR="00894005">
        <w:rPr>
          <w:rFonts w:eastAsia="DengXian"/>
          <w:iCs/>
          <w:lang w:val="en-US"/>
        </w:rPr>
        <w:t xml:space="preserve">the </w:t>
      </w:r>
      <w:r w:rsidRPr="009D2DEF">
        <w:rPr>
          <w:rFonts w:eastAsia="DengXian"/>
          <w:iCs/>
          <w:lang w:val="en-US"/>
        </w:rPr>
        <w:t>NR synchronization framework can</w:t>
      </w:r>
      <w:r w:rsidR="00894005">
        <w:rPr>
          <w:rFonts w:eastAsia="DengXian"/>
          <w:iCs/>
          <w:lang w:val="en-US"/>
        </w:rPr>
        <w:t>not</w:t>
      </w:r>
      <w:r w:rsidRPr="009D2DEF">
        <w:rPr>
          <w:rFonts w:eastAsia="DengXian"/>
          <w:iCs/>
          <w:lang w:val="en-US"/>
        </w:rPr>
        <w:t xml:space="preserve"> support </w:t>
      </w:r>
      <w:proofErr w:type="gramStart"/>
      <w:r w:rsidR="00894005">
        <w:rPr>
          <w:rFonts w:eastAsia="DengXian"/>
          <w:iCs/>
          <w:lang w:val="en-US"/>
        </w:rPr>
        <w:t>a</w:t>
      </w:r>
      <w:proofErr w:type="gramEnd"/>
      <w:r w:rsidR="00894005">
        <w:rPr>
          <w:rFonts w:eastAsia="DengXian"/>
          <w:iCs/>
          <w:lang w:val="en-US"/>
        </w:rPr>
        <w:t xml:space="preserve"> </w:t>
      </w:r>
      <w:r w:rsidRPr="009D2DEF">
        <w:rPr>
          <w:rFonts w:eastAsia="DengXian"/>
          <w:iCs/>
          <w:lang w:val="en-US"/>
        </w:rPr>
        <w:t>NTN deployment scenario with large RTD and RTT. 3GPP took a short</w:t>
      </w:r>
      <w:r w:rsidR="00894005">
        <w:rPr>
          <w:rFonts w:eastAsia="DengXian"/>
          <w:iCs/>
          <w:lang w:val="en-US"/>
        </w:rPr>
        <w:t>-</w:t>
      </w:r>
      <w:r w:rsidRPr="009D2DEF">
        <w:rPr>
          <w:rFonts w:eastAsia="DengXian"/>
          <w:iCs/>
          <w:lang w:val="en-US"/>
        </w:rPr>
        <w:t>cut to solve this problem by having NTN UE</w:t>
      </w:r>
      <w:r w:rsidR="00894005">
        <w:rPr>
          <w:rFonts w:eastAsia="DengXian"/>
          <w:iCs/>
          <w:lang w:val="en-US"/>
        </w:rPr>
        <w:t>s</w:t>
      </w:r>
      <w:r w:rsidRPr="009D2DEF">
        <w:rPr>
          <w:rFonts w:eastAsia="DengXian"/>
          <w:iCs/>
          <w:lang w:val="en-US"/>
        </w:rPr>
        <w:t xml:space="preserve"> rely on GNSS and Sat ephemeris to pre-compensate </w:t>
      </w:r>
      <w:r w:rsidR="00894005">
        <w:rPr>
          <w:rFonts w:eastAsia="DengXian"/>
          <w:iCs/>
          <w:lang w:val="en-US"/>
        </w:rPr>
        <w:t>the t</w:t>
      </w:r>
      <w:r w:rsidRPr="009D2DEF">
        <w:rPr>
          <w:rFonts w:eastAsia="DengXian"/>
          <w:iCs/>
          <w:lang w:val="en-US"/>
        </w:rPr>
        <w:t>im</w:t>
      </w:r>
      <w:r w:rsidR="00894005">
        <w:rPr>
          <w:rFonts w:eastAsia="DengXian"/>
          <w:iCs/>
          <w:lang w:val="en-US"/>
        </w:rPr>
        <w:t>ing adjustment</w:t>
      </w:r>
      <w:r w:rsidRPr="009D2DEF">
        <w:rPr>
          <w:rFonts w:eastAsia="DengXian"/>
          <w:iCs/>
          <w:lang w:val="en-US"/>
        </w:rPr>
        <w:t xml:space="preserve"> and Doppler for uplink transmission</w:t>
      </w:r>
      <w:r w:rsidR="00894005">
        <w:rPr>
          <w:rFonts w:eastAsia="DengXian"/>
          <w:iCs/>
          <w:lang w:val="en-US"/>
        </w:rPr>
        <w:t>s</w:t>
      </w:r>
      <w:r w:rsidRPr="009D2DEF">
        <w:rPr>
          <w:rFonts w:eastAsia="DengXian"/>
          <w:iCs/>
          <w:lang w:val="en-US"/>
        </w:rPr>
        <w:t xml:space="preserve">. Then a few releases later, 3GPP still needs to </w:t>
      </w:r>
      <w:r w:rsidR="00894005">
        <w:rPr>
          <w:rFonts w:eastAsia="DengXian"/>
          <w:iCs/>
          <w:lang w:val="en-US"/>
        </w:rPr>
        <w:t>address</w:t>
      </w:r>
      <w:r w:rsidRPr="009D2DEF">
        <w:rPr>
          <w:rFonts w:eastAsia="DengXian"/>
          <w:iCs/>
          <w:lang w:val="en-US"/>
        </w:rPr>
        <w:t xml:space="preserve"> th</w:t>
      </w:r>
      <w:r w:rsidR="00894005">
        <w:rPr>
          <w:rFonts w:eastAsia="DengXian"/>
          <w:iCs/>
          <w:lang w:val="en-US"/>
        </w:rPr>
        <w:t>e</w:t>
      </w:r>
      <w:r w:rsidRPr="009D2DEF">
        <w:rPr>
          <w:rFonts w:eastAsia="DengXian"/>
          <w:iCs/>
          <w:lang w:val="en-US"/>
        </w:rPr>
        <w:t xml:space="preserve"> GNSS dependence issue in </w:t>
      </w:r>
      <w:r w:rsidR="00894005">
        <w:rPr>
          <w:rFonts w:eastAsia="DengXian"/>
          <w:iCs/>
          <w:lang w:val="en-US"/>
        </w:rPr>
        <w:t xml:space="preserve">a </w:t>
      </w:r>
      <w:r w:rsidRPr="009D2DEF">
        <w:rPr>
          <w:rFonts w:eastAsia="DengXian"/>
          <w:iCs/>
          <w:lang w:val="en-US"/>
        </w:rPr>
        <w:t xml:space="preserve">GNSS-resilience study item. Such </w:t>
      </w:r>
      <w:r w:rsidR="00894005">
        <w:rPr>
          <w:rFonts w:eastAsia="DengXian"/>
          <w:iCs/>
          <w:lang w:val="en-US"/>
        </w:rPr>
        <w:t>a staggered/multi-</w:t>
      </w:r>
      <w:r w:rsidRPr="009D2DEF">
        <w:rPr>
          <w:rFonts w:eastAsia="DengXian"/>
          <w:iCs/>
          <w:lang w:val="en-US"/>
        </w:rPr>
        <w:t xml:space="preserve">phase standardization approach is very un-friendly to the eco-system. </w:t>
      </w:r>
    </w:p>
    <w:p w14:paraId="281E46D6" w14:textId="3C5C3319" w:rsidR="00FC4750" w:rsidRPr="00FC4750" w:rsidRDefault="00FC4750" w:rsidP="00FC4750">
      <w:pPr>
        <w:rPr>
          <w:rFonts w:eastAsia="DengXian"/>
          <w:b/>
          <w:bCs/>
          <w:iCs/>
          <w:lang w:val="en-US"/>
        </w:rPr>
      </w:pPr>
      <w:r w:rsidRPr="00FC4750">
        <w:rPr>
          <w:rFonts w:eastAsia="DengXian"/>
          <w:b/>
          <w:bCs/>
          <w:iCs/>
          <w:lang w:val="en-US"/>
        </w:rPr>
        <w:t>Observation</w:t>
      </w:r>
      <w:r>
        <w:rPr>
          <w:rFonts w:eastAsia="DengXian"/>
          <w:b/>
          <w:bCs/>
          <w:iCs/>
          <w:lang w:val="en-US"/>
        </w:rPr>
        <w:t xml:space="preserve"> 1</w:t>
      </w:r>
      <w:r w:rsidRPr="00FC4750">
        <w:rPr>
          <w:rFonts w:eastAsia="DengXian"/>
          <w:b/>
          <w:bCs/>
          <w:iCs/>
          <w:lang w:val="en-US"/>
        </w:rPr>
        <w:t>: Introduc</w:t>
      </w:r>
      <w:r w:rsidR="00532CF2">
        <w:rPr>
          <w:rFonts w:eastAsia="DengXian"/>
          <w:b/>
          <w:bCs/>
          <w:iCs/>
          <w:lang w:val="en-US"/>
        </w:rPr>
        <w:t>ing</w:t>
      </w:r>
      <w:r w:rsidRPr="00FC4750">
        <w:rPr>
          <w:rFonts w:eastAsia="DengXian"/>
          <w:b/>
          <w:bCs/>
          <w:iCs/>
          <w:lang w:val="en-US"/>
        </w:rPr>
        <w:t xml:space="preserve"> NTN as an add-on feature in later release</w:t>
      </w:r>
      <w:r w:rsidR="00532CF2">
        <w:rPr>
          <w:rFonts w:eastAsia="DengXian"/>
          <w:b/>
          <w:bCs/>
          <w:iCs/>
          <w:lang w:val="en-US"/>
        </w:rPr>
        <w:t>s</w:t>
      </w:r>
      <w:r w:rsidRPr="00FC4750">
        <w:rPr>
          <w:rFonts w:eastAsia="DengXian"/>
          <w:b/>
          <w:bCs/>
          <w:iCs/>
          <w:lang w:val="en-US"/>
        </w:rPr>
        <w:t xml:space="preserve"> is not friendly to the eco-system.  </w:t>
      </w:r>
    </w:p>
    <w:p w14:paraId="2C905AC8" w14:textId="77777777" w:rsidR="00FC4750" w:rsidRPr="009D2DEF" w:rsidRDefault="00FC4750" w:rsidP="00FC4750">
      <w:pPr>
        <w:rPr>
          <w:rFonts w:eastAsia="DengXian"/>
          <w:iCs/>
          <w:lang w:val="en-US"/>
        </w:rPr>
      </w:pPr>
    </w:p>
    <w:p w14:paraId="38F778BB" w14:textId="082A4F84" w:rsidR="00FC4750" w:rsidRPr="009D2DEF" w:rsidRDefault="00FC4750" w:rsidP="00FC4750">
      <w:pPr>
        <w:pStyle w:val="Heading1"/>
        <w:rPr>
          <w:lang w:val="en-US"/>
        </w:rPr>
      </w:pPr>
      <w:r w:rsidRPr="009D2DEF">
        <w:rPr>
          <w:lang w:val="en-US"/>
        </w:rPr>
        <w:lastRenderedPageBreak/>
        <w:t xml:space="preserve">What is </w:t>
      </w:r>
      <w:r w:rsidR="00894005">
        <w:rPr>
          <w:lang w:val="en-US"/>
        </w:rPr>
        <w:t xml:space="preserve">a </w:t>
      </w:r>
      <w:r w:rsidRPr="009D2DEF">
        <w:rPr>
          <w:lang w:val="en-US"/>
        </w:rPr>
        <w:t>harmonized 6G Radio design for TN-NTN?</w:t>
      </w:r>
    </w:p>
    <w:p w14:paraId="08DF821E" w14:textId="0CC8855B" w:rsidR="00FC4750" w:rsidRPr="009D2DEF" w:rsidRDefault="00FC4750" w:rsidP="00FC4750">
      <w:pPr>
        <w:rPr>
          <w:lang w:val="en-US"/>
        </w:rPr>
      </w:pPr>
      <w:r w:rsidRPr="009D2DEF">
        <w:rPr>
          <w:lang w:val="en-US"/>
        </w:rPr>
        <w:t xml:space="preserve">In our view, </w:t>
      </w:r>
      <w:r w:rsidR="00894005">
        <w:rPr>
          <w:lang w:val="en-US"/>
        </w:rPr>
        <w:t xml:space="preserve">a </w:t>
      </w:r>
      <w:r w:rsidRPr="009D2DEF">
        <w:rPr>
          <w:lang w:val="en-US"/>
        </w:rPr>
        <w:t xml:space="preserve">harmonized TN-NTN </w:t>
      </w:r>
      <w:r w:rsidR="00894005">
        <w:rPr>
          <w:lang w:val="en-US"/>
        </w:rPr>
        <w:t xml:space="preserve">design </w:t>
      </w:r>
      <w:r w:rsidRPr="009D2DEF">
        <w:rPr>
          <w:lang w:val="en-US"/>
        </w:rPr>
        <w:t>means the same 6G RAT (Radio Access Technology) should support both TN and NTN deployment</w:t>
      </w:r>
      <w:r w:rsidR="00894005">
        <w:rPr>
          <w:lang w:val="en-US"/>
        </w:rPr>
        <w:t>s</w:t>
      </w:r>
      <w:r w:rsidRPr="009D2DEF">
        <w:rPr>
          <w:lang w:val="en-US"/>
        </w:rPr>
        <w:t xml:space="preserve">. While </w:t>
      </w:r>
      <w:r w:rsidR="00532CF2">
        <w:rPr>
          <w:lang w:val="en-US"/>
        </w:rPr>
        <w:t xml:space="preserve">a </w:t>
      </w:r>
      <w:r w:rsidRPr="009D2DEF">
        <w:rPr>
          <w:lang w:val="en-US"/>
        </w:rPr>
        <w:t>harmonized</w:t>
      </w:r>
      <w:r w:rsidRPr="009D2DEF">
        <w:rPr>
          <w:lang w:val="en-US" w:eastAsia="zh-CN"/>
        </w:rPr>
        <w:t xml:space="preserve"> design is not </w:t>
      </w:r>
      <w:r w:rsidR="00532CF2">
        <w:rPr>
          <w:lang w:val="en-US" w:eastAsia="zh-CN"/>
        </w:rPr>
        <w:t xml:space="preserve">totally </w:t>
      </w:r>
      <w:r w:rsidRPr="009D2DEF">
        <w:rPr>
          <w:lang w:val="en-US" w:eastAsia="zh-CN"/>
        </w:rPr>
        <w:t xml:space="preserve">quantifiable, </w:t>
      </w:r>
      <w:r>
        <w:rPr>
          <w:lang w:val="en-US" w:eastAsia="zh-CN"/>
        </w:rPr>
        <w:t xml:space="preserve">here is a list of </w:t>
      </w:r>
      <w:r w:rsidR="00532CF2">
        <w:rPr>
          <w:lang w:val="en-US" w:eastAsia="zh-CN"/>
        </w:rPr>
        <w:t xml:space="preserve">some </w:t>
      </w:r>
      <w:r w:rsidR="00894005">
        <w:rPr>
          <w:lang w:val="en-US" w:eastAsia="zh-CN"/>
        </w:rPr>
        <w:t>key</w:t>
      </w:r>
      <w:r>
        <w:rPr>
          <w:lang w:val="en-US" w:eastAsia="zh-CN"/>
        </w:rPr>
        <w:t xml:space="preserve"> design </w:t>
      </w:r>
      <w:r w:rsidR="00532CF2">
        <w:rPr>
          <w:lang w:val="en-US" w:eastAsia="zh-CN"/>
        </w:rPr>
        <w:t>requirements</w:t>
      </w:r>
      <w:r>
        <w:rPr>
          <w:lang w:val="en-US" w:eastAsia="zh-CN"/>
        </w:rPr>
        <w:t>:</w:t>
      </w:r>
    </w:p>
    <w:p w14:paraId="018F66C2" w14:textId="27578D51" w:rsidR="00FC4750" w:rsidRPr="009D2DEF" w:rsidRDefault="00FC4750" w:rsidP="00FC4750">
      <w:pPr>
        <w:pStyle w:val="ListParagraph"/>
        <w:numPr>
          <w:ilvl w:val="0"/>
          <w:numId w:val="38"/>
        </w:numPr>
        <w:rPr>
          <w:lang w:val="en-US"/>
        </w:rPr>
      </w:pPr>
      <w:r w:rsidRPr="009D2DEF">
        <w:rPr>
          <w:lang w:val="en-US"/>
        </w:rPr>
        <w:t>A harmonized 6G TN-NTN</w:t>
      </w:r>
      <w:r>
        <w:rPr>
          <w:lang w:val="en-US"/>
        </w:rPr>
        <w:t xml:space="preserve"> RAT supports both TN and NTN deployment in a GNSS-less environment. If 6G TN doesn’t depend on GNSS, 6G NTN should </w:t>
      </w:r>
      <w:r w:rsidR="00894005">
        <w:rPr>
          <w:lang w:val="en-US"/>
        </w:rPr>
        <w:t>also not depend on its availability/support</w:t>
      </w:r>
      <w:r>
        <w:rPr>
          <w:lang w:val="en-US"/>
        </w:rPr>
        <w:t xml:space="preserve">. </w:t>
      </w:r>
    </w:p>
    <w:p w14:paraId="7565DA3E" w14:textId="03A6A852" w:rsidR="00FC4750" w:rsidRPr="009D2DEF" w:rsidRDefault="00FC4750" w:rsidP="00FC4750">
      <w:pPr>
        <w:pStyle w:val="ListParagraph"/>
        <w:numPr>
          <w:ilvl w:val="0"/>
          <w:numId w:val="38"/>
        </w:numPr>
        <w:rPr>
          <w:lang w:val="en-US"/>
        </w:rPr>
      </w:pPr>
      <w:r w:rsidRPr="009D2DEF">
        <w:rPr>
          <w:lang w:val="en-US"/>
        </w:rPr>
        <w:t xml:space="preserve">A harmonized 6G TN-NTN </w:t>
      </w:r>
      <w:r>
        <w:rPr>
          <w:lang w:val="en-US"/>
        </w:rPr>
        <w:t xml:space="preserve">RAT </w:t>
      </w:r>
      <w:r w:rsidRPr="009D2DEF">
        <w:rPr>
          <w:lang w:val="en-US"/>
        </w:rPr>
        <w:t xml:space="preserve">design shall </w:t>
      </w:r>
      <w:r>
        <w:rPr>
          <w:lang w:val="en-US"/>
        </w:rPr>
        <w:t xml:space="preserve">NOT require </w:t>
      </w:r>
      <w:r w:rsidRPr="009D2DEF">
        <w:rPr>
          <w:lang w:val="en-US"/>
        </w:rPr>
        <w:t>special UE implementation</w:t>
      </w:r>
      <w:r w:rsidR="00894005">
        <w:rPr>
          <w:lang w:val="en-US"/>
        </w:rPr>
        <w:t>s</w:t>
      </w:r>
      <w:r w:rsidRPr="009D2DEF">
        <w:rPr>
          <w:lang w:val="en-US"/>
        </w:rPr>
        <w:t xml:space="preserve"> </w:t>
      </w:r>
      <w:r w:rsidR="00894005">
        <w:rPr>
          <w:lang w:val="en-US"/>
        </w:rPr>
        <w:t>for</w:t>
      </w:r>
      <w:r w:rsidRPr="009D2DEF">
        <w:rPr>
          <w:lang w:val="en-US"/>
        </w:rPr>
        <w:t xml:space="preserve"> NTN deployment scenario</w:t>
      </w:r>
      <w:r w:rsidR="00894005">
        <w:rPr>
          <w:lang w:val="en-US"/>
        </w:rPr>
        <w:t>s</w:t>
      </w:r>
      <w:r w:rsidRPr="009D2DEF">
        <w:rPr>
          <w:lang w:val="en-US"/>
        </w:rPr>
        <w:t xml:space="preserve"> </w:t>
      </w:r>
      <w:r w:rsidR="00894005">
        <w:rPr>
          <w:lang w:val="en-US"/>
        </w:rPr>
        <w:t>at least to enable basic connectivity</w:t>
      </w:r>
      <w:r w:rsidRPr="009D2DEF">
        <w:rPr>
          <w:lang w:val="en-US"/>
        </w:rPr>
        <w:t xml:space="preserve">. </w:t>
      </w:r>
      <w:r w:rsidR="00894005">
        <w:rPr>
          <w:lang w:val="en-US"/>
        </w:rPr>
        <w:t>As a result</w:t>
      </w:r>
      <w:r w:rsidRPr="009D2DEF">
        <w:rPr>
          <w:lang w:val="en-US"/>
        </w:rPr>
        <w:t>, all 6G UE shall support NTN deployment</w:t>
      </w:r>
      <w:r w:rsidR="00894005">
        <w:rPr>
          <w:lang w:val="en-US"/>
        </w:rPr>
        <w:t>s</w:t>
      </w:r>
      <w:r w:rsidRPr="009D2DEF">
        <w:rPr>
          <w:lang w:val="en-US"/>
        </w:rPr>
        <w:t xml:space="preserve"> (</w:t>
      </w:r>
      <w:r w:rsidR="00894005">
        <w:rPr>
          <w:lang w:val="en-US"/>
        </w:rPr>
        <w:t xml:space="preserve">at least the </w:t>
      </w:r>
      <w:r w:rsidRPr="009D2DEF">
        <w:rPr>
          <w:lang w:val="en-US"/>
        </w:rPr>
        <w:t xml:space="preserve">basic communication </w:t>
      </w:r>
      <w:r w:rsidR="00894005">
        <w:rPr>
          <w:lang w:val="en-US"/>
        </w:rPr>
        <w:t>capabilities</w:t>
      </w:r>
      <w:r w:rsidRPr="009D2DEF">
        <w:rPr>
          <w:lang w:val="en-US"/>
        </w:rPr>
        <w:t xml:space="preserve">) as a mandatory feature. </w:t>
      </w:r>
    </w:p>
    <w:p w14:paraId="5F727E73" w14:textId="1EABDAF2" w:rsidR="00FC4750" w:rsidRDefault="00FC4750" w:rsidP="00FC4750">
      <w:pPr>
        <w:pStyle w:val="ListParagraph"/>
        <w:numPr>
          <w:ilvl w:val="0"/>
          <w:numId w:val="38"/>
        </w:numPr>
        <w:rPr>
          <w:lang w:val="en-US"/>
        </w:rPr>
      </w:pPr>
      <w:r w:rsidRPr="009D2DEF">
        <w:rPr>
          <w:lang w:val="en-US"/>
        </w:rPr>
        <w:t xml:space="preserve">A harmonized 6G TN-NTN </w:t>
      </w:r>
      <w:r w:rsidR="00532CF2">
        <w:rPr>
          <w:lang w:val="en-US"/>
        </w:rPr>
        <w:t xml:space="preserve">RAT design </w:t>
      </w:r>
      <w:r w:rsidRPr="009D2DEF">
        <w:rPr>
          <w:lang w:val="en-US"/>
        </w:rPr>
        <w:t xml:space="preserve">should support seamless </w:t>
      </w:r>
      <w:r w:rsidR="00894005">
        <w:rPr>
          <w:lang w:val="en-US"/>
        </w:rPr>
        <w:t xml:space="preserve">deployment of </w:t>
      </w:r>
      <w:r w:rsidRPr="009D2DEF">
        <w:rPr>
          <w:lang w:val="en-US"/>
        </w:rPr>
        <w:t>TN and NTN coverage</w:t>
      </w:r>
      <w:r w:rsidR="00894005">
        <w:rPr>
          <w:lang w:val="en-US"/>
        </w:rPr>
        <w:t xml:space="preserve"> </w:t>
      </w:r>
      <w:r w:rsidRPr="009D2DEF">
        <w:rPr>
          <w:lang w:val="en-US"/>
        </w:rPr>
        <w:t>(</w:t>
      </w:r>
      <w:r w:rsidR="00894005">
        <w:rPr>
          <w:lang w:val="en-US"/>
        </w:rPr>
        <w:t xml:space="preserve">including </w:t>
      </w:r>
      <w:r w:rsidRPr="009D2DEF">
        <w:rPr>
          <w:lang w:val="en-US"/>
        </w:rPr>
        <w:t xml:space="preserve">mobility + </w:t>
      </w:r>
      <w:r w:rsidR="00532CF2">
        <w:rPr>
          <w:lang w:val="en-US"/>
        </w:rPr>
        <w:t>multi-</w:t>
      </w:r>
      <w:r w:rsidRPr="009D2DEF">
        <w:rPr>
          <w:lang w:val="en-US"/>
        </w:rPr>
        <w:t>connectivity)</w:t>
      </w:r>
      <w:r w:rsidR="00894005">
        <w:rPr>
          <w:lang w:val="en-US"/>
        </w:rPr>
        <w:t>.</w:t>
      </w:r>
    </w:p>
    <w:p w14:paraId="4669E5CE" w14:textId="77777777" w:rsidR="00FC4750" w:rsidRDefault="00FC4750" w:rsidP="00FC4750">
      <w:pPr>
        <w:rPr>
          <w:lang w:val="en-US"/>
        </w:rPr>
      </w:pPr>
    </w:p>
    <w:p w14:paraId="67A1FC7B" w14:textId="77777777" w:rsidR="00FC4750" w:rsidRPr="00FC4750" w:rsidRDefault="00FC4750" w:rsidP="00FC4750">
      <w:pPr>
        <w:rPr>
          <w:b/>
          <w:bCs/>
          <w:lang w:val="en-US"/>
        </w:rPr>
      </w:pPr>
      <w:r w:rsidRPr="00FC4750">
        <w:rPr>
          <w:b/>
          <w:bCs/>
          <w:lang w:val="en-US"/>
        </w:rPr>
        <w:t xml:space="preserve">Proposal-1: A harmonized 6G TN-NTN design should support both TN and NTN in a GNSS-less environment. </w:t>
      </w:r>
    </w:p>
    <w:p w14:paraId="4C5FE30F" w14:textId="4D0C35B3" w:rsidR="00FC4750" w:rsidRPr="00FC4750" w:rsidRDefault="00FC4750" w:rsidP="00FC4750">
      <w:pPr>
        <w:rPr>
          <w:b/>
          <w:bCs/>
          <w:lang w:val="en-US"/>
        </w:rPr>
      </w:pPr>
      <w:r w:rsidRPr="00FC4750">
        <w:rPr>
          <w:b/>
          <w:bCs/>
          <w:lang w:val="en-US"/>
        </w:rPr>
        <w:t xml:space="preserve">Proposal-2: 6G UE </w:t>
      </w:r>
      <w:r w:rsidR="00232E3F">
        <w:rPr>
          <w:b/>
          <w:bCs/>
          <w:lang w:val="en-US"/>
        </w:rPr>
        <w:t>should have mandatory support for</w:t>
      </w:r>
      <w:r w:rsidRPr="00FC4750">
        <w:rPr>
          <w:b/>
          <w:bCs/>
          <w:lang w:val="en-US"/>
        </w:rPr>
        <w:t xml:space="preserve"> the basic communication features </w:t>
      </w:r>
      <w:r w:rsidR="00232E3F">
        <w:rPr>
          <w:b/>
          <w:bCs/>
          <w:lang w:val="en-US"/>
        </w:rPr>
        <w:t>of</w:t>
      </w:r>
      <w:r w:rsidRPr="00FC4750">
        <w:rPr>
          <w:b/>
          <w:bCs/>
          <w:lang w:val="en-US"/>
        </w:rPr>
        <w:t xml:space="preserve"> both TN and NTN deployment</w:t>
      </w:r>
      <w:r w:rsidR="00232E3F">
        <w:rPr>
          <w:b/>
          <w:bCs/>
          <w:lang w:val="en-US"/>
        </w:rPr>
        <w:t>s</w:t>
      </w:r>
      <w:r w:rsidRPr="00FC4750">
        <w:rPr>
          <w:b/>
          <w:bCs/>
          <w:lang w:val="en-US"/>
        </w:rPr>
        <w:t xml:space="preserve">. </w:t>
      </w:r>
    </w:p>
    <w:p w14:paraId="72B5EFAE" w14:textId="504B4C3C" w:rsidR="00FC4750" w:rsidRPr="00FC4750" w:rsidRDefault="00FC4750" w:rsidP="00FC4750">
      <w:pPr>
        <w:rPr>
          <w:b/>
          <w:bCs/>
          <w:lang w:val="en-US"/>
        </w:rPr>
      </w:pPr>
      <w:r w:rsidRPr="00FC4750">
        <w:rPr>
          <w:b/>
          <w:bCs/>
          <w:lang w:val="en-US"/>
        </w:rPr>
        <w:t>Proposal-3: Seamless deployment of TN and NTN coverage</w:t>
      </w:r>
      <w:r w:rsidR="00532CF2">
        <w:rPr>
          <w:b/>
          <w:bCs/>
          <w:lang w:val="en-US"/>
        </w:rPr>
        <w:t xml:space="preserve"> (</w:t>
      </w:r>
      <w:r w:rsidR="00894005">
        <w:rPr>
          <w:b/>
          <w:bCs/>
          <w:lang w:val="en-US"/>
        </w:rPr>
        <w:t xml:space="preserve">including </w:t>
      </w:r>
      <w:r w:rsidR="00532CF2">
        <w:rPr>
          <w:b/>
          <w:bCs/>
          <w:lang w:val="en-US"/>
        </w:rPr>
        <w:t>mobility + multi-connectivity)</w:t>
      </w:r>
      <w:r w:rsidRPr="00FC4750">
        <w:rPr>
          <w:b/>
          <w:bCs/>
          <w:lang w:val="en-US"/>
        </w:rPr>
        <w:t xml:space="preserve"> must be supported by 6G. </w:t>
      </w:r>
    </w:p>
    <w:p w14:paraId="5454D500" w14:textId="77777777" w:rsidR="00FC4750" w:rsidRPr="009D2DEF" w:rsidRDefault="00FC4750" w:rsidP="00FC4750">
      <w:pPr>
        <w:rPr>
          <w:lang w:val="en-US"/>
        </w:rPr>
      </w:pPr>
    </w:p>
    <w:p w14:paraId="557C50CB" w14:textId="5949734C" w:rsidR="00FC4750" w:rsidRPr="009D2DEF" w:rsidRDefault="00FC4750" w:rsidP="00232E3F">
      <w:pPr>
        <w:pStyle w:val="Heading1"/>
        <w:rPr>
          <w:lang w:val="en-US"/>
        </w:rPr>
      </w:pPr>
      <w:r>
        <w:rPr>
          <w:lang w:val="en-US"/>
        </w:rPr>
        <w:t xml:space="preserve">NTN </w:t>
      </w:r>
      <w:r w:rsidRPr="009D2DEF">
        <w:rPr>
          <w:lang w:val="en-US"/>
        </w:rPr>
        <w:t xml:space="preserve">architecture </w:t>
      </w:r>
    </w:p>
    <w:p w14:paraId="1D3455E3" w14:textId="77777777" w:rsidR="00FC4750" w:rsidRPr="009D2DEF" w:rsidRDefault="00FC4750" w:rsidP="00FC4750">
      <w:pPr>
        <w:rPr>
          <w:lang w:val="en-US"/>
        </w:rPr>
      </w:pPr>
      <w:r>
        <w:rPr>
          <w:lang w:val="en-US"/>
        </w:rPr>
        <w:t>In the</w:t>
      </w:r>
      <w:r w:rsidRPr="009D2DEF">
        <w:rPr>
          <w:lang w:val="en-US"/>
        </w:rPr>
        <w:t xml:space="preserve"> 5G radio access network architecture (NG-RAN</w:t>
      </w:r>
      <w:r>
        <w:rPr>
          <w:lang w:val="en-US"/>
        </w:rPr>
        <w:t>),</w:t>
      </w:r>
      <w:r w:rsidRPr="009D2DEF">
        <w:rPr>
          <w:lang w:val="en-US"/>
        </w:rPr>
        <w:t xml:space="preserve"> the gNB is responsible for all radio-related functions in one or multiple cells on the ground, including admission control, connection establishment, user-plane and control-plane routing between the 5G-RAN and the 5G core, and radio resource management (RRM) functions such as mobility and CONNECTED/IDLE mode cell selection. </w:t>
      </w:r>
    </w:p>
    <w:p w14:paraId="7BCFACA5" w14:textId="77777777" w:rsidR="00FC4750" w:rsidRDefault="00FC4750" w:rsidP="00FC4750">
      <w:pPr>
        <w:spacing w:before="0" w:line="259" w:lineRule="auto"/>
        <w:contextualSpacing/>
        <w:rPr>
          <w:lang w:val="en-US"/>
        </w:rPr>
      </w:pPr>
      <w:r w:rsidRPr="009D2DEF">
        <w:rPr>
          <w:lang w:val="en-US"/>
        </w:rPr>
        <w:t xml:space="preserve">In the context of NTN an additional node is introduced, the NTN Gateway (GW), which is a Transport Network Layer node. The satellite and the NTN GW communicate over the feeder link using the Satellite Radio Interface (SRI). </w:t>
      </w:r>
      <w:r>
        <w:rPr>
          <w:lang w:val="en-US"/>
        </w:rPr>
        <w:t xml:space="preserve">This introduces the question of where the different radio access network functions should be deployed as shown in the figure below. </w:t>
      </w:r>
    </w:p>
    <w:p w14:paraId="4BC0148E" w14:textId="77777777" w:rsidR="00532CF2" w:rsidRDefault="00532CF2" w:rsidP="00FC4750">
      <w:pPr>
        <w:spacing w:before="0" w:line="259" w:lineRule="auto"/>
        <w:contextualSpacing/>
        <w:rPr>
          <w:lang w:val="en-US"/>
        </w:rPr>
      </w:pPr>
    </w:p>
    <w:p w14:paraId="691F2535" w14:textId="77777777" w:rsidR="00FC4750" w:rsidRDefault="00FC4750" w:rsidP="00FC4750">
      <w:pPr>
        <w:spacing w:before="0" w:line="259" w:lineRule="auto"/>
        <w:contextualSpacing/>
        <w:rPr>
          <w:lang w:val="en-US"/>
        </w:rPr>
      </w:pPr>
      <w:r w:rsidRPr="004412B2">
        <w:rPr>
          <w:noProof/>
          <w:lang w:val="en-US"/>
        </w:rPr>
        <w:drawing>
          <wp:inline distT="0" distB="0" distL="0" distR="0" wp14:anchorId="511147CD" wp14:editId="1EFC651B">
            <wp:extent cx="5760085" cy="1038860"/>
            <wp:effectExtent l="0" t="0" r="5715" b="2540"/>
            <wp:docPr id="172799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998712" name=""/>
                    <pic:cNvPicPr/>
                  </pic:nvPicPr>
                  <pic:blipFill>
                    <a:blip r:embed="rId8"/>
                    <a:stretch>
                      <a:fillRect/>
                    </a:stretch>
                  </pic:blipFill>
                  <pic:spPr>
                    <a:xfrm>
                      <a:off x="0" y="0"/>
                      <a:ext cx="5760085" cy="1038860"/>
                    </a:xfrm>
                    <a:prstGeom prst="rect">
                      <a:avLst/>
                    </a:prstGeom>
                  </pic:spPr>
                </pic:pic>
              </a:graphicData>
            </a:graphic>
          </wp:inline>
        </w:drawing>
      </w:r>
    </w:p>
    <w:p w14:paraId="6AE3586A" w14:textId="3CD18EB3" w:rsidR="00FC4750" w:rsidRPr="009D2DEF" w:rsidRDefault="00FC4750" w:rsidP="00FC4750">
      <w:pPr>
        <w:jc w:val="center"/>
        <w:rPr>
          <w:lang w:val="en-US"/>
        </w:rPr>
      </w:pPr>
      <w:r w:rsidRPr="009D2DEF">
        <w:rPr>
          <w:lang w:val="en-US"/>
        </w:rPr>
        <w:t xml:space="preserve">Figure </w:t>
      </w:r>
      <w:r w:rsidR="00532CF2">
        <w:rPr>
          <w:lang w:val="en-US"/>
        </w:rPr>
        <w:t>1</w:t>
      </w:r>
      <w:r w:rsidRPr="009D2DEF">
        <w:rPr>
          <w:lang w:val="en-US"/>
        </w:rPr>
        <w:t xml:space="preserve">. </w:t>
      </w:r>
      <w:r>
        <w:rPr>
          <w:lang w:val="en-US"/>
        </w:rPr>
        <w:t>NTN System Architecture</w:t>
      </w:r>
    </w:p>
    <w:p w14:paraId="2EC3C582" w14:textId="77777777" w:rsidR="00FC4750" w:rsidRDefault="00FC4750" w:rsidP="00FC4750">
      <w:pPr>
        <w:spacing w:before="0" w:line="259" w:lineRule="auto"/>
        <w:contextualSpacing/>
        <w:rPr>
          <w:lang w:val="en-US"/>
        </w:rPr>
      </w:pPr>
    </w:p>
    <w:p w14:paraId="277CCE64" w14:textId="77777777" w:rsidR="00FC4750" w:rsidRPr="009D2DEF" w:rsidRDefault="00FC4750" w:rsidP="00FC4750">
      <w:pPr>
        <w:spacing w:before="0" w:line="259" w:lineRule="auto"/>
        <w:contextualSpacing/>
        <w:rPr>
          <w:lang w:val="en-US"/>
        </w:rPr>
      </w:pPr>
      <w:r>
        <w:rPr>
          <w:lang w:val="en-US"/>
        </w:rPr>
        <w:t xml:space="preserve">In one extreme, all of the radio access and network functions may be deployed on the ground where the access link is forwarded by the NTN GW and satellite to the user (e.g. a transparent architecture). At the other extreme, all of the network and radio access functions are deployed on the satellite (e.g. a regenerative architecture). </w:t>
      </w:r>
    </w:p>
    <w:p w14:paraId="7A0694B6" w14:textId="77777777" w:rsidR="00FC4750" w:rsidRPr="009D2DEF" w:rsidRDefault="00FC4750" w:rsidP="00FC4750">
      <w:pPr>
        <w:spacing w:before="100" w:beforeAutospacing="1" w:after="100" w:afterAutospacing="1"/>
        <w:jc w:val="left"/>
        <w:rPr>
          <w:lang w:val="en-US"/>
        </w:rPr>
      </w:pPr>
      <w:r w:rsidRPr="009D2DEF">
        <w:rPr>
          <w:lang w:val="en-US"/>
        </w:rPr>
        <w:t>As part of the 6G study item evaluations on the support of NTN scenarios, both architectures (and additional potential variants) should be considered. The need for flexibility in the NTN deployment architecture is a function of multiple factors such as: </w:t>
      </w:r>
    </w:p>
    <w:p w14:paraId="698407C5" w14:textId="60371459" w:rsidR="00FC4750" w:rsidRPr="009D2DEF" w:rsidRDefault="00FC4750" w:rsidP="00FC4750">
      <w:pPr>
        <w:numPr>
          <w:ilvl w:val="0"/>
          <w:numId w:val="44"/>
        </w:numPr>
        <w:tabs>
          <w:tab w:val="left" w:pos="720"/>
        </w:tabs>
        <w:spacing w:before="100" w:beforeAutospacing="1" w:after="100" w:afterAutospacing="1"/>
        <w:jc w:val="left"/>
        <w:rPr>
          <w:lang w:val="en-US"/>
        </w:rPr>
      </w:pPr>
      <w:r w:rsidRPr="009D2DEF">
        <w:rPr>
          <w:lang w:val="en-US"/>
        </w:rPr>
        <w:t>Deployment scenario: Carrier frequency, system BW, satellite altitude, constellation size, etc.</w:t>
      </w:r>
    </w:p>
    <w:p w14:paraId="092B01F0" w14:textId="77777777" w:rsidR="00FC4750" w:rsidRPr="009D2DEF" w:rsidRDefault="00FC4750" w:rsidP="00FC4750">
      <w:pPr>
        <w:numPr>
          <w:ilvl w:val="0"/>
          <w:numId w:val="44"/>
        </w:numPr>
        <w:tabs>
          <w:tab w:val="left" w:pos="720"/>
        </w:tabs>
        <w:spacing w:before="100" w:beforeAutospacing="1" w:after="100" w:afterAutospacing="1"/>
        <w:jc w:val="left"/>
        <w:rPr>
          <w:lang w:val="en-US"/>
        </w:rPr>
      </w:pPr>
      <w:r w:rsidRPr="009D2DEF">
        <w:rPr>
          <w:lang w:val="en-US"/>
        </w:rPr>
        <w:t>Satellite payload compute/processing requirements vs. on-orbit power budgets</w:t>
      </w:r>
    </w:p>
    <w:p w14:paraId="51F600D8" w14:textId="77777777" w:rsidR="00FC4750" w:rsidRPr="009D2DEF" w:rsidRDefault="00FC4750" w:rsidP="00FC4750">
      <w:pPr>
        <w:numPr>
          <w:ilvl w:val="0"/>
          <w:numId w:val="44"/>
        </w:numPr>
        <w:tabs>
          <w:tab w:val="left" w:pos="720"/>
        </w:tabs>
        <w:spacing w:before="100" w:beforeAutospacing="1" w:after="100" w:afterAutospacing="1"/>
        <w:jc w:val="left"/>
        <w:rPr>
          <w:lang w:val="en-US"/>
        </w:rPr>
      </w:pPr>
      <w:r w:rsidRPr="009D2DEF">
        <w:rPr>
          <w:lang w:val="en-US"/>
        </w:rPr>
        <w:t>Feeder link bandwidth/latency requirements</w:t>
      </w:r>
    </w:p>
    <w:p w14:paraId="658B4232" w14:textId="39D55F12" w:rsidR="00FC4750" w:rsidRPr="009D2DEF" w:rsidRDefault="00FC4750" w:rsidP="00FC4750">
      <w:pPr>
        <w:numPr>
          <w:ilvl w:val="0"/>
          <w:numId w:val="44"/>
        </w:numPr>
        <w:tabs>
          <w:tab w:val="left" w:pos="720"/>
        </w:tabs>
        <w:spacing w:before="100" w:beforeAutospacing="1" w:after="100" w:afterAutospacing="1"/>
        <w:jc w:val="left"/>
        <w:rPr>
          <w:lang w:val="en-US"/>
        </w:rPr>
      </w:pPr>
      <w:r w:rsidRPr="009D2DEF">
        <w:rPr>
          <w:lang w:val="en-US"/>
        </w:rPr>
        <w:t xml:space="preserve">Forward Compatibility: </w:t>
      </w:r>
      <w:r>
        <w:rPr>
          <w:lang w:val="en-US"/>
        </w:rPr>
        <w:t>The goal would be for a</w:t>
      </w:r>
      <w:r w:rsidRPr="009D2DEF">
        <w:rPr>
          <w:lang w:val="en-US"/>
        </w:rPr>
        <w:t xml:space="preserve"> design that will evolve with </w:t>
      </w:r>
      <w:r w:rsidR="00AF426F">
        <w:rPr>
          <w:lang w:val="en-US"/>
        </w:rPr>
        <w:t>future</w:t>
      </w:r>
      <w:r w:rsidRPr="009D2DEF">
        <w:rPr>
          <w:lang w:val="en-US"/>
        </w:rPr>
        <w:t xml:space="preserve"> 3GPP releases. </w:t>
      </w:r>
      <w:r w:rsidR="00AF426F">
        <w:rPr>
          <w:lang w:val="en-US"/>
        </w:rPr>
        <w:t>F</w:t>
      </w:r>
      <w:r>
        <w:rPr>
          <w:lang w:val="en-US"/>
        </w:rPr>
        <w:t>eatures which are HW impacting can have a</w:t>
      </w:r>
      <w:r w:rsidR="00AF426F">
        <w:rPr>
          <w:lang w:val="en-US"/>
        </w:rPr>
        <w:t>n especially large</w:t>
      </w:r>
      <w:r>
        <w:rPr>
          <w:lang w:val="en-US"/>
        </w:rPr>
        <w:t xml:space="preserve"> </w:t>
      </w:r>
      <w:r w:rsidR="00AF426F">
        <w:rPr>
          <w:lang w:val="en-US"/>
        </w:rPr>
        <w:t>impact</w:t>
      </w:r>
      <w:r>
        <w:rPr>
          <w:lang w:val="en-US"/>
        </w:rPr>
        <w:t xml:space="preserve"> on the deployment architecture</w:t>
      </w:r>
      <w:r w:rsidRPr="009D2DEF">
        <w:rPr>
          <w:lang w:val="en-US"/>
        </w:rPr>
        <w:t>. </w:t>
      </w:r>
    </w:p>
    <w:p w14:paraId="2A776F4D" w14:textId="77777777" w:rsidR="00FC4750" w:rsidRPr="009D2DEF" w:rsidRDefault="00FC4750" w:rsidP="00FC4750">
      <w:pPr>
        <w:numPr>
          <w:ilvl w:val="0"/>
          <w:numId w:val="44"/>
        </w:numPr>
        <w:tabs>
          <w:tab w:val="left" w:pos="720"/>
        </w:tabs>
        <w:spacing w:before="100" w:beforeAutospacing="1" w:after="100" w:afterAutospacing="1"/>
        <w:jc w:val="left"/>
        <w:rPr>
          <w:lang w:val="en-US"/>
        </w:rPr>
      </w:pPr>
      <w:r w:rsidRPr="009D2DEF">
        <w:rPr>
          <w:lang w:val="en-US"/>
        </w:rPr>
        <w:t>User experience impact: including connection establishment, handover interruption time, and DL/UL throughput and latency KPIs</w:t>
      </w:r>
    </w:p>
    <w:p w14:paraId="42F5AF78" w14:textId="6614C6BB" w:rsidR="00FC4750" w:rsidRPr="009D2DEF" w:rsidRDefault="00FC4750" w:rsidP="00FC4750">
      <w:pPr>
        <w:numPr>
          <w:ilvl w:val="0"/>
          <w:numId w:val="44"/>
        </w:numPr>
        <w:tabs>
          <w:tab w:val="left" w:pos="720"/>
        </w:tabs>
        <w:spacing w:before="100" w:beforeAutospacing="1" w:after="100" w:afterAutospacing="1"/>
        <w:jc w:val="left"/>
        <w:rPr>
          <w:lang w:val="en-US"/>
        </w:rPr>
      </w:pPr>
      <w:r w:rsidRPr="009D2DEF">
        <w:rPr>
          <w:lang w:val="en-US"/>
        </w:rPr>
        <w:lastRenderedPageBreak/>
        <w:t>Feeder link availability/routing: Depending on the constellation design and NTN Gateway availability, there may be the need for frequent Feeder link switching events which impact the latency of handover events and the feasibility of "anchoring" user plane and control plane functionality on the ground.</w:t>
      </w:r>
    </w:p>
    <w:p w14:paraId="0EF41CE8" w14:textId="4ABDFF53" w:rsidR="00FC4750" w:rsidRPr="00232E3F" w:rsidRDefault="00FC4750" w:rsidP="00FC4750">
      <w:pPr>
        <w:numPr>
          <w:ilvl w:val="0"/>
          <w:numId w:val="44"/>
        </w:numPr>
        <w:tabs>
          <w:tab w:val="left" w:pos="720"/>
        </w:tabs>
        <w:spacing w:before="100" w:beforeAutospacing="1" w:after="100" w:afterAutospacing="1"/>
        <w:jc w:val="left"/>
        <w:rPr>
          <w:lang w:val="en-US"/>
        </w:rPr>
      </w:pPr>
      <w:r w:rsidRPr="009D2DEF">
        <w:rPr>
          <w:lang w:val="en-US"/>
        </w:rPr>
        <w:t>ISL support: The overall design of the 6G NTN system should accommodate the possibility of multiple “hops” between the NTN Gateway and the UE using inter-satellite links (ISL)</w:t>
      </w:r>
    </w:p>
    <w:p w14:paraId="460599CB" w14:textId="38211402" w:rsidR="00FC4750" w:rsidRPr="00232E3F" w:rsidRDefault="00FC4750" w:rsidP="00FC4750">
      <w:pPr>
        <w:rPr>
          <w:b/>
          <w:bCs/>
          <w:lang w:val="en-US"/>
        </w:rPr>
      </w:pPr>
      <w:r w:rsidRPr="00232E3F">
        <w:rPr>
          <w:b/>
          <w:bCs/>
          <w:lang w:val="en-US"/>
        </w:rPr>
        <w:t>Proposal-</w:t>
      </w:r>
      <w:r w:rsidR="00232E3F" w:rsidRPr="00232E3F">
        <w:rPr>
          <w:b/>
          <w:bCs/>
          <w:lang w:val="en-US"/>
        </w:rPr>
        <w:t>4</w:t>
      </w:r>
      <w:r w:rsidRPr="00232E3F">
        <w:rPr>
          <w:b/>
          <w:bCs/>
          <w:lang w:val="en-US"/>
        </w:rPr>
        <w:t>: Both regenerative and transparent NTN payload architectures should be supported by 6G</w:t>
      </w:r>
      <w:r w:rsidR="00532CF2">
        <w:rPr>
          <w:b/>
          <w:bCs/>
          <w:lang w:val="en-US"/>
        </w:rPr>
        <w:t>.</w:t>
      </w:r>
    </w:p>
    <w:p w14:paraId="5FE9CC59" w14:textId="77777777" w:rsidR="00FC4750" w:rsidRPr="009D2DEF" w:rsidRDefault="00FC4750" w:rsidP="00FC4750">
      <w:pPr>
        <w:rPr>
          <w:lang w:val="en-US"/>
        </w:rPr>
      </w:pPr>
    </w:p>
    <w:p w14:paraId="275156BD" w14:textId="77777777" w:rsidR="00FC4750" w:rsidRPr="009D2DEF" w:rsidRDefault="00FC4750" w:rsidP="00232E3F">
      <w:pPr>
        <w:pStyle w:val="Heading1"/>
        <w:rPr>
          <w:lang w:val="en-US"/>
        </w:rPr>
      </w:pPr>
      <w:r w:rsidRPr="009D2DEF">
        <w:rPr>
          <w:lang w:val="en-US"/>
        </w:rPr>
        <w:t>Radio Resource Management</w:t>
      </w:r>
    </w:p>
    <w:p w14:paraId="7679536B" w14:textId="77777777" w:rsidR="00FC4750" w:rsidRPr="009D2DEF" w:rsidRDefault="00FC4750" w:rsidP="00FC4750">
      <w:pPr>
        <w:rPr>
          <w:lang w:val="en-US"/>
        </w:rPr>
      </w:pPr>
      <w:r w:rsidRPr="009D2DEF">
        <w:rPr>
          <w:lang w:val="en-US"/>
        </w:rPr>
        <w:t>A group of cells on the ground may be served by a single beam of a satellite and experience discontinuous transmission and reception (DTX/DRX) as the beam periodically “hops” across its coverage area in a TDM manner. This may be required if, for example, the total number of cells to be served is larger than the total number of supported beams per satellite across system. An example is shown in the figure below, where an 200ms beam hopping configuration periodicity is configured for 4 cells, with each using a 50ms beam-hopping cycle duration:</w:t>
      </w:r>
    </w:p>
    <w:p w14:paraId="27822A02" w14:textId="77777777" w:rsidR="00FC4750" w:rsidRPr="009D2DEF" w:rsidRDefault="00FC4750" w:rsidP="00FC4750">
      <w:pPr>
        <w:rPr>
          <w:lang w:val="en-US"/>
        </w:rPr>
      </w:pPr>
    </w:p>
    <w:p w14:paraId="4792450D" w14:textId="77777777" w:rsidR="00FC4750" w:rsidRPr="009D2DEF" w:rsidRDefault="00FC4750" w:rsidP="00FC4750">
      <w:pPr>
        <w:jc w:val="center"/>
        <w:rPr>
          <w:lang w:val="en-US"/>
        </w:rPr>
      </w:pPr>
      <w:r w:rsidRPr="009D2DEF">
        <w:rPr>
          <w:noProof/>
          <w:lang w:val="en-US"/>
        </w:rPr>
        <w:drawing>
          <wp:inline distT="0" distB="0" distL="0" distR="0" wp14:anchorId="53BF8A49" wp14:editId="7628E550">
            <wp:extent cx="3854823" cy="1587655"/>
            <wp:effectExtent l="0" t="0" r="0" b="0"/>
            <wp:docPr id="822297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7518" name=""/>
                    <pic:cNvPicPr/>
                  </pic:nvPicPr>
                  <pic:blipFill>
                    <a:blip r:embed="rId9"/>
                    <a:stretch>
                      <a:fillRect/>
                    </a:stretch>
                  </pic:blipFill>
                  <pic:spPr>
                    <a:xfrm>
                      <a:off x="0" y="0"/>
                      <a:ext cx="3876590" cy="1596620"/>
                    </a:xfrm>
                    <a:prstGeom prst="rect">
                      <a:avLst/>
                    </a:prstGeom>
                  </pic:spPr>
                </pic:pic>
              </a:graphicData>
            </a:graphic>
          </wp:inline>
        </w:drawing>
      </w:r>
    </w:p>
    <w:p w14:paraId="516FD1A6" w14:textId="6DDCF820" w:rsidR="00FC4750" w:rsidRPr="009D2DEF" w:rsidRDefault="00FC4750" w:rsidP="00FC4750">
      <w:pPr>
        <w:jc w:val="center"/>
        <w:rPr>
          <w:lang w:val="en-US"/>
        </w:rPr>
      </w:pPr>
      <w:r w:rsidRPr="009D2DEF">
        <w:rPr>
          <w:lang w:val="en-US"/>
        </w:rPr>
        <w:t xml:space="preserve">Figure </w:t>
      </w:r>
      <w:r w:rsidR="00B453EC">
        <w:rPr>
          <w:lang w:val="en-US"/>
        </w:rPr>
        <w:t>2</w:t>
      </w:r>
      <w:r w:rsidRPr="009D2DEF">
        <w:rPr>
          <w:lang w:val="en-US"/>
        </w:rPr>
        <w:t xml:space="preserve">. Example of </w:t>
      </w:r>
      <w:r w:rsidR="00B453EC">
        <w:rPr>
          <w:lang w:val="en-US"/>
        </w:rPr>
        <w:t>NTN b</w:t>
      </w:r>
      <w:r w:rsidRPr="009D2DEF">
        <w:rPr>
          <w:lang w:val="en-US"/>
        </w:rPr>
        <w:t xml:space="preserve">eam </w:t>
      </w:r>
      <w:r w:rsidR="00B453EC">
        <w:rPr>
          <w:lang w:val="en-US"/>
        </w:rPr>
        <w:t>h</w:t>
      </w:r>
      <w:r w:rsidRPr="009D2DEF">
        <w:rPr>
          <w:lang w:val="en-US"/>
        </w:rPr>
        <w:t>opping</w:t>
      </w:r>
    </w:p>
    <w:p w14:paraId="49CAA38C" w14:textId="77777777" w:rsidR="00FC4750" w:rsidRPr="009D2DEF" w:rsidRDefault="00FC4750" w:rsidP="00FC4750">
      <w:pPr>
        <w:rPr>
          <w:lang w:val="en-US"/>
        </w:rPr>
      </w:pPr>
    </w:p>
    <w:p w14:paraId="23BF3F2D" w14:textId="51CE09D4" w:rsidR="00FC4750" w:rsidRDefault="00FC4750" w:rsidP="00FC4750">
      <w:pPr>
        <w:rPr>
          <w:lang w:val="en-US"/>
        </w:rPr>
      </w:pPr>
      <w:r w:rsidRPr="009D2DEF">
        <w:rPr>
          <w:lang w:val="en-US"/>
        </w:rPr>
        <w:t>The frequency of the beam hopping across cells may be dependent on multiple factors such as the geographic area being served as well as the traffic load distribution. As part of the 6G study item, beam hopping</w:t>
      </w:r>
      <w:r>
        <w:rPr>
          <w:lang w:val="en-US"/>
        </w:rPr>
        <w:t xml:space="preserve"> for NTN</w:t>
      </w:r>
      <w:r w:rsidRPr="009D2DEF">
        <w:rPr>
          <w:lang w:val="en-US"/>
        </w:rPr>
        <w:t xml:space="preserve"> should be </w:t>
      </w:r>
      <w:r>
        <w:rPr>
          <w:lang w:val="en-US"/>
        </w:rPr>
        <w:t>considered in the overall design of</w:t>
      </w:r>
      <w:r w:rsidRPr="009D2DEF">
        <w:rPr>
          <w:lang w:val="en-US"/>
        </w:rPr>
        <w:t xml:space="preserve"> </w:t>
      </w:r>
      <w:r>
        <w:rPr>
          <w:lang w:val="en-US"/>
        </w:rPr>
        <w:t>reference</w:t>
      </w:r>
      <w:r w:rsidRPr="009D2DEF">
        <w:rPr>
          <w:lang w:val="en-US"/>
        </w:rPr>
        <w:t xml:space="preserve"> signals and </w:t>
      </w:r>
      <w:r>
        <w:rPr>
          <w:lang w:val="en-US"/>
        </w:rPr>
        <w:t xml:space="preserve">DL and UL control and data </w:t>
      </w:r>
      <w:r w:rsidRPr="009D2DEF">
        <w:rPr>
          <w:lang w:val="en-US"/>
        </w:rPr>
        <w:t xml:space="preserve">channels </w:t>
      </w:r>
      <w:r>
        <w:rPr>
          <w:lang w:val="en-US"/>
        </w:rPr>
        <w:t xml:space="preserve">and its </w:t>
      </w:r>
      <w:r w:rsidRPr="009D2DEF">
        <w:rPr>
          <w:lang w:val="en-US"/>
        </w:rPr>
        <w:t>impact on user experience KPIs (e.g. throughput and latency)</w:t>
      </w:r>
      <w:r>
        <w:rPr>
          <w:lang w:val="en-US"/>
        </w:rPr>
        <w:t xml:space="preserve"> evaluated for both active and inactive users</w:t>
      </w:r>
      <w:r w:rsidRPr="009D2DEF">
        <w:rPr>
          <w:lang w:val="en-US"/>
        </w:rPr>
        <w:t>.</w:t>
      </w:r>
    </w:p>
    <w:p w14:paraId="7AE75DA9" w14:textId="7A14C494" w:rsidR="00FC4750" w:rsidRPr="00232E3F" w:rsidRDefault="00FC4750" w:rsidP="00FC4750">
      <w:pPr>
        <w:rPr>
          <w:b/>
          <w:bCs/>
          <w:lang w:val="en-US"/>
        </w:rPr>
      </w:pPr>
      <w:r w:rsidRPr="00232E3F">
        <w:rPr>
          <w:b/>
          <w:bCs/>
          <w:lang w:val="en-US"/>
        </w:rPr>
        <w:t>Proposal-</w:t>
      </w:r>
      <w:r w:rsidR="00232E3F" w:rsidRPr="00232E3F">
        <w:rPr>
          <w:b/>
          <w:bCs/>
          <w:lang w:val="en-US"/>
        </w:rPr>
        <w:t>5</w:t>
      </w:r>
      <w:r w:rsidRPr="00232E3F">
        <w:rPr>
          <w:b/>
          <w:bCs/>
          <w:lang w:val="en-US"/>
        </w:rPr>
        <w:t>: 6G should optimize the RAT design considering the use case of beam hopping for NTN</w:t>
      </w:r>
      <w:r w:rsidR="00532CF2">
        <w:rPr>
          <w:b/>
          <w:bCs/>
          <w:lang w:val="en-US"/>
        </w:rPr>
        <w:t>.</w:t>
      </w:r>
    </w:p>
    <w:p w14:paraId="19012511" w14:textId="77777777" w:rsidR="00FC4750" w:rsidRPr="009D2DEF" w:rsidRDefault="00FC4750" w:rsidP="00FC4750">
      <w:pPr>
        <w:rPr>
          <w:lang w:val="en-US"/>
        </w:rPr>
      </w:pPr>
    </w:p>
    <w:p w14:paraId="5BF7BCA3" w14:textId="77777777" w:rsidR="00FC4750" w:rsidRPr="009D2DEF" w:rsidRDefault="00FC4750" w:rsidP="00232E3F">
      <w:pPr>
        <w:pStyle w:val="Heading1"/>
        <w:rPr>
          <w:lang w:val="en-US"/>
        </w:rPr>
      </w:pPr>
      <w:r w:rsidRPr="009D2DEF">
        <w:rPr>
          <w:lang w:val="en-US"/>
        </w:rPr>
        <w:t>Mobility and NTN/TN Interworking</w:t>
      </w:r>
    </w:p>
    <w:p w14:paraId="4A0CB3A6" w14:textId="77777777" w:rsidR="00FC4750" w:rsidRDefault="00FC4750" w:rsidP="00FC4750">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 xml:space="preserve">consider different mobility scenarios for NTN, including intra- and inter-frequency handovers, mobility between NTN and TN networks, and even the possibility of multi-connectivity between NTN and TN networks for the same device. It is desirable to harmonize NTN and TN mobility procedures where possible to simplify UE and network implementations, including the use of measurement reports, time/location-based triggers, and cell-selection criteria. </w:t>
      </w:r>
    </w:p>
    <w:p w14:paraId="12855314" w14:textId="213ADB75" w:rsidR="00FC4750" w:rsidRPr="00232E3F" w:rsidRDefault="00FC4750" w:rsidP="00232E3F">
      <w:pPr>
        <w:rPr>
          <w:lang w:val="en-US"/>
        </w:rPr>
      </w:pPr>
      <w:r w:rsidRPr="009D2DEF">
        <w:rPr>
          <w:lang w:val="en-US"/>
        </w:rPr>
        <w:t xml:space="preserve">However, </w:t>
      </w:r>
      <w:r>
        <w:rPr>
          <w:lang w:val="en-US"/>
        </w:rPr>
        <w:t xml:space="preserve">it is important to also consider necessary </w:t>
      </w:r>
      <w:r w:rsidRPr="009D2DEF">
        <w:rPr>
          <w:lang w:val="en-US"/>
        </w:rPr>
        <w:t xml:space="preserve">enhancements for NTN </w:t>
      </w:r>
      <w:r w:rsidR="00232E3F">
        <w:rPr>
          <w:lang w:val="en-US"/>
        </w:rPr>
        <w:t>mobility scenarios</w:t>
      </w:r>
      <w:r w:rsidRPr="009D2DEF">
        <w:rPr>
          <w:lang w:val="en-US"/>
        </w:rPr>
        <w:t xml:space="preserve"> </w:t>
      </w:r>
      <w:r>
        <w:rPr>
          <w:lang w:val="en-US"/>
        </w:rPr>
        <w:t>due to the specific challenges of NTN networks</w:t>
      </w:r>
      <w:r w:rsidRPr="009D2DEF">
        <w:rPr>
          <w:lang w:val="en-US"/>
        </w:rPr>
        <w:t xml:space="preserve">, such as </w:t>
      </w:r>
      <w:r>
        <w:rPr>
          <w:lang w:val="en-US"/>
        </w:rPr>
        <w:t>very large propagation delays, Doppler variations across source and target satellites, discontinuous coverage etc.</w:t>
      </w:r>
      <w:r w:rsidR="00232E3F">
        <w:rPr>
          <w:lang w:val="en-US"/>
        </w:rPr>
        <w:t xml:space="preserve"> </w:t>
      </w:r>
      <w:r w:rsidR="00AF426F">
        <w:rPr>
          <w:lang w:val="en-US"/>
        </w:rPr>
        <w:t>This includes</w:t>
      </w:r>
      <w:r>
        <w:rPr>
          <w:lang w:val="en-US"/>
        </w:rPr>
        <w:t xml:space="preserve"> the need for </w:t>
      </w:r>
      <w:r w:rsidRPr="009D2DEF">
        <w:rPr>
          <w:lang w:val="en-US"/>
        </w:rPr>
        <w:t>the indication of assistance information</w:t>
      </w:r>
      <w:r w:rsidR="00532CF2">
        <w:rPr>
          <w:lang w:val="en-US"/>
        </w:rPr>
        <w:t xml:space="preserve"> </w:t>
      </w:r>
      <w:r w:rsidRPr="009D2DEF">
        <w:rPr>
          <w:lang w:val="en-US"/>
        </w:rPr>
        <w:t xml:space="preserve">(e.g. satellite ephemeris, propagation delay, timing offset parameters) in dedicated </w:t>
      </w:r>
      <w:r w:rsidR="00AF426F">
        <w:rPr>
          <w:lang w:val="en-US"/>
        </w:rPr>
        <w:t xml:space="preserve">or </w:t>
      </w:r>
      <w:r w:rsidRPr="009D2DEF">
        <w:rPr>
          <w:lang w:val="en-US"/>
        </w:rPr>
        <w:t>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1FD0F4A5" w14:textId="5D26332A" w:rsidR="00FC4750" w:rsidRDefault="00FC4750" w:rsidP="00FC4750">
      <w:pPr>
        <w:rPr>
          <w:b/>
          <w:bCs/>
          <w:lang w:val="en-US"/>
        </w:rPr>
      </w:pPr>
      <w:r w:rsidRPr="00232E3F">
        <w:rPr>
          <w:b/>
          <w:bCs/>
          <w:shd w:val="clear" w:color="auto" w:fill="FFFFFF"/>
          <w:lang w:val="en-US"/>
        </w:rPr>
        <w:t>Proposal-</w:t>
      </w:r>
      <w:r w:rsidR="00232E3F" w:rsidRPr="00232E3F">
        <w:rPr>
          <w:b/>
          <w:bCs/>
          <w:shd w:val="clear" w:color="auto" w:fill="FFFFFF"/>
          <w:lang w:val="en-US"/>
        </w:rPr>
        <w:t>6</w:t>
      </w:r>
      <w:r w:rsidRPr="00232E3F">
        <w:rPr>
          <w:b/>
          <w:bCs/>
          <w:shd w:val="clear" w:color="auto" w:fill="FFFFFF"/>
          <w:lang w:val="en-US"/>
        </w:rPr>
        <w:t xml:space="preserve">: </w:t>
      </w:r>
      <w:r w:rsidR="00232E3F">
        <w:rPr>
          <w:b/>
          <w:bCs/>
          <w:shd w:val="clear" w:color="auto" w:fill="FFFFFF"/>
          <w:lang w:val="en-US"/>
        </w:rPr>
        <w:t xml:space="preserve">The </w:t>
      </w:r>
      <w:r w:rsidRPr="00232E3F">
        <w:rPr>
          <w:b/>
          <w:bCs/>
          <w:shd w:val="clear" w:color="auto" w:fill="FFFFFF"/>
          <w:lang w:val="en-US"/>
        </w:rPr>
        <w:t xml:space="preserve">6G study should consider </w:t>
      </w:r>
      <w:r w:rsidR="00232E3F" w:rsidRPr="00232E3F">
        <w:rPr>
          <w:b/>
          <w:bCs/>
          <w:lang w:val="en-US"/>
        </w:rPr>
        <w:t xml:space="preserve">necessary enhancements for NTN mobility scenarios due to the specific challenges of NTN networks, such as very large propagation delays, Doppler variations across source and target satellites, discontinuous coverage etc., including the need for the indication of </w:t>
      </w:r>
      <w:r w:rsidR="00532CF2">
        <w:rPr>
          <w:b/>
          <w:bCs/>
          <w:lang w:val="en-US"/>
        </w:rPr>
        <w:t xml:space="preserve">NTN-specific UE </w:t>
      </w:r>
      <w:r w:rsidR="00232E3F" w:rsidRPr="00232E3F">
        <w:rPr>
          <w:b/>
          <w:bCs/>
          <w:lang w:val="en-US"/>
        </w:rPr>
        <w:t>assistance information.</w:t>
      </w:r>
    </w:p>
    <w:p w14:paraId="2FD2CDAA" w14:textId="77777777" w:rsidR="00232E3F" w:rsidRPr="00232E3F" w:rsidRDefault="00232E3F" w:rsidP="00FC4750">
      <w:pPr>
        <w:rPr>
          <w:b/>
          <w:bCs/>
          <w:shd w:val="clear" w:color="auto" w:fill="FFFFFF"/>
          <w:lang w:val="en-US"/>
        </w:rPr>
      </w:pPr>
    </w:p>
    <w:p w14:paraId="50D95325" w14:textId="77777777" w:rsidR="00232E3F" w:rsidRDefault="00232E3F" w:rsidP="00232E3F">
      <w:pPr>
        <w:pStyle w:val="Heading1"/>
        <w:rPr>
          <w:lang w:val="en-US"/>
        </w:rPr>
      </w:pPr>
      <w:r>
        <w:rPr>
          <w:lang w:val="en-US"/>
        </w:rPr>
        <w:lastRenderedPageBreak/>
        <w:t>Spatial domain management</w:t>
      </w:r>
    </w:p>
    <w:p w14:paraId="3C579D97" w14:textId="5780F550" w:rsidR="00232E3F" w:rsidRPr="009D2DEF" w:rsidRDefault="00532CF2" w:rsidP="00232E3F">
      <w:pPr>
        <w:rPr>
          <w:lang w:val="en-US"/>
        </w:rPr>
      </w:pPr>
      <w:r>
        <w:rPr>
          <w:lang w:val="en-US"/>
        </w:rPr>
        <w:t xml:space="preserve">The </w:t>
      </w:r>
      <w:r w:rsidR="00232E3F">
        <w:rPr>
          <w:lang w:val="en-US"/>
        </w:rPr>
        <w:t>5G NR beam management framework is designed for TN deployment</w:t>
      </w:r>
      <w:r w:rsidR="00AF426F">
        <w:rPr>
          <w:lang w:val="en-US"/>
        </w:rPr>
        <w:t>s</w:t>
      </w:r>
      <w:r w:rsidR="00232E3F">
        <w:rPr>
          <w:lang w:val="en-US"/>
        </w:rPr>
        <w:t xml:space="preserve"> with a fixed gNB</w:t>
      </w:r>
      <w:r w:rsidR="00AF426F">
        <w:rPr>
          <w:lang w:val="en-US"/>
        </w:rPr>
        <w:t xml:space="preserve"> on the ground.</w:t>
      </w:r>
      <w:r w:rsidR="002B2C36">
        <w:rPr>
          <w:lang w:val="en-US"/>
        </w:rPr>
        <w:t xml:space="preserve"> </w:t>
      </w:r>
      <w:r w:rsidR="00AF426F">
        <w:rPr>
          <w:lang w:val="en-US"/>
        </w:rPr>
        <w:t>O</w:t>
      </w:r>
      <w:r w:rsidR="00232E3F">
        <w:rPr>
          <w:lang w:val="en-US"/>
        </w:rPr>
        <w:t>n the other hand,</w:t>
      </w:r>
      <w:r>
        <w:rPr>
          <w:lang w:val="en-US"/>
        </w:rPr>
        <w:t xml:space="preserve"> for</w:t>
      </w:r>
      <w:r w:rsidR="00232E3F">
        <w:rPr>
          <w:lang w:val="en-US"/>
        </w:rPr>
        <w:t xml:space="preserve"> NTN deployment</w:t>
      </w:r>
      <w:r>
        <w:rPr>
          <w:lang w:val="en-US"/>
        </w:rPr>
        <w:t>s</w:t>
      </w:r>
      <w:r w:rsidR="00232E3F">
        <w:rPr>
          <w:lang w:val="en-US"/>
        </w:rPr>
        <w:t xml:space="preserve">, especially LEO, </w:t>
      </w:r>
      <w:r>
        <w:rPr>
          <w:lang w:val="en-US"/>
        </w:rPr>
        <w:t xml:space="preserve">the </w:t>
      </w:r>
      <w:r w:rsidR="00232E3F">
        <w:rPr>
          <w:lang w:val="en-US"/>
        </w:rPr>
        <w:t xml:space="preserve">base-station </w:t>
      </w:r>
      <w:r>
        <w:rPr>
          <w:lang w:val="en-US"/>
        </w:rPr>
        <w:t xml:space="preserve">itself </w:t>
      </w:r>
      <w:r w:rsidR="00232E3F">
        <w:rPr>
          <w:lang w:val="en-US"/>
        </w:rPr>
        <w:t>is moving</w:t>
      </w:r>
      <w:r w:rsidR="002B2C36">
        <w:rPr>
          <w:lang w:val="en-US"/>
        </w:rPr>
        <w:t>, which</w:t>
      </w:r>
      <w:r w:rsidR="00232E3F">
        <w:rPr>
          <w:lang w:val="en-US"/>
        </w:rPr>
        <w:t xml:space="preserve"> </w:t>
      </w:r>
      <w:r w:rsidR="002B2C36">
        <w:rPr>
          <w:lang w:val="en-US"/>
        </w:rPr>
        <w:t>the</w:t>
      </w:r>
      <w:r w:rsidR="00232E3F">
        <w:rPr>
          <w:lang w:val="en-US"/>
        </w:rPr>
        <w:t xml:space="preserve"> NR beam management framework </w:t>
      </w:r>
      <w:r w:rsidR="002B2C36">
        <w:rPr>
          <w:lang w:val="en-US"/>
        </w:rPr>
        <w:t>was</w:t>
      </w:r>
      <w:r w:rsidR="00232E3F">
        <w:rPr>
          <w:lang w:val="en-US"/>
        </w:rPr>
        <w:t xml:space="preserve"> not optimized for. For 6GR, we suggest to study the beam management </w:t>
      </w:r>
      <w:r w:rsidR="00AF426F">
        <w:rPr>
          <w:lang w:val="en-US"/>
        </w:rPr>
        <w:t>frame</w:t>
      </w:r>
      <w:r w:rsidR="00232E3F">
        <w:rPr>
          <w:lang w:val="en-US"/>
        </w:rPr>
        <w:t xml:space="preserve">work with an NTN deployment scenario in mind. </w:t>
      </w:r>
    </w:p>
    <w:p w14:paraId="084579F5" w14:textId="58FA6522" w:rsidR="00232E3F" w:rsidRPr="00232E3F" w:rsidRDefault="00232E3F" w:rsidP="00232E3F">
      <w:pPr>
        <w:rPr>
          <w:b/>
          <w:bCs/>
          <w:lang w:val="en-US"/>
        </w:rPr>
      </w:pPr>
      <w:r w:rsidRPr="00232E3F">
        <w:rPr>
          <w:b/>
          <w:bCs/>
          <w:lang w:val="en-US"/>
        </w:rPr>
        <w:t>Proposal-</w:t>
      </w:r>
      <w:r>
        <w:rPr>
          <w:b/>
          <w:bCs/>
          <w:lang w:val="en-US"/>
        </w:rPr>
        <w:t>7</w:t>
      </w:r>
      <w:r w:rsidRPr="00232E3F">
        <w:rPr>
          <w:b/>
          <w:bCs/>
          <w:lang w:val="en-US"/>
        </w:rPr>
        <w:t xml:space="preserve">: </w:t>
      </w:r>
      <w:r w:rsidR="002B2C36">
        <w:rPr>
          <w:b/>
          <w:bCs/>
          <w:lang w:val="en-US"/>
        </w:rPr>
        <w:t xml:space="preserve">The </w:t>
      </w:r>
      <w:r w:rsidRPr="00232E3F">
        <w:rPr>
          <w:b/>
          <w:bCs/>
          <w:lang w:val="en-US"/>
        </w:rPr>
        <w:t xml:space="preserve">6GR beam management framework must support NTN with high velocity satellites. </w:t>
      </w:r>
    </w:p>
    <w:p w14:paraId="364C75E2" w14:textId="77777777" w:rsidR="00FD6952" w:rsidRPr="009D2DEF" w:rsidRDefault="00FD6952" w:rsidP="00FD6952">
      <w:pPr>
        <w:rPr>
          <w:lang w:val="en-US"/>
        </w:rPr>
      </w:pPr>
    </w:p>
    <w:p w14:paraId="2E53368B" w14:textId="77777777" w:rsidR="00FF2D89" w:rsidRPr="009D2DEF" w:rsidRDefault="00FF2D89" w:rsidP="00B33E61">
      <w:pPr>
        <w:pStyle w:val="Heading1"/>
        <w:rPr>
          <w:lang w:val="en-US"/>
        </w:rPr>
      </w:pPr>
      <w:r w:rsidRPr="009D2DEF">
        <w:rPr>
          <w:lang w:val="en-US"/>
        </w:rPr>
        <w:t>Conclusion</w:t>
      </w:r>
    </w:p>
    <w:p w14:paraId="49604B5C" w14:textId="77777777" w:rsidR="00FA10DC" w:rsidRDefault="002267AB" w:rsidP="00FA10DC">
      <w:pPr>
        <w:rPr>
          <w:szCs w:val="20"/>
          <w:lang w:val="en-US"/>
        </w:rPr>
      </w:pPr>
      <w:r w:rsidRPr="009D2DEF">
        <w:rPr>
          <w:szCs w:val="20"/>
          <w:lang w:val="en-US"/>
        </w:rPr>
        <w:t xml:space="preserve">In this </w:t>
      </w:r>
      <w:r w:rsidR="000D516B" w:rsidRPr="009D2DEF">
        <w:rPr>
          <w:szCs w:val="20"/>
          <w:lang w:val="en-US"/>
        </w:rPr>
        <w:t xml:space="preserve">contribution, </w:t>
      </w:r>
      <w:r w:rsidR="0027675E" w:rsidRPr="009D2DEF">
        <w:rPr>
          <w:szCs w:val="20"/>
          <w:lang w:val="en-US"/>
        </w:rPr>
        <w:t>we made</w:t>
      </w:r>
      <w:r w:rsidRPr="009D2DEF">
        <w:rPr>
          <w:szCs w:val="20"/>
          <w:lang w:val="en-US"/>
        </w:rPr>
        <w:t xml:space="preserve"> the following proposal</w:t>
      </w:r>
      <w:r w:rsidR="002650C6" w:rsidRPr="009D2DEF">
        <w:rPr>
          <w:szCs w:val="20"/>
          <w:lang w:val="en-US"/>
        </w:rPr>
        <w:t>s</w:t>
      </w:r>
      <w:r w:rsidRPr="009D2DEF">
        <w:rPr>
          <w:szCs w:val="20"/>
          <w:lang w:val="en-US"/>
        </w:rPr>
        <w:t>:</w:t>
      </w:r>
    </w:p>
    <w:p w14:paraId="6F67D550" w14:textId="77777777" w:rsidR="00AF426F" w:rsidRPr="00FC4750" w:rsidRDefault="00AF426F" w:rsidP="00AF426F">
      <w:pPr>
        <w:rPr>
          <w:b/>
          <w:bCs/>
          <w:lang w:val="en-US"/>
        </w:rPr>
      </w:pPr>
      <w:r w:rsidRPr="00FC4750">
        <w:rPr>
          <w:b/>
          <w:bCs/>
          <w:lang w:val="en-US"/>
        </w:rPr>
        <w:t xml:space="preserve">Proposal-1: A harmonized 6G TN-NTN design should support both TN and NTN in a GNSS-less environment. </w:t>
      </w:r>
    </w:p>
    <w:p w14:paraId="7D6F5A11" w14:textId="77777777" w:rsidR="00AF426F" w:rsidRPr="00FC4750" w:rsidRDefault="00AF426F" w:rsidP="00AF426F">
      <w:pPr>
        <w:rPr>
          <w:b/>
          <w:bCs/>
          <w:lang w:val="en-US"/>
        </w:rPr>
      </w:pPr>
      <w:r w:rsidRPr="00FC4750">
        <w:rPr>
          <w:b/>
          <w:bCs/>
          <w:lang w:val="en-US"/>
        </w:rPr>
        <w:t xml:space="preserve">Proposal-2: 6G UE </w:t>
      </w:r>
      <w:r>
        <w:rPr>
          <w:b/>
          <w:bCs/>
          <w:lang w:val="en-US"/>
        </w:rPr>
        <w:t>should have mandatory support for</w:t>
      </w:r>
      <w:r w:rsidRPr="00FC4750">
        <w:rPr>
          <w:b/>
          <w:bCs/>
          <w:lang w:val="en-US"/>
        </w:rPr>
        <w:t xml:space="preserve"> the basic communication features </w:t>
      </w:r>
      <w:r>
        <w:rPr>
          <w:b/>
          <w:bCs/>
          <w:lang w:val="en-US"/>
        </w:rPr>
        <w:t>of</w:t>
      </w:r>
      <w:r w:rsidRPr="00FC4750">
        <w:rPr>
          <w:b/>
          <w:bCs/>
          <w:lang w:val="en-US"/>
        </w:rPr>
        <w:t xml:space="preserve"> both TN and NTN deployment</w:t>
      </w:r>
      <w:r>
        <w:rPr>
          <w:b/>
          <w:bCs/>
          <w:lang w:val="en-US"/>
        </w:rPr>
        <w:t>s</w:t>
      </w:r>
      <w:r w:rsidRPr="00FC4750">
        <w:rPr>
          <w:b/>
          <w:bCs/>
          <w:lang w:val="en-US"/>
        </w:rPr>
        <w:t xml:space="preserve">. </w:t>
      </w:r>
    </w:p>
    <w:p w14:paraId="33DF2FB1" w14:textId="77777777" w:rsidR="00AF426F" w:rsidRPr="00FC4750" w:rsidRDefault="00AF426F" w:rsidP="00AF426F">
      <w:pPr>
        <w:rPr>
          <w:b/>
          <w:bCs/>
          <w:lang w:val="en-US"/>
        </w:rPr>
      </w:pPr>
      <w:r w:rsidRPr="00FC4750">
        <w:rPr>
          <w:b/>
          <w:bCs/>
          <w:lang w:val="en-US"/>
        </w:rPr>
        <w:t>Proposal-3: Seamless deployment of TN and NTN coverage</w:t>
      </w:r>
      <w:r>
        <w:rPr>
          <w:b/>
          <w:bCs/>
          <w:lang w:val="en-US"/>
        </w:rPr>
        <w:t xml:space="preserve"> (including mobility + multi-connectivity)</w:t>
      </w:r>
      <w:r w:rsidRPr="00FC4750">
        <w:rPr>
          <w:b/>
          <w:bCs/>
          <w:lang w:val="en-US"/>
        </w:rPr>
        <w:t xml:space="preserve"> must be supported by 6G. </w:t>
      </w:r>
    </w:p>
    <w:p w14:paraId="685BFC94" w14:textId="77777777" w:rsidR="005D7277" w:rsidRPr="00232E3F" w:rsidRDefault="005D7277" w:rsidP="005D7277">
      <w:pPr>
        <w:rPr>
          <w:b/>
          <w:bCs/>
          <w:lang w:val="en-US"/>
        </w:rPr>
      </w:pPr>
      <w:r w:rsidRPr="00232E3F">
        <w:rPr>
          <w:b/>
          <w:bCs/>
          <w:lang w:val="en-US"/>
        </w:rPr>
        <w:t>Proposal-4: Both regenerative and transparent NTN payload architectures should be supported by 6G</w:t>
      </w:r>
      <w:r>
        <w:rPr>
          <w:b/>
          <w:bCs/>
          <w:lang w:val="en-US"/>
        </w:rPr>
        <w:t>.</w:t>
      </w:r>
    </w:p>
    <w:p w14:paraId="63E60ADD" w14:textId="77777777" w:rsidR="005D7277" w:rsidRPr="00232E3F" w:rsidRDefault="005D7277" w:rsidP="005D7277">
      <w:pPr>
        <w:rPr>
          <w:b/>
          <w:bCs/>
          <w:lang w:val="en-US"/>
        </w:rPr>
      </w:pPr>
      <w:r w:rsidRPr="00232E3F">
        <w:rPr>
          <w:b/>
          <w:bCs/>
          <w:lang w:val="en-US"/>
        </w:rPr>
        <w:t>Proposal-5: 6G should optimize the RAT design considering the use case of beam hopping for NTN</w:t>
      </w:r>
      <w:r>
        <w:rPr>
          <w:b/>
          <w:bCs/>
          <w:lang w:val="en-US"/>
        </w:rPr>
        <w:t>.</w:t>
      </w:r>
    </w:p>
    <w:p w14:paraId="1E75A3AF" w14:textId="77777777" w:rsidR="005D7277" w:rsidRDefault="005D7277" w:rsidP="005D7277">
      <w:pPr>
        <w:rPr>
          <w:b/>
          <w:bCs/>
          <w:lang w:val="en-US"/>
        </w:rPr>
      </w:pPr>
      <w:r w:rsidRPr="00232E3F">
        <w:rPr>
          <w:b/>
          <w:bCs/>
          <w:shd w:val="clear" w:color="auto" w:fill="FFFFFF"/>
          <w:lang w:val="en-US"/>
        </w:rPr>
        <w:t xml:space="preserve">Proposal-6: </w:t>
      </w:r>
      <w:r>
        <w:rPr>
          <w:b/>
          <w:bCs/>
          <w:shd w:val="clear" w:color="auto" w:fill="FFFFFF"/>
          <w:lang w:val="en-US"/>
        </w:rPr>
        <w:t xml:space="preserve">The </w:t>
      </w:r>
      <w:r w:rsidRPr="00232E3F">
        <w:rPr>
          <w:b/>
          <w:bCs/>
          <w:shd w:val="clear" w:color="auto" w:fill="FFFFFF"/>
          <w:lang w:val="en-US"/>
        </w:rPr>
        <w:t xml:space="preserve">6G study should consider </w:t>
      </w:r>
      <w:r w:rsidRPr="00232E3F">
        <w:rPr>
          <w:b/>
          <w:bCs/>
          <w:lang w:val="en-US"/>
        </w:rPr>
        <w:t xml:space="preserve">necessary enhancements for NTN mobility scenarios due to the specific challenges of NTN networks, such as very large propagation delays, Doppler variations across source and target satellites, discontinuous coverage etc., including the need for the indication of </w:t>
      </w:r>
      <w:r>
        <w:rPr>
          <w:b/>
          <w:bCs/>
          <w:lang w:val="en-US"/>
        </w:rPr>
        <w:t xml:space="preserve">NTN-specific UE </w:t>
      </w:r>
      <w:r w:rsidRPr="00232E3F">
        <w:rPr>
          <w:b/>
          <w:bCs/>
          <w:lang w:val="en-US"/>
        </w:rPr>
        <w:t>assistance information.</w:t>
      </w:r>
    </w:p>
    <w:p w14:paraId="2100E6AD" w14:textId="77777777" w:rsidR="005D7277" w:rsidRPr="00232E3F" w:rsidRDefault="005D7277" w:rsidP="005D7277">
      <w:pPr>
        <w:rPr>
          <w:b/>
          <w:bCs/>
          <w:lang w:val="en-US"/>
        </w:rPr>
      </w:pPr>
      <w:r w:rsidRPr="00232E3F">
        <w:rPr>
          <w:b/>
          <w:bCs/>
          <w:lang w:val="en-US"/>
        </w:rPr>
        <w:t>Proposal-</w:t>
      </w:r>
      <w:r>
        <w:rPr>
          <w:b/>
          <w:bCs/>
          <w:lang w:val="en-US"/>
        </w:rPr>
        <w:t>7</w:t>
      </w:r>
      <w:r w:rsidRPr="00232E3F">
        <w:rPr>
          <w:b/>
          <w:bCs/>
          <w:lang w:val="en-US"/>
        </w:rPr>
        <w:t xml:space="preserve">: </w:t>
      </w:r>
      <w:r>
        <w:rPr>
          <w:b/>
          <w:bCs/>
          <w:lang w:val="en-US"/>
        </w:rPr>
        <w:t xml:space="preserve">The </w:t>
      </w:r>
      <w:r w:rsidRPr="00232E3F">
        <w:rPr>
          <w:b/>
          <w:bCs/>
          <w:lang w:val="en-US"/>
        </w:rPr>
        <w:t xml:space="preserve">6GR beam management framework must support NTN with high velocity satellites. </w:t>
      </w:r>
    </w:p>
    <w:p w14:paraId="17C6CB24" w14:textId="77777777" w:rsidR="00232E3F" w:rsidRPr="009D2DEF" w:rsidRDefault="00232E3F" w:rsidP="00FA10DC">
      <w:pPr>
        <w:rPr>
          <w:szCs w:val="20"/>
          <w:lang w:val="en-US"/>
        </w:rPr>
      </w:pPr>
    </w:p>
    <w:p w14:paraId="0E37F299" w14:textId="77777777" w:rsidR="001C14CB" w:rsidRPr="009D2DEF" w:rsidRDefault="001C14CB" w:rsidP="005F375F">
      <w:pPr>
        <w:rPr>
          <w:lang w:val="en-US"/>
        </w:rPr>
      </w:pPr>
    </w:p>
    <w:sectPr w:rsidR="001C14CB" w:rsidRPr="009D2DEF"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AB67" w14:textId="77777777" w:rsidR="002B35B8" w:rsidRDefault="002B35B8">
      <w:r>
        <w:separator/>
      </w:r>
    </w:p>
  </w:endnote>
  <w:endnote w:type="continuationSeparator" w:id="0">
    <w:p w14:paraId="7D3B77A0" w14:textId="77777777" w:rsidR="002B35B8" w:rsidRDefault="002B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3E83E" w14:textId="77777777" w:rsidR="002B35B8" w:rsidRDefault="002B35B8">
      <w:r>
        <w:separator/>
      </w:r>
    </w:p>
  </w:footnote>
  <w:footnote w:type="continuationSeparator" w:id="0">
    <w:p w14:paraId="4E5E08B9" w14:textId="77777777" w:rsidR="002B35B8" w:rsidRDefault="002B3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1pt;height:1in"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AB2"/>
    <w:multiLevelType w:val="multilevel"/>
    <w:tmpl w:val="3EE65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821D6"/>
    <w:multiLevelType w:val="hybridMultilevel"/>
    <w:tmpl w:val="8D08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E70E11"/>
    <w:multiLevelType w:val="hybridMultilevel"/>
    <w:tmpl w:val="955088E0"/>
    <w:lvl w:ilvl="0" w:tplc="FFFFFFFF">
      <w:start w:val="1"/>
      <w:numFmt w:val="decimal"/>
      <w:lvlText w:val="%1."/>
      <w:lvlJc w:val="left"/>
      <w:pPr>
        <w:ind w:left="1004"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872AD"/>
    <w:multiLevelType w:val="hybridMultilevel"/>
    <w:tmpl w:val="5990410C"/>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D130A"/>
    <w:multiLevelType w:val="multilevel"/>
    <w:tmpl w:val="2C32F9CE"/>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F040B3"/>
    <w:multiLevelType w:val="hybridMultilevel"/>
    <w:tmpl w:val="0E44B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134E3"/>
    <w:multiLevelType w:val="hybridMultilevel"/>
    <w:tmpl w:val="31D8A378"/>
    <w:lvl w:ilvl="0" w:tplc="AFBC4B42">
      <w:start w:val="1"/>
      <w:numFmt w:val="bullet"/>
      <w:lvlText w:val=""/>
      <w:lvlJc w:val="left"/>
      <w:pPr>
        <w:tabs>
          <w:tab w:val="num" w:pos="720"/>
        </w:tabs>
        <w:ind w:left="720" w:hanging="360"/>
      </w:pPr>
      <w:rPr>
        <w:rFonts w:ascii="Symbol" w:hAnsi="Symbol" w:hint="default"/>
      </w:rPr>
    </w:lvl>
    <w:lvl w:ilvl="1" w:tplc="B596E23A" w:tentative="1">
      <w:start w:val="1"/>
      <w:numFmt w:val="bullet"/>
      <w:lvlText w:val=""/>
      <w:lvlJc w:val="left"/>
      <w:pPr>
        <w:tabs>
          <w:tab w:val="num" w:pos="1440"/>
        </w:tabs>
        <w:ind w:left="1440" w:hanging="360"/>
      </w:pPr>
      <w:rPr>
        <w:rFonts w:ascii="Symbol" w:hAnsi="Symbol" w:hint="default"/>
      </w:rPr>
    </w:lvl>
    <w:lvl w:ilvl="2" w:tplc="6652DD82" w:tentative="1">
      <w:start w:val="1"/>
      <w:numFmt w:val="bullet"/>
      <w:lvlText w:val=""/>
      <w:lvlJc w:val="left"/>
      <w:pPr>
        <w:tabs>
          <w:tab w:val="num" w:pos="2160"/>
        </w:tabs>
        <w:ind w:left="2160" w:hanging="360"/>
      </w:pPr>
      <w:rPr>
        <w:rFonts w:ascii="Symbol" w:hAnsi="Symbol" w:hint="default"/>
      </w:rPr>
    </w:lvl>
    <w:lvl w:ilvl="3" w:tplc="8912E9BE" w:tentative="1">
      <w:start w:val="1"/>
      <w:numFmt w:val="bullet"/>
      <w:lvlText w:val=""/>
      <w:lvlJc w:val="left"/>
      <w:pPr>
        <w:tabs>
          <w:tab w:val="num" w:pos="2880"/>
        </w:tabs>
        <w:ind w:left="2880" w:hanging="360"/>
      </w:pPr>
      <w:rPr>
        <w:rFonts w:ascii="Symbol" w:hAnsi="Symbol" w:hint="default"/>
      </w:rPr>
    </w:lvl>
    <w:lvl w:ilvl="4" w:tplc="B2200532" w:tentative="1">
      <w:start w:val="1"/>
      <w:numFmt w:val="bullet"/>
      <w:lvlText w:val=""/>
      <w:lvlJc w:val="left"/>
      <w:pPr>
        <w:tabs>
          <w:tab w:val="num" w:pos="3600"/>
        </w:tabs>
        <w:ind w:left="3600" w:hanging="360"/>
      </w:pPr>
      <w:rPr>
        <w:rFonts w:ascii="Symbol" w:hAnsi="Symbol" w:hint="default"/>
      </w:rPr>
    </w:lvl>
    <w:lvl w:ilvl="5" w:tplc="C298F4BA" w:tentative="1">
      <w:start w:val="1"/>
      <w:numFmt w:val="bullet"/>
      <w:lvlText w:val=""/>
      <w:lvlJc w:val="left"/>
      <w:pPr>
        <w:tabs>
          <w:tab w:val="num" w:pos="4320"/>
        </w:tabs>
        <w:ind w:left="4320" w:hanging="360"/>
      </w:pPr>
      <w:rPr>
        <w:rFonts w:ascii="Symbol" w:hAnsi="Symbol" w:hint="default"/>
      </w:rPr>
    </w:lvl>
    <w:lvl w:ilvl="6" w:tplc="47DC4BAA" w:tentative="1">
      <w:start w:val="1"/>
      <w:numFmt w:val="bullet"/>
      <w:lvlText w:val=""/>
      <w:lvlJc w:val="left"/>
      <w:pPr>
        <w:tabs>
          <w:tab w:val="num" w:pos="5040"/>
        </w:tabs>
        <w:ind w:left="5040" w:hanging="360"/>
      </w:pPr>
      <w:rPr>
        <w:rFonts w:ascii="Symbol" w:hAnsi="Symbol" w:hint="default"/>
      </w:rPr>
    </w:lvl>
    <w:lvl w:ilvl="7" w:tplc="4642DA06" w:tentative="1">
      <w:start w:val="1"/>
      <w:numFmt w:val="bullet"/>
      <w:lvlText w:val=""/>
      <w:lvlJc w:val="left"/>
      <w:pPr>
        <w:tabs>
          <w:tab w:val="num" w:pos="5760"/>
        </w:tabs>
        <w:ind w:left="5760" w:hanging="360"/>
      </w:pPr>
      <w:rPr>
        <w:rFonts w:ascii="Symbol" w:hAnsi="Symbol" w:hint="default"/>
      </w:rPr>
    </w:lvl>
    <w:lvl w:ilvl="8" w:tplc="CF86F0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730A10"/>
    <w:multiLevelType w:val="hybridMultilevel"/>
    <w:tmpl w:val="C41E3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02504"/>
    <w:multiLevelType w:val="hybridMultilevel"/>
    <w:tmpl w:val="75EA1BC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A0D84"/>
    <w:multiLevelType w:val="hybridMultilevel"/>
    <w:tmpl w:val="4E90536A"/>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C31063"/>
    <w:multiLevelType w:val="multilevel"/>
    <w:tmpl w:val="A45AA366"/>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4A6E9E"/>
    <w:multiLevelType w:val="hybridMultilevel"/>
    <w:tmpl w:val="4EFA1EF6"/>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4"/>
  </w:num>
  <w:num w:numId="4" w16cid:durableId="774859772">
    <w:abstractNumId w:val="2"/>
  </w:num>
  <w:num w:numId="5" w16cid:durableId="1289042531">
    <w:abstractNumId w:val="27"/>
  </w:num>
  <w:num w:numId="6" w16cid:durableId="1244148161">
    <w:abstractNumId w:val="39"/>
  </w:num>
  <w:num w:numId="7" w16cid:durableId="1713382998">
    <w:abstractNumId w:val="30"/>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3"/>
  </w:num>
  <w:num w:numId="17" w16cid:durableId="1898466789">
    <w:abstractNumId w:val="47"/>
  </w:num>
  <w:num w:numId="18" w16cid:durableId="726610530">
    <w:abstractNumId w:val="14"/>
  </w:num>
  <w:num w:numId="19" w16cid:durableId="1719428614">
    <w:abstractNumId w:val="42"/>
  </w:num>
  <w:num w:numId="20" w16cid:durableId="432937264">
    <w:abstractNumId w:val="14"/>
  </w:num>
  <w:num w:numId="21" w16cid:durableId="623968984">
    <w:abstractNumId w:val="36"/>
  </w:num>
  <w:num w:numId="22" w16cid:durableId="1374882698">
    <w:abstractNumId w:val="21"/>
  </w:num>
  <w:num w:numId="23" w16cid:durableId="11537142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3"/>
  </w:num>
  <w:num w:numId="25" w16cid:durableId="2045905877">
    <w:abstractNumId w:val="14"/>
  </w:num>
  <w:num w:numId="26" w16cid:durableId="1471243248">
    <w:abstractNumId w:val="35"/>
  </w:num>
  <w:num w:numId="27" w16cid:durableId="589393986">
    <w:abstractNumId w:val="41"/>
  </w:num>
  <w:num w:numId="28" w16cid:durableId="2005741801">
    <w:abstractNumId w:val="46"/>
  </w:num>
  <w:num w:numId="29" w16cid:durableId="2125225125">
    <w:abstractNumId w:val="15"/>
  </w:num>
  <w:num w:numId="30" w16cid:durableId="555049108">
    <w:abstractNumId w:val="3"/>
  </w:num>
  <w:num w:numId="31" w16cid:durableId="1099331800">
    <w:abstractNumId w:val="24"/>
  </w:num>
  <w:num w:numId="32" w16cid:durableId="1824274228">
    <w:abstractNumId w:val="9"/>
  </w:num>
  <w:num w:numId="33" w16cid:durableId="1628706790">
    <w:abstractNumId w:val="1"/>
  </w:num>
  <w:num w:numId="34" w16cid:durableId="1214200068">
    <w:abstractNumId w:val="43"/>
  </w:num>
  <w:num w:numId="35" w16cid:durableId="1830294173">
    <w:abstractNumId w:val="14"/>
  </w:num>
  <w:num w:numId="36" w16cid:durableId="938414390">
    <w:abstractNumId w:val="37"/>
  </w:num>
  <w:num w:numId="37" w16cid:durableId="1829711585">
    <w:abstractNumId w:val="21"/>
  </w:num>
  <w:num w:numId="38" w16cid:durableId="1266687829">
    <w:abstractNumId w:val="5"/>
  </w:num>
  <w:num w:numId="39" w16cid:durableId="1745452838">
    <w:abstractNumId w:val="45"/>
  </w:num>
  <w:num w:numId="40" w16cid:durableId="1265455544">
    <w:abstractNumId w:val="26"/>
  </w:num>
  <w:num w:numId="41" w16cid:durableId="1298295595">
    <w:abstractNumId w:val="14"/>
  </w:num>
  <w:num w:numId="42" w16cid:durableId="434247589">
    <w:abstractNumId w:val="14"/>
  </w:num>
  <w:num w:numId="43" w16cid:durableId="351807205">
    <w:abstractNumId w:val="7"/>
  </w:num>
  <w:num w:numId="44" w16cid:durableId="1237669215">
    <w:abstractNumId w:val="13"/>
  </w:num>
  <w:num w:numId="45" w16cid:durableId="359357959">
    <w:abstractNumId w:val="4"/>
  </w:num>
  <w:num w:numId="46" w16cid:durableId="148056510">
    <w:abstractNumId w:val="11"/>
  </w:num>
  <w:num w:numId="47" w16cid:durableId="1531138685">
    <w:abstractNumId w:val="38"/>
  </w:num>
  <w:num w:numId="48" w16cid:durableId="1763842488">
    <w:abstractNumId w:val="29"/>
  </w:num>
  <w:num w:numId="49" w16cid:durableId="1611476015">
    <w:abstractNumId w:val="8"/>
  </w:num>
  <w:num w:numId="50" w16cid:durableId="357854412">
    <w:abstractNumId w:val="19"/>
  </w:num>
  <w:num w:numId="51" w16cid:durableId="108471404">
    <w:abstractNumId w:val="40"/>
  </w:num>
  <w:num w:numId="52" w16cid:durableId="397480362">
    <w:abstractNumId w:val="32"/>
  </w:num>
  <w:num w:numId="53" w16cid:durableId="1251965116">
    <w:abstractNumId w:val="10"/>
  </w:num>
  <w:num w:numId="54" w16cid:durableId="1490748431">
    <w:abstractNumId w:val="22"/>
  </w:num>
  <w:num w:numId="55" w16cid:durableId="444807311">
    <w:abstractNumId w:val="12"/>
  </w:num>
  <w:num w:numId="56" w16cid:durableId="1899507964">
    <w:abstractNumId w:val="14"/>
  </w:num>
  <w:num w:numId="57" w16cid:durableId="147869115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66F"/>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A87"/>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9A"/>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5DA"/>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1AE"/>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1C56"/>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307"/>
    <w:rsid w:val="001615B2"/>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44B"/>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E3F"/>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4EF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623"/>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399"/>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C36"/>
    <w:rsid w:val="002B2E3E"/>
    <w:rsid w:val="002B303A"/>
    <w:rsid w:val="002B3050"/>
    <w:rsid w:val="002B3321"/>
    <w:rsid w:val="002B33CB"/>
    <w:rsid w:val="002B348C"/>
    <w:rsid w:val="002B34E1"/>
    <w:rsid w:val="002B35B8"/>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9A4"/>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2BA"/>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B6D"/>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710"/>
    <w:rsid w:val="003A5F2E"/>
    <w:rsid w:val="003A5FEF"/>
    <w:rsid w:val="003A6336"/>
    <w:rsid w:val="003A63C1"/>
    <w:rsid w:val="003A63C7"/>
    <w:rsid w:val="003A663C"/>
    <w:rsid w:val="003A6855"/>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8BE"/>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3A6"/>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CF2"/>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64"/>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275"/>
    <w:rsid w:val="00584416"/>
    <w:rsid w:val="005847C6"/>
    <w:rsid w:val="00584B39"/>
    <w:rsid w:val="00584D80"/>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E45"/>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295"/>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5E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277"/>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1D7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37"/>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3DEE"/>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756"/>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96E"/>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9C4"/>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705"/>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05"/>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377"/>
    <w:rsid w:val="008D1421"/>
    <w:rsid w:val="008D14EF"/>
    <w:rsid w:val="008D1511"/>
    <w:rsid w:val="008D1A0F"/>
    <w:rsid w:val="008D1B71"/>
    <w:rsid w:val="008D1DF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CB3"/>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ABA"/>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DEF"/>
    <w:rsid w:val="009D2FA3"/>
    <w:rsid w:val="009D319C"/>
    <w:rsid w:val="009D3DB8"/>
    <w:rsid w:val="009D42EB"/>
    <w:rsid w:val="009D4823"/>
    <w:rsid w:val="009D5106"/>
    <w:rsid w:val="009D5399"/>
    <w:rsid w:val="009D55B6"/>
    <w:rsid w:val="009D5BAB"/>
    <w:rsid w:val="009D5F9A"/>
    <w:rsid w:val="009D5FE8"/>
    <w:rsid w:val="009D6A0A"/>
    <w:rsid w:val="009D6B50"/>
    <w:rsid w:val="009D7184"/>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69A"/>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025"/>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26F"/>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16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875"/>
    <w:rsid w:val="00B43232"/>
    <w:rsid w:val="00B4325A"/>
    <w:rsid w:val="00B43507"/>
    <w:rsid w:val="00B435B1"/>
    <w:rsid w:val="00B4367F"/>
    <w:rsid w:val="00B438BA"/>
    <w:rsid w:val="00B43C50"/>
    <w:rsid w:val="00B43FA3"/>
    <w:rsid w:val="00B44C95"/>
    <w:rsid w:val="00B44F6F"/>
    <w:rsid w:val="00B44F99"/>
    <w:rsid w:val="00B45039"/>
    <w:rsid w:val="00B45081"/>
    <w:rsid w:val="00B453EC"/>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16A"/>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A2A"/>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0B7"/>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23F"/>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698"/>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3B3"/>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641"/>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22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4D2"/>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D5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50"/>
    <w:rsid w:val="00FC47E9"/>
    <w:rsid w:val="00FC4A8C"/>
    <w:rsid w:val="00FC4ACE"/>
    <w:rsid w:val="00FC53DB"/>
    <w:rsid w:val="00FC5FC2"/>
    <w:rsid w:val="00FC6177"/>
    <w:rsid w:val="00FC63D1"/>
    <w:rsid w:val="00FC6564"/>
    <w:rsid w:val="00FC6690"/>
    <w:rsid w:val="00FC6CD1"/>
    <w:rsid w:val="00FC6D82"/>
    <w:rsid w:val="00FC70D0"/>
    <w:rsid w:val="00FC72EC"/>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CD74D"/>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uiPriority w:val="9"/>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link w:val="Heading4Char"/>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customStyle="1" w:styleId="Heading4Char">
    <w:name w:val="Heading 4 Char"/>
    <w:basedOn w:val="DefaultParagraphFont"/>
    <w:link w:val="Heading4"/>
    <w:rsid w:val="005A7E45"/>
    <w:rPr>
      <w:rFonts w:eastAsia="Times New Roman"/>
      <w:b/>
      <w:bCs/>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10977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Thomas</cp:lastModifiedBy>
  <cp:revision>2</cp:revision>
  <cp:lastPrinted>2015-07-25T09:06:00Z</cp:lastPrinted>
  <dcterms:created xsi:type="dcterms:W3CDTF">2025-11-07T04:24:00Z</dcterms:created>
  <dcterms:modified xsi:type="dcterms:W3CDTF">2025-11-07T04:24:00Z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