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311C" w14:textId="6DA0DD67" w:rsidR="00D27D2B" w:rsidRPr="00FC3DD9" w:rsidRDefault="00D27D2B" w:rsidP="00D27D2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FC3DD9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ab/>
        <w:t>R2-250495</w:t>
      </w:r>
      <w:r>
        <w:rPr>
          <w:rFonts w:ascii="Arial" w:eastAsia="DengXian" w:hAnsi="Arial"/>
          <w:b/>
          <w:noProof/>
          <w:sz w:val="24"/>
          <w:lang w:eastAsia="en-US"/>
        </w:rPr>
        <w:t>7</w:t>
      </w:r>
    </w:p>
    <w:p w14:paraId="3178D7AA" w14:textId="77777777" w:rsidR="00D27D2B" w:rsidRPr="00FC3DD9" w:rsidRDefault="00D27D2B" w:rsidP="00D27D2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FC3DD9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FC3DD9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FC3DD9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FC3DD9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03F65C18" w14:textId="77777777" w:rsidR="00D27D2B" w:rsidRPr="00FC3DD9" w:rsidRDefault="00D27D2B" w:rsidP="00D27D2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1D37B533" w14:textId="77777777" w:rsidR="00D27D2B" w:rsidRPr="00FC3DD9" w:rsidRDefault="00D27D2B" w:rsidP="00D27D2B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6C4EC13F" w14:textId="0503612F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SimSun" w:hAnsi="Arial" w:cs="Arial"/>
          <w:b/>
          <w:iCs/>
          <w:noProof/>
          <w:sz w:val="28"/>
          <w:szCs w:val="28"/>
        </w:rPr>
        <w:tab/>
        <w:t>R1-250</w:t>
      </w:r>
      <w:r w:rsidR="00A51C37">
        <w:rPr>
          <w:rFonts w:ascii="Arial" w:eastAsia="SimSun" w:hAnsi="Arial" w:cs="Arial"/>
          <w:b/>
          <w:iCs/>
          <w:noProof/>
          <w:sz w:val="28"/>
          <w:szCs w:val="28"/>
        </w:rPr>
        <w:t>485</w:t>
      </w:r>
      <w:r w:rsidR="00F05836">
        <w:rPr>
          <w:rFonts w:ascii="Arial" w:eastAsia="SimSun" w:hAnsi="Arial" w:cs="Arial"/>
          <w:b/>
          <w:iCs/>
          <w:noProof/>
          <w:sz w:val="28"/>
          <w:szCs w:val="28"/>
        </w:rPr>
        <w:t>8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2BE8CBD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95879097"/>
      <w:r w:rsidR="00F05836" w:rsidRPr="00F05836">
        <w:rPr>
          <w:rFonts w:ascii="Arial" w:eastAsiaTheme="minorEastAsia" w:hAnsi="Arial" w:cs="Arial"/>
          <w:bCs/>
          <w:sz w:val="22"/>
          <w:szCs w:val="22"/>
        </w:rPr>
        <w:t>R</w:t>
      </w:r>
      <w:r w:rsidR="00DF05FA" w:rsidRPr="00DF05FA">
        <w:rPr>
          <w:rFonts w:ascii="Arial" w:hAnsi="Arial" w:cs="Arial"/>
          <w:bCs/>
          <w:sz w:val="22"/>
          <w:szCs w:val="22"/>
        </w:rPr>
        <w:t xml:space="preserve">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5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NR_duplex_evo-Core</w:t>
      </w:r>
    </w:p>
    <w:bookmarkEnd w:id="4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C6D34A4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5836">
        <w:rPr>
          <w:rFonts w:ascii="Arial" w:hAnsi="Arial" w:cs="Arial"/>
          <w:sz w:val="22"/>
          <w:szCs w:val="22"/>
        </w:rPr>
        <w:t>RAN1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>RAN</w:t>
      </w:r>
      <w:r w:rsidR="00DF05FA">
        <w:rPr>
          <w:rFonts w:ascii="Arial" w:hAnsi="Arial" w:cs="Arial"/>
          <w:bCs/>
          <w:sz w:val="22"/>
          <w:szCs w:val="22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</w:rPr>
        <w:t>RAN4</w:t>
      </w:r>
    </w:p>
    <w:bookmarkEnd w:id="11"/>
    <w:bookmarkEnd w:id="12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 w:rsidP="003C67EA">
      <w:pPr>
        <w:spacing w:after="0"/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r>
        <w:t>RAN</w:t>
      </w:r>
      <w:r w:rsidR="00DF05FA">
        <w:t xml:space="preserve">1 would like to thank RAN2 for the LS on </w:t>
      </w:r>
      <w:r w:rsidR="00DF05FA" w:rsidRPr="00DF05FA">
        <w:t>simultaneous configuration of SBFD and DC</w:t>
      </w:r>
      <w:r w:rsidR="00DF05FA">
        <w:t xml:space="preserve"> in </w:t>
      </w:r>
      <w:r w:rsidR="00DF05FA" w:rsidRPr="00DF05FA">
        <w:t>R2-2503191</w:t>
      </w:r>
      <w:r w:rsidR="00DF05FA">
        <w:t xml:space="preserve">. </w:t>
      </w:r>
    </w:p>
    <w:p w14:paraId="326ED707" w14:textId="68771D9C" w:rsidR="00DF05FA" w:rsidRDefault="00DF05FA" w:rsidP="000F6242">
      <w:r>
        <w:t>For the question on w</w:t>
      </w:r>
      <w:r w:rsidRPr="00DF05FA">
        <w:t>hether SBFD and DC can be configured simultaneously, and whether there is any issue with such configuration for an SBFD-aware UE</w:t>
      </w:r>
      <w:r>
        <w:t xml:space="preserve">, RAN1 made the following </w:t>
      </w:r>
      <w:r w:rsidR="00F05836">
        <w:t>agreement</w:t>
      </w:r>
      <w:r>
        <w:t>.</w:t>
      </w:r>
    </w:p>
    <w:p w14:paraId="3C7A23A8" w14:textId="77777777" w:rsidR="00F05836" w:rsidRPr="00C21AF4" w:rsidRDefault="00F05836" w:rsidP="00F05836">
      <w:pPr>
        <w:rPr>
          <w:rFonts w:eastAsiaTheme="minorEastAsia"/>
          <w:b/>
          <w:bCs/>
          <w:lang w:eastAsia="ko-KR"/>
        </w:rPr>
      </w:pPr>
      <w:r w:rsidRPr="0035364E">
        <w:rPr>
          <w:rFonts w:eastAsiaTheme="minorEastAsia" w:hint="eastAsia"/>
          <w:b/>
          <w:bCs/>
          <w:highlight w:val="green"/>
          <w:lang w:eastAsia="ko-KR"/>
        </w:rPr>
        <w:t>Agreement</w:t>
      </w:r>
    </w:p>
    <w:p w14:paraId="34B6B87A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r w:rsidRPr="007F06A7">
        <w:rPr>
          <w:i/>
        </w:rPr>
        <w:t>simultaneousRxTxInterBandCA</w:t>
      </w:r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  <w:r>
        <w:rPr>
          <w:rFonts w:hint="eastAsia"/>
          <w:lang w:eastAsia="ko-KR"/>
        </w:rPr>
        <w:t xml:space="preserve"> </w:t>
      </w:r>
    </w:p>
    <w:p w14:paraId="60CFEEFE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Inform RAN2 that specification impact to support this feature is not restricted to RAN1 but </w:t>
      </w:r>
      <w:r>
        <w:rPr>
          <w:rFonts w:eastAsia="Malgun Gothic" w:hint="eastAsia"/>
          <w:lang w:eastAsia="ko-KR"/>
        </w:rPr>
        <w:t>might</w:t>
      </w:r>
      <w:r>
        <w:rPr>
          <w:rFonts w:eastAsia="Malgun Gothic"/>
          <w:lang w:eastAsia="ko-KR"/>
        </w:rPr>
        <w:t xml:space="preserve"> result in specification impact on RAN4 as well.</w:t>
      </w:r>
      <w:r>
        <w:rPr>
          <w:rFonts w:eastAsia="Malgun Gothic" w:hint="eastAsia"/>
          <w:lang w:eastAsia="ko-KR"/>
        </w:rPr>
        <w:t xml:space="preserve"> </w:t>
      </w:r>
      <w:r w:rsidRPr="007F06A7">
        <w:rPr>
          <w:rFonts w:hint="eastAsia"/>
        </w:rPr>
        <w:t>I</w:t>
      </w:r>
      <w:r w:rsidRPr="007F06A7">
        <w:t xml:space="preserve">f supported, at least the </w:t>
      </w:r>
      <w:r w:rsidRPr="0035364E">
        <w:rPr>
          <w:rFonts w:eastAsia="Malgun Gothic"/>
          <w:lang w:eastAsia="ko-KR"/>
        </w:rPr>
        <w:t>following specification change to TS 38.213 should be adopted and the RAN4 specification for the configured transmitted power level for NR-DC in TS38.101-1 Clause 6.2B.4.1 may also need to be updated accordingly.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F05836" w14:paraId="07F7B658" w14:textId="77777777" w:rsidTr="0088532F">
        <w:tc>
          <w:tcPr>
            <w:tcW w:w="5000" w:type="pct"/>
          </w:tcPr>
          <w:p w14:paraId="24107BD7" w14:textId="77777777" w:rsidR="00F05836" w:rsidRDefault="00F05836" w:rsidP="0088532F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/>
                <w:sz w:val="28"/>
              </w:rPr>
              <w:lastRenderedPageBreak/>
              <w:t>7.6.2</w:t>
            </w:r>
            <w:r>
              <w:rPr>
                <w:rFonts w:ascii="Arial" w:eastAsia="SimSun" w:hAnsi="Arial"/>
                <w:sz w:val="28"/>
              </w:rPr>
              <w:tab/>
              <w:t>NR-DC</w:t>
            </w:r>
          </w:p>
          <w:p w14:paraId="276B9A5C" w14:textId="77777777" w:rsidR="00F05836" w:rsidRDefault="00F05836" w:rsidP="0088532F">
            <w:pPr>
              <w:shd w:val="clear" w:color="auto" w:fill="FFFFFF"/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The UE procedures described in this clause are not applicable if the UE is provided </w:t>
            </w:r>
            <w:r>
              <w:rPr>
                <w:rFonts w:eastAsia="SimSun"/>
                <w:i/>
              </w:rPr>
              <w:t>scg-State</w:t>
            </w:r>
            <w:r>
              <w:rPr>
                <w:rFonts w:eastAsia="SimSun"/>
              </w:rPr>
              <w:t xml:space="preserve"> [12, TS 38.331].</w:t>
            </w:r>
          </w:p>
          <w:p w14:paraId="660D7830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 xml:space="preserve">If a UE is configured with an MCG using NR radio access in FR1 or in FR2 and with a SCG using </w:t>
            </w:r>
            <w:r>
              <w:rPr>
                <w:rFonts w:eastAsia="SimSun"/>
                <w:lang w:eastAsia="ja-JP"/>
              </w:rPr>
              <w:t xml:space="preserve">NR radio access in </w:t>
            </w:r>
            <w:r>
              <w:rPr>
                <w:rFonts w:eastAsia="SimSun"/>
              </w:rPr>
              <w:t>FR2 or in FR1</w:t>
            </w:r>
            <w:r>
              <w:rPr>
                <w:rFonts w:eastAsia="SimSun"/>
                <w:lang w:eastAsia="ja-JP"/>
              </w:rPr>
              <w:t xml:space="preserve">, respectively, </w:t>
            </w:r>
            <w:r>
              <w:rPr>
                <w:rFonts w:eastAsia="SimSun"/>
              </w:rPr>
              <w:t>the UE performs transmission power control independently per cell group as described in clauses 7.1 through 7.5</w:t>
            </w:r>
            <w:r>
              <w:rPr>
                <w:rFonts w:eastAsia="SimSun"/>
                <w:lang w:eastAsia="ja-JP"/>
              </w:rPr>
              <w:t>.</w:t>
            </w:r>
          </w:p>
          <w:p w14:paraId="2DC8AF31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If a UE is configured with an MCG and a SCG using NR radio access in FR1 and/or in FR2</w:t>
            </w:r>
            <w:r>
              <w:rPr>
                <w:rFonts w:eastAsia="SimSun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eastAsia="ja-JP"/>
              </w:rPr>
              <w:t xml:space="preserve"> for transmissions on the MCG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lang w:eastAsia="ja-JP"/>
              </w:rPr>
              <w:t xml:space="preserve"> 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for transmissions on the SCG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iCs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with an inter-CG power sharing mode by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iCs/>
                <w:lang w:eastAsia="ja-JP"/>
              </w:rPr>
              <w:t xml:space="preserve"> for FR1 and/or </w:t>
            </w:r>
            <w:r>
              <w:rPr>
                <w:rFonts w:eastAsia="SimSun"/>
                <w:lang w:eastAsia="ja-JP"/>
              </w:rPr>
              <w:t xml:space="preserve">by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iCs/>
                <w:lang w:eastAsia="ja-JP"/>
              </w:rPr>
              <w:t xml:space="preserve"> for FR2</w:t>
            </w:r>
            <w:r>
              <w:rPr>
                <w:rFonts w:eastAsia="SimSun"/>
                <w:lang w:eastAsia="ja-JP"/>
              </w:rPr>
              <w:t>. The UE determines a transmission power on the MCG and a transmission power on the SCG per frequency range.</w:t>
            </w:r>
          </w:p>
          <w:p w14:paraId="06F5B7E8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</w:rPr>
              <w:t xml:space="preserve">semi-static-mode1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>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  <w:iCs/>
              </w:rPr>
              <w:t xml:space="preserve">or </w:t>
            </w:r>
            <w:r>
              <w:rPr>
                <w:rFonts w:eastAsia="SimSun"/>
                <w:i/>
              </w:rPr>
              <w:t xml:space="preserve">semi-static-mode2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 is the linear value of a configured maximum transmission power for NR-DC operation in FR1 or FR2 as defined in [8-3, TS 38.101-3].</w:t>
            </w:r>
          </w:p>
          <w:p w14:paraId="1B9CEF3D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semi-static-mode1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lang w:eastAsia="ja-JP"/>
              </w:rPr>
              <w:t xml:space="preserve">, </w:t>
            </w:r>
            <w:r>
              <w:rPr>
                <w:rFonts w:eastAsia="SimSun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as the maximum transmission power, respectively.</w:t>
            </w:r>
          </w:p>
          <w:p w14:paraId="6E92B439" w14:textId="77777777" w:rsidR="00F05836" w:rsidRDefault="00F05836" w:rsidP="0088532F">
            <w:pPr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semi-static-mode2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</w:p>
          <w:p w14:paraId="0D18F056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the UE is not provided </w:t>
            </w:r>
            <w:r>
              <w:rPr>
                <w:rFonts w:eastAsia="SimSun"/>
                <w:i/>
                <w:iCs/>
                <w:lang w:val="x-none"/>
              </w:rPr>
              <w:t>tdd-UL-DL-ConfigurationCommon</w:t>
            </w:r>
            <w:r>
              <w:rPr>
                <w:rFonts w:eastAsia="SimSun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the maximum transmission power, respectively </w:t>
            </w:r>
          </w:p>
          <w:p w14:paraId="10C8D003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MCG or of the SCG that is indicated as uplink or flexible to a UE by </w:t>
            </w:r>
            <w:r>
              <w:rPr>
                <w:rFonts w:eastAsia="SimSun"/>
                <w:i/>
                <w:iCs/>
                <w:lang w:val="x-none"/>
              </w:rPr>
              <w:t>tdd</w:t>
            </w:r>
            <w:r>
              <w:rPr>
                <w:rFonts w:eastAsia="SimSun"/>
                <w:i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ommon</w:t>
            </w:r>
            <w:r>
              <w:rPr>
                <w:rFonts w:eastAsia="SimSun"/>
                <w:lang w:val="x-none"/>
              </w:rPr>
              <w:t xml:space="preserve"> and </w:t>
            </w:r>
            <w:r>
              <w:rPr>
                <w:rFonts w:eastAsia="SimSun"/>
                <w:i/>
                <w:iCs/>
                <w:lang w:val="x-none"/>
              </w:rPr>
              <w:t>tdd</w:t>
            </w:r>
            <w:r>
              <w:rPr>
                <w:rFonts w:eastAsia="SimSun"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D</w:t>
            </w:r>
            <w:r>
              <w:rPr>
                <w:rFonts w:eastAsia="SimSun"/>
                <w:i/>
                <w:lang w:val="x-none"/>
              </w:rPr>
              <w:t>edicated</w:t>
            </w:r>
            <w:r>
              <w:rPr>
                <w:rFonts w:eastAsia="SimSun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r>
              <w:rPr>
                <w:i/>
                <w:iCs/>
                <w:color w:val="FF0000"/>
                <w:u w:val="single"/>
              </w:rPr>
              <w:t>tdd</w:t>
            </w:r>
            <w:r>
              <w:rPr>
                <w:i/>
                <w:color w:val="FF0000"/>
                <w:u w:val="single"/>
              </w:rPr>
              <w:t>-UL-DL-ConfigurationCommon</w:t>
            </w:r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SimSun"/>
                <w:lang w:val="x-none"/>
              </w:rPr>
              <w:t xml:space="preserve">overlaps with a symbol for any ongoing transmission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>, respectively, as the maximum transmission power</w:t>
            </w:r>
          </w:p>
          <w:p w14:paraId="02E0C27C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</w:r>
            <w:r>
              <w:rPr>
                <w:rFonts w:eastAsia="SimSun"/>
              </w:rPr>
              <w:t xml:space="preserve">otherwise, </w:t>
            </w:r>
            <w:r>
              <w:rPr>
                <w:rFonts w:eastAsia="SimSun"/>
                <w:lang w:val="x-none"/>
              </w:rPr>
              <w:t xml:space="preserve">the UE determines a power for the </w:t>
            </w:r>
            <w:r>
              <w:rPr>
                <w:rFonts w:eastAsia="DengXian"/>
                <w:lang w:val="x-none"/>
              </w:rPr>
              <w:t>transmission on</w:t>
            </w:r>
            <w:r>
              <w:rPr>
                <w:rFonts w:eastAsia="SimSun"/>
                <w:lang w:val="x-none"/>
              </w:rPr>
              <w:t xml:space="preserve"> </w:t>
            </w:r>
            <w:r>
              <w:rPr>
                <w:rFonts w:eastAsia="SimSun"/>
              </w:rPr>
              <w:t>SCG</w:t>
            </w:r>
            <w:r>
              <w:rPr>
                <w:rFonts w:eastAsia="SimSun"/>
                <w:lang w:val="x-none"/>
              </w:rPr>
              <w:t xml:space="preserve"> or the </w:t>
            </w:r>
            <w:r>
              <w:rPr>
                <w:rFonts w:eastAsia="SimSun"/>
              </w:rPr>
              <w:t>MCG 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>, as described in [8-3, TS 38.101-3] and in clauses 7.1 through 7.5 without considering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respectively</w:t>
            </w:r>
          </w:p>
          <w:p w14:paraId="0391B5CA" w14:textId="77777777" w:rsidR="00F05836" w:rsidRPr="00D3443C" w:rsidRDefault="00F05836" w:rsidP="0088532F">
            <w:pPr>
              <w:rPr>
                <w:rFonts w:eastAsia="SimSun"/>
                <w:lang w:val="x-none"/>
              </w:rPr>
            </w:pPr>
            <w:r w:rsidRPr="00D3443C">
              <w:rPr>
                <w:rFonts w:eastAsia="SimSun" w:hint="eastAsia"/>
                <w:color w:val="FF0000"/>
                <w:lang w:val="x-none"/>
              </w:rPr>
              <w:t>&lt;</w:t>
            </w:r>
            <w:r w:rsidRPr="00D3443C">
              <w:rPr>
                <w:rFonts w:eastAsia="SimSun"/>
                <w:color w:val="FF0000"/>
                <w:lang w:val="x-none"/>
              </w:rPr>
              <w:t>unchanged texts omitted&gt;</w:t>
            </w:r>
          </w:p>
        </w:tc>
      </w:tr>
    </w:tbl>
    <w:p w14:paraId="451AFBAA" w14:textId="4DE1199F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</w:t>
      </w:r>
      <w:r>
        <w:rPr>
          <w:rFonts w:eastAsia="Malgun Gothic" w:hint="eastAsia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</w:p>
    <w:p w14:paraId="37359210" w14:textId="77777777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CC: RAN</w:t>
      </w:r>
      <w:r>
        <w:rPr>
          <w:rFonts w:eastAsia="Malgun Gothic" w:hint="eastAsia"/>
          <w:lang w:eastAsia="ko-KR"/>
        </w:rPr>
        <w:t>3, RAN4</w:t>
      </w:r>
      <w:r>
        <w:rPr>
          <w:rFonts w:eastAsia="Malgun Gothic"/>
          <w:lang w:eastAsia="ko-KR"/>
        </w:rPr>
        <w:t>.</w:t>
      </w:r>
    </w:p>
    <w:p w14:paraId="4BA1761E" w14:textId="77777777" w:rsidR="00DF05FA" w:rsidRPr="00DF05FA" w:rsidRDefault="00DF05F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754306D7" w:rsidR="00CE308A" w:rsidRDefault="00DA22AD" w:rsidP="003C67EA">
      <w:pPr>
        <w:tabs>
          <w:tab w:val="left" w:pos="3544"/>
          <w:tab w:val="left" w:pos="7088"/>
        </w:tabs>
      </w:pPr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  <w:t>25 - 29 Aug 2025</w:t>
      </w:r>
      <w:r>
        <w:tab/>
        <w:t>Bangalore, India</w:t>
      </w:r>
    </w:p>
    <w:p w14:paraId="0BEA2F90" w14:textId="56852B75" w:rsidR="007A6CE5" w:rsidRDefault="007A6CE5" w:rsidP="003C67EA">
      <w:pPr>
        <w:tabs>
          <w:tab w:val="left" w:pos="3544"/>
          <w:tab w:val="left" w:pos="7088"/>
        </w:tabs>
      </w:pPr>
      <w:r>
        <w:t>TSG RAN1 Meeting #122bis</w:t>
      </w:r>
      <w:r>
        <w:tab/>
        <w:t>13 - 17 Oct 2025</w:t>
      </w:r>
      <w:r>
        <w:tab/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D7E71" w14:textId="77777777" w:rsidR="00B46365" w:rsidRDefault="00B46365">
      <w:pPr>
        <w:spacing w:after="0"/>
      </w:pPr>
      <w:r>
        <w:separator/>
      </w:r>
    </w:p>
  </w:endnote>
  <w:endnote w:type="continuationSeparator" w:id="0">
    <w:p w14:paraId="3674EFBB" w14:textId="77777777" w:rsidR="00B46365" w:rsidRDefault="00B46365">
      <w:pPr>
        <w:spacing w:after="0"/>
      </w:pPr>
      <w:r>
        <w:continuationSeparator/>
      </w:r>
    </w:p>
  </w:endnote>
  <w:endnote w:type="continuationNotice" w:id="1">
    <w:p w14:paraId="6D27583A" w14:textId="77777777" w:rsidR="00B46365" w:rsidRDefault="00B46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75593" w14:textId="77777777" w:rsidR="00B46365" w:rsidRDefault="00B46365">
      <w:pPr>
        <w:spacing w:after="0"/>
      </w:pPr>
      <w:r>
        <w:separator/>
      </w:r>
    </w:p>
  </w:footnote>
  <w:footnote w:type="continuationSeparator" w:id="0">
    <w:p w14:paraId="50627D5D" w14:textId="77777777" w:rsidR="00B46365" w:rsidRDefault="00B46365">
      <w:pPr>
        <w:spacing w:after="0"/>
      </w:pPr>
      <w:r>
        <w:continuationSeparator/>
      </w:r>
    </w:p>
  </w:footnote>
  <w:footnote w:type="continuationNotice" w:id="1">
    <w:p w14:paraId="06699DBF" w14:textId="77777777" w:rsidR="00B46365" w:rsidRDefault="00B463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5797447">
    <w:abstractNumId w:val="5"/>
  </w:num>
  <w:num w:numId="2" w16cid:durableId="456726923">
    <w:abstractNumId w:val="4"/>
  </w:num>
  <w:num w:numId="3" w16cid:durableId="880288878">
    <w:abstractNumId w:val="2"/>
  </w:num>
  <w:num w:numId="4" w16cid:durableId="120652692">
    <w:abstractNumId w:val="0"/>
  </w:num>
  <w:num w:numId="5" w16cid:durableId="1660574054">
    <w:abstractNumId w:val="6"/>
  </w:num>
  <w:num w:numId="6" w16cid:durableId="1866484638">
    <w:abstractNumId w:val="3"/>
  </w:num>
  <w:num w:numId="7" w16cid:durableId="150636345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0081D"/>
    <w:rsid w:val="00332BD5"/>
    <w:rsid w:val="003334D7"/>
    <w:rsid w:val="003426CA"/>
    <w:rsid w:val="00361164"/>
    <w:rsid w:val="00383545"/>
    <w:rsid w:val="003B68B7"/>
    <w:rsid w:val="003C2FD0"/>
    <w:rsid w:val="003C67EA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B4591"/>
    <w:rsid w:val="00AC03D9"/>
    <w:rsid w:val="00B159CF"/>
    <w:rsid w:val="00B16F69"/>
    <w:rsid w:val="00B3133B"/>
    <w:rsid w:val="00B46365"/>
    <w:rsid w:val="00B77F45"/>
    <w:rsid w:val="00B92C65"/>
    <w:rsid w:val="00B97703"/>
    <w:rsid w:val="00BC0064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27D2B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56058"/>
    <w:rsid w:val="00E6249A"/>
    <w:rsid w:val="00E828A0"/>
    <w:rsid w:val="00E97F88"/>
    <w:rsid w:val="00EA0B00"/>
    <w:rsid w:val="00EA1365"/>
    <w:rsid w:val="00EE32C2"/>
    <w:rsid w:val="00F05836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5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AB45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AB45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45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45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45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4591"/>
    <w:pPr>
      <w:outlineLvl w:val="5"/>
    </w:pPr>
  </w:style>
  <w:style w:type="paragraph" w:styleId="Heading7">
    <w:name w:val="heading 7"/>
    <w:basedOn w:val="H6"/>
    <w:next w:val="Normal"/>
    <w:qFormat/>
    <w:rsid w:val="00AB4591"/>
    <w:pPr>
      <w:outlineLvl w:val="6"/>
    </w:pPr>
  </w:style>
  <w:style w:type="paragraph" w:styleId="Heading8">
    <w:name w:val="heading 8"/>
    <w:basedOn w:val="Heading1"/>
    <w:next w:val="Normal"/>
    <w:qFormat/>
    <w:rsid w:val="00AB45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4591"/>
    <w:pPr>
      <w:outlineLvl w:val="8"/>
    </w:pPr>
  </w:style>
  <w:style w:type="character" w:default="1" w:styleId="DefaultParagraphFont">
    <w:name w:val="Default Paragraph Font"/>
    <w:semiHidden/>
    <w:rsid w:val="00AB45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4591"/>
  </w:style>
  <w:style w:type="paragraph" w:styleId="Header">
    <w:name w:val="header"/>
    <w:link w:val="HeaderChar"/>
    <w:rsid w:val="00AB45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AB45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45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AB4591"/>
    <w:pPr>
      <w:spacing w:before="180"/>
      <w:ind w:left="2693" w:hanging="2693"/>
    </w:pPr>
    <w:rPr>
      <w:b/>
    </w:rPr>
  </w:style>
  <w:style w:type="paragraph" w:styleId="TOC1">
    <w:name w:val="toc 1"/>
    <w:semiHidden/>
    <w:rsid w:val="00AB45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AB45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AB4591"/>
    <w:pPr>
      <w:ind w:left="1701" w:hanging="1701"/>
    </w:pPr>
  </w:style>
  <w:style w:type="paragraph" w:styleId="TOC4">
    <w:name w:val="toc 4"/>
    <w:basedOn w:val="TOC3"/>
    <w:semiHidden/>
    <w:rsid w:val="00AB4591"/>
    <w:pPr>
      <w:ind w:left="1418" w:hanging="1418"/>
    </w:pPr>
  </w:style>
  <w:style w:type="paragraph" w:styleId="TOC3">
    <w:name w:val="toc 3"/>
    <w:basedOn w:val="TOC2"/>
    <w:semiHidden/>
    <w:rsid w:val="00AB4591"/>
    <w:pPr>
      <w:ind w:left="1134" w:hanging="1134"/>
    </w:pPr>
  </w:style>
  <w:style w:type="paragraph" w:styleId="TOC2">
    <w:name w:val="toc 2"/>
    <w:basedOn w:val="TOC1"/>
    <w:semiHidden/>
    <w:rsid w:val="00AB45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4591"/>
    <w:pPr>
      <w:ind w:left="284"/>
    </w:pPr>
  </w:style>
  <w:style w:type="paragraph" w:styleId="Index1">
    <w:name w:val="index 1"/>
    <w:basedOn w:val="Normal"/>
    <w:semiHidden/>
    <w:rsid w:val="00AB4591"/>
    <w:pPr>
      <w:keepLines/>
      <w:spacing w:after="0"/>
    </w:pPr>
  </w:style>
  <w:style w:type="paragraph" w:customStyle="1" w:styleId="ZH">
    <w:name w:val="ZH"/>
    <w:rsid w:val="00AB45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AB4591"/>
    <w:pPr>
      <w:outlineLvl w:val="9"/>
    </w:pPr>
  </w:style>
  <w:style w:type="paragraph" w:styleId="ListNumber2">
    <w:name w:val="List Number 2"/>
    <w:basedOn w:val="ListNumber"/>
    <w:semiHidden/>
    <w:rsid w:val="00AB4591"/>
    <w:pPr>
      <w:ind w:left="851"/>
    </w:pPr>
  </w:style>
  <w:style w:type="character" w:styleId="FootnoteReference">
    <w:name w:val="footnote reference"/>
    <w:basedOn w:val="DefaultParagraphFont"/>
    <w:semiHidden/>
    <w:rsid w:val="00AB45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45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AB4591"/>
    <w:rPr>
      <w:b/>
    </w:rPr>
  </w:style>
  <w:style w:type="paragraph" w:customStyle="1" w:styleId="TAC">
    <w:name w:val="TAC"/>
    <w:basedOn w:val="TAL"/>
    <w:rsid w:val="00AB4591"/>
    <w:pPr>
      <w:jc w:val="center"/>
    </w:pPr>
  </w:style>
  <w:style w:type="paragraph" w:customStyle="1" w:styleId="TF">
    <w:name w:val="TF"/>
    <w:basedOn w:val="TH"/>
    <w:rsid w:val="00AB4591"/>
    <w:pPr>
      <w:keepNext w:val="0"/>
      <w:spacing w:before="0" w:after="240"/>
    </w:pPr>
  </w:style>
  <w:style w:type="paragraph" w:customStyle="1" w:styleId="NO">
    <w:name w:val="NO"/>
    <w:basedOn w:val="Normal"/>
    <w:rsid w:val="00AB4591"/>
    <w:pPr>
      <w:keepLines/>
      <w:ind w:left="1135" w:hanging="851"/>
    </w:pPr>
  </w:style>
  <w:style w:type="paragraph" w:styleId="TOC9">
    <w:name w:val="toc 9"/>
    <w:basedOn w:val="TOC8"/>
    <w:semiHidden/>
    <w:rsid w:val="00AB4591"/>
    <w:pPr>
      <w:ind w:left="1418" w:hanging="1418"/>
    </w:pPr>
  </w:style>
  <w:style w:type="paragraph" w:customStyle="1" w:styleId="EX">
    <w:name w:val="EX"/>
    <w:basedOn w:val="Normal"/>
    <w:rsid w:val="00AB4591"/>
    <w:pPr>
      <w:keepLines/>
      <w:ind w:left="1702" w:hanging="1418"/>
    </w:pPr>
  </w:style>
  <w:style w:type="paragraph" w:customStyle="1" w:styleId="FP">
    <w:name w:val="FP"/>
    <w:basedOn w:val="Normal"/>
    <w:rsid w:val="00AB4591"/>
    <w:pPr>
      <w:spacing w:after="0"/>
    </w:pPr>
  </w:style>
  <w:style w:type="paragraph" w:customStyle="1" w:styleId="LD">
    <w:name w:val="LD"/>
    <w:rsid w:val="00AB45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AB4591"/>
    <w:pPr>
      <w:spacing w:after="0"/>
    </w:pPr>
  </w:style>
  <w:style w:type="paragraph" w:customStyle="1" w:styleId="EW">
    <w:name w:val="EW"/>
    <w:basedOn w:val="EX"/>
    <w:rsid w:val="00AB4591"/>
    <w:pPr>
      <w:spacing w:after="0"/>
    </w:pPr>
  </w:style>
  <w:style w:type="paragraph" w:styleId="TOC6">
    <w:name w:val="toc 6"/>
    <w:basedOn w:val="TOC5"/>
    <w:next w:val="Normal"/>
    <w:semiHidden/>
    <w:rsid w:val="00AB4591"/>
    <w:pPr>
      <w:ind w:left="1985" w:hanging="1985"/>
    </w:pPr>
  </w:style>
  <w:style w:type="paragraph" w:styleId="TOC7">
    <w:name w:val="toc 7"/>
    <w:basedOn w:val="TOC6"/>
    <w:next w:val="Normal"/>
    <w:semiHidden/>
    <w:rsid w:val="00AB4591"/>
    <w:pPr>
      <w:ind w:left="2268" w:hanging="2268"/>
    </w:pPr>
  </w:style>
  <w:style w:type="paragraph" w:styleId="ListBullet2">
    <w:name w:val="List Bullet 2"/>
    <w:basedOn w:val="ListBullet"/>
    <w:semiHidden/>
    <w:rsid w:val="00AB4591"/>
    <w:pPr>
      <w:ind w:left="851"/>
    </w:pPr>
  </w:style>
  <w:style w:type="paragraph" w:styleId="ListBullet3">
    <w:name w:val="List Bullet 3"/>
    <w:basedOn w:val="ListBullet2"/>
    <w:semiHidden/>
    <w:rsid w:val="00AB4591"/>
    <w:pPr>
      <w:ind w:left="1135"/>
    </w:pPr>
  </w:style>
  <w:style w:type="paragraph" w:styleId="ListNumber">
    <w:name w:val="List Number"/>
    <w:basedOn w:val="List"/>
    <w:semiHidden/>
    <w:rsid w:val="00AB4591"/>
  </w:style>
  <w:style w:type="paragraph" w:customStyle="1" w:styleId="EQ">
    <w:name w:val="EQ"/>
    <w:basedOn w:val="Normal"/>
    <w:next w:val="Normal"/>
    <w:rsid w:val="00AB45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45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45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45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AB4591"/>
    <w:pPr>
      <w:jc w:val="right"/>
    </w:pPr>
  </w:style>
  <w:style w:type="paragraph" w:customStyle="1" w:styleId="H6">
    <w:name w:val="H6"/>
    <w:basedOn w:val="Heading5"/>
    <w:next w:val="Normal"/>
    <w:rsid w:val="00AB45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4591"/>
    <w:pPr>
      <w:ind w:left="851" w:hanging="851"/>
    </w:pPr>
  </w:style>
  <w:style w:type="paragraph" w:customStyle="1" w:styleId="TAL">
    <w:name w:val="TAL"/>
    <w:basedOn w:val="Normal"/>
    <w:rsid w:val="00AB45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45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AB45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AB45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AB45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AB4591"/>
    <w:pPr>
      <w:framePr w:wrap="notBeside" w:y="16161"/>
    </w:pPr>
  </w:style>
  <w:style w:type="character" w:customStyle="1" w:styleId="ZGSM">
    <w:name w:val="ZGSM"/>
    <w:rsid w:val="00AB4591"/>
  </w:style>
  <w:style w:type="paragraph" w:styleId="List2">
    <w:name w:val="List 2"/>
    <w:basedOn w:val="List"/>
    <w:semiHidden/>
    <w:rsid w:val="00AB4591"/>
    <w:pPr>
      <w:ind w:left="851"/>
    </w:pPr>
  </w:style>
  <w:style w:type="paragraph" w:customStyle="1" w:styleId="ZG">
    <w:name w:val="ZG"/>
    <w:rsid w:val="00AB45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AB4591"/>
    <w:pPr>
      <w:ind w:left="1135"/>
    </w:pPr>
  </w:style>
  <w:style w:type="paragraph" w:styleId="List4">
    <w:name w:val="List 4"/>
    <w:basedOn w:val="List3"/>
    <w:semiHidden/>
    <w:rsid w:val="00AB4591"/>
    <w:pPr>
      <w:ind w:left="1418"/>
    </w:pPr>
  </w:style>
  <w:style w:type="paragraph" w:styleId="List5">
    <w:name w:val="List 5"/>
    <w:basedOn w:val="List4"/>
    <w:semiHidden/>
    <w:rsid w:val="00AB4591"/>
    <w:pPr>
      <w:ind w:left="1702"/>
    </w:pPr>
  </w:style>
  <w:style w:type="paragraph" w:customStyle="1" w:styleId="EditorsNote">
    <w:name w:val="Editor's Note"/>
    <w:basedOn w:val="NO"/>
    <w:rsid w:val="00AB4591"/>
    <w:rPr>
      <w:color w:val="FF0000"/>
    </w:rPr>
  </w:style>
  <w:style w:type="paragraph" w:styleId="List">
    <w:name w:val="List"/>
    <w:basedOn w:val="Normal"/>
    <w:semiHidden/>
    <w:rsid w:val="00AB4591"/>
    <w:pPr>
      <w:ind w:left="568" w:hanging="284"/>
    </w:pPr>
  </w:style>
  <w:style w:type="paragraph" w:styleId="ListBullet">
    <w:name w:val="List Bullet"/>
    <w:basedOn w:val="List"/>
    <w:semiHidden/>
    <w:rsid w:val="00AB4591"/>
  </w:style>
  <w:style w:type="paragraph" w:styleId="ListBullet4">
    <w:name w:val="List Bullet 4"/>
    <w:basedOn w:val="ListBullet3"/>
    <w:semiHidden/>
    <w:rsid w:val="00AB4591"/>
    <w:pPr>
      <w:ind w:left="1418"/>
    </w:pPr>
  </w:style>
  <w:style w:type="paragraph" w:styleId="ListBullet5">
    <w:name w:val="List Bullet 5"/>
    <w:basedOn w:val="ListBullet4"/>
    <w:semiHidden/>
    <w:rsid w:val="00AB4591"/>
    <w:pPr>
      <w:ind w:left="1702"/>
    </w:pPr>
  </w:style>
  <w:style w:type="paragraph" w:customStyle="1" w:styleId="B2">
    <w:name w:val="B2"/>
    <w:basedOn w:val="List2"/>
    <w:rsid w:val="00AB4591"/>
  </w:style>
  <w:style w:type="paragraph" w:customStyle="1" w:styleId="B3">
    <w:name w:val="B3"/>
    <w:basedOn w:val="List3"/>
    <w:rsid w:val="00AB4591"/>
  </w:style>
  <w:style w:type="paragraph" w:customStyle="1" w:styleId="B4">
    <w:name w:val="B4"/>
    <w:basedOn w:val="List4"/>
    <w:rsid w:val="00AB4591"/>
  </w:style>
  <w:style w:type="paragraph" w:customStyle="1" w:styleId="B5">
    <w:name w:val="B5"/>
    <w:basedOn w:val="List5"/>
    <w:rsid w:val="00AB4591"/>
  </w:style>
  <w:style w:type="paragraph" w:customStyle="1" w:styleId="ZTD">
    <w:name w:val="ZTD"/>
    <w:basedOn w:val="ZB"/>
    <w:rsid w:val="00AB459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aliases w:val="Table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Normal"/>
    <w:link w:val="ListParagraphChar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"/>
    <w:link w:val="ListParagraph"/>
    <w:uiPriority w:val="99"/>
    <w:qFormat/>
    <w:rsid w:val="00F0583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2025-05-29T17:52:00Z</dcterms:created>
  <dcterms:modified xsi:type="dcterms:W3CDTF">2025-05-29T17:53:00Z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