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 xml:space="preserve">30                        </w:t>
      </w:r>
      <w:bookmarkStart w:id="2" w:name="_GoBack"/>
      <w:bookmarkEnd w:id="2"/>
      <w:r>
        <w:rPr>
          <w:rFonts w:hint="eastAsia" w:ascii="Segoe UI" w:hAnsi="Segoe UI" w:eastAsia="等线" w:cs="Segoe UI"/>
          <w:color w:val="000000"/>
          <w:sz w:val="22"/>
          <w:szCs w:val="22"/>
          <w:lang w:val="en-US" w:eastAsia="zh-CN" w:bidi="ar"/>
        </w:rPr>
        <w:t>R2-2504044</w:t>
      </w:r>
    </w:p>
    <w:p>
      <w:pPr>
        <w:pStyle w:val="8"/>
        <w:rPr>
          <w:rFonts w:hint="eastAsia" w:eastAsia="宋体"/>
          <w:lang w:val="en-US" w:eastAsia="zh-CN"/>
        </w:rPr>
      </w:pPr>
      <w:r>
        <w:rPr>
          <w:rFonts w:hint="eastAsia" w:eastAsia="宋体"/>
          <w:lang w:val="en-US" w:eastAsia="zh-CN"/>
        </w:rPr>
        <w:t>St.Julians, Malta, May 19th–23rd</w:t>
      </w:r>
      <w:r>
        <w:rPr>
          <w:lang w:val="en-US"/>
        </w:rPr>
        <w:t>, 2025</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8.6.3</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r>
        <w:rPr>
          <w:rFonts w:hint="eastAsia" w:eastAsia="宋体" w:cs="Arial"/>
          <w:b/>
          <w:bCs/>
          <w:sz w:val="24"/>
          <w:lang w:val="en-US" w:eastAsia="zh-CN"/>
        </w:rPr>
        <w:t>Discussion on L1 event triggered measurement reporting</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p>
    <w:p>
      <w:pPr>
        <w:pStyle w:val="2"/>
        <w:numPr>
          <w:ilvl w:val="0"/>
          <w:numId w:val="3"/>
        </w:numPr>
      </w:pPr>
      <w:bookmarkStart w:id="0" w:name="_Ref488331639"/>
      <w:r>
        <w:t>Introduction</w:t>
      </w:r>
      <w:bookmarkEnd w:id="0"/>
    </w:p>
    <w:p>
      <w:pPr>
        <w:pStyle w:val="6"/>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 xml:space="preserve">the </w:t>
      </w:r>
      <w:r>
        <w:rPr>
          <w:rFonts w:hint="eastAsia" w:cs="Arial" w:eastAsiaTheme="minorEastAsia"/>
          <w:szCs w:val="20"/>
          <w:lang w:val="en-US" w:eastAsia="zh-CN"/>
        </w:rPr>
        <w:t xml:space="preserve">last </w:t>
      </w:r>
      <w:r>
        <w:rPr>
          <w:rFonts w:hint="eastAsia" w:ascii="Arial" w:hAnsi="Arial" w:cs="Arial" w:eastAsiaTheme="minorEastAsia"/>
          <w:szCs w:val="20"/>
          <w:lang w:val="en-US" w:eastAsia="zh-CN"/>
        </w:rPr>
        <w:t>RAN</w:t>
      </w:r>
      <w:r>
        <w:rPr>
          <w:rFonts w:hint="eastAsia" w:cs="Arial" w:eastAsiaTheme="minorEastAsia"/>
          <w:szCs w:val="20"/>
          <w:lang w:val="en-US" w:eastAsia="zh-CN"/>
        </w:rPr>
        <w:t>2</w:t>
      </w:r>
      <w:r>
        <w:rPr>
          <w:rFonts w:hint="eastAsia" w:ascii="Arial" w:hAnsi="Arial" w:cs="Arial" w:eastAsiaTheme="minorEastAsia"/>
          <w:szCs w:val="20"/>
          <w:lang w:val="en-US" w:eastAsia="zh-CN"/>
        </w:rPr>
        <w:t>#1</w:t>
      </w:r>
      <w:r>
        <w:rPr>
          <w:rFonts w:hint="eastAsia" w:cs="Arial" w:eastAsiaTheme="minorEastAsia"/>
          <w:szCs w:val="20"/>
          <w:lang w:val="en-US" w:eastAsia="zh-CN"/>
        </w:rPr>
        <w:t>29b</w:t>
      </w:r>
      <w:r>
        <w:rPr>
          <w:rFonts w:hint="eastAsia" w:ascii="Arial" w:hAnsi="Arial" w:cs="Arial" w:eastAsiaTheme="minorEastAsia"/>
          <w:szCs w:val="20"/>
          <w:lang w:val="en-US" w:eastAsia="zh-CN"/>
        </w:rPr>
        <w:t xml:space="preserve"> </w:t>
      </w:r>
      <w:r>
        <w:rPr>
          <w:rFonts w:hint="eastAsia" w:ascii="Arial" w:hAnsi="Arial" w:cs="Arial" w:eastAsiaTheme="minorEastAsia"/>
          <w:szCs w:val="20"/>
          <w:lang w:val="en-GB" w:eastAsia="zh-CN"/>
        </w:rPr>
        <w:t xml:space="preserve">meeting, </w:t>
      </w:r>
      <w:r>
        <w:rPr>
          <w:rFonts w:hint="eastAsia" w:cs="Arial" w:eastAsiaTheme="minorEastAsia"/>
          <w:szCs w:val="20"/>
          <w:lang w:val="en-US" w:eastAsia="zh-CN"/>
        </w:rPr>
        <w:t>the L1 event triggered measurement reporting was discussed</w:t>
      </w:r>
      <w:r>
        <w:rPr>
          <w:rFonts w:hint="eastAsia" w:ascii="Arial" w:hAnsi="Arial" w:cs="Arial" w:eastAsiaTheme="minorEastAsia"/>
          <w:szCs w:val="20"/>
          <w:lang w:val="en-US" w:eastAsia="zh-CN"/>
        </w:rPr>
        <w:t xml:space="preserve"> and </w:t>
      </w:r>
      <w:r>
        <w:rPr>
          <w:rFonts w:hint="eastAsia" w:cs="Arial" w:eastAsiaTheme="minorEastAsia"/>
          <w:szCs w:val="20"/>
          <w:lang w:val="en-US" w:eastAsia="zh-CN"/>
        </w:rPr>
        <w:t>the following agreements were made</w:t>
      </w:r>
      <w:r>
        <w:rPr>
          <w:rFonts w:hint="eastAsia" w:ascii="Arial" w:hAnsi="Arial" w:cs="Arial" w:eastAsiaTheme="minorEastAsia"/>
          <w:szCs w:val="20"/>
          <w:lang w:val="en-GB" w:eastAsia="zh-CN"/>
        </w:rPr>
        <w:t>[1</w:t>
      </w:r>
      <w:r>
        <w:rPr>
          <w:rFonts w:hint="eastAsia" w:ascii="Arial" w:hAnsi="Arial" w:cs="Arial" w:eastAsiaTheme="minorEastAsia"/>
          <w:szCs w:val="20"/>
          <w:lang w:val="en-US" w:eastAsia="zh-CN"/>
        </w:rPr>
        <w:t>]:</w:t>
      </w:r>
      <w:r>
        <w:rPr>
          <w:rFonts w:hint="eastAsia" w:ascii="Arial" w:hAnsi="Arial" w:cs="Arial" w:eastAsiaTheme="minorEastAsia"/>
          <w:szCs w:val="20"/>
          <w:lang w:val="en-GB" w:eastAsia="zh-CN"/>
        </w:rPr>
        <w:t xml:space="preserve"> </w:t>
      </w:r>
    </w:p>
    <w:p>
      <w:pPr>
        <w:pBdr>
          <w:top w:val="single" w:color="auto" w:sz="4" w:space="1"/>
          <w:left w:val="single" w:color="auto" w:sz="4" w:space="4"/>
          <w:bottom w:val="single" w:color="auto" w:sz="4" w:space="1"/>
          <w:right w:val="single" w:color="auto" w:sz="4" w:space="0"/>
        </w:pBdr>
        <w:overflowPunct w:val="0"/>
        <w:autoSpaceDE w:val="0"/>
        <w:autoSpaceDN w:val="0"/>
        <w:adjustRightInd w:val="0"/>
        <w:spacing w:before="0"/>
        <w:ind w:left="1622" w:hanging="363"/>
        <w:textAlignment w:val="baseline"/>
        <w:rPr>
          <w:rFonts w:ascii="Arial" w:hAnsi="Arial" w:eastAsia="Malgun Gothic" w:cs="Times New Roman"/>
          <w:b/>
          <w:bCs/>
          <w:lang w:val="en-US" w:eastAsia="ko-KR" w:bidi="ar-SA"/>
        </w:rPr>
      </w:pPr>
      <w:r>
        <w:rPr>
          <w:rFonts w:ascii="Arial" w:hAnsi="Arial" w:eastAsia="Times New Roman" w:cs="Times New Roman"/>
          <w:b/>
          <w:bCs/>
          <w:lang w:val="en-US" w:eastAsia="ja-JP" w:bidi="ar-SA"/>
        </w:rPr>
        <w:t xml:space="preserve">Agreements on </w:t>
      </w:r>
      <w:r>
        <w:rPr>
          <w:rFonts w:hint="eastAsia" w:ascii="Arial" w:hAnsi="Arial" w:eastAsia="Malgun Gothic" w:cs="Times New Roman"/>
          <w:b/>
          <w:bCs/>
          <w:lang w:val="en-US" w:eastAsia="ko-KR" w:bidi="ar-SA"/>
        </w:rPr>
        <w:t>L1 event-triggered MR</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Introduce new MAC CE to activate/deactivate the semi-persistent CSI-RS resource.</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The new MAC CE includes</w:t>
      </w:r>
      <w:r>
        <w:rPr>
          <w:rFonts w:hint="eastAsia" w:ascii="Arial" w:hAnsi="Arial" w:eastAsia="Malgun Gothic" w:cs="Times New Roman"/>
          <w:lang w:val="en-GB" w:eastAsia="ko-KR" w:bidi="ar-SA"/>
        </w:rPr>
        <w:t>: A/D indication, Target configuration id or {SP CSI-RS resource set id and/or candidate id</w:t>
      </w:r>
      <w:r>
        <w:rPr>
          <w:rFonts w:ascii="Arial" w:hAnsi="Arial" w:eastAsia="Malgun Gothic" w:cs="Times New Roman"/>
          <w:lang w:val="en-GB" w:eastAsia="ko-KR" w:bidi="ar-SA"/>
        </w:rPr>
        <w:t>}</w:t>
      </w:r>
      <w:r>
        <w:rPr>
          <w:rFonts w:hint="eastAsia" w:ascii="Arial" w:hAnsi="Arial" w:eastAsia="Malgun Gothic" w:cs="Times New Roman"/>
          <w:lang w:val="en-GB" w:eastAsia="ko-KR" w:bidi="ar-SA"/>
        </w:rPr>
        <w:t>, TCI state id.</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Malgun Gothic" w:cs="Times New Roman"/>
          <w:lang w:val="en-US" w:eastAsia="ko-KR" w:bidi="ar-SA"/>
        </w:rPr>
        <w:t>In L1 reporting configuration, the UE can be configured with a list of candidate IDs. For each listed candidate ID, the network can configure an offset, this offset applies to all the RSs belong the candidate ID that associated with the reporting configuration (the offset value also includes 0dB); If a candidate ID is not provided in the reporting configuration, it means the UE is not required to measure/evaluate the RSs that belonging to the candidate ID for this event, even if these are configured within the L1 resource configuration (to which the L1 reporting configuration points to).</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Times New Roman" w:cs="Times New Roman"/>
          <w:lang w:val="en-GB" w:eastAsia="ja-JP" w:bidi="ar-SA"/>
        </w:rPr>
        <w:t>In the MR MAC CE, adopt a uniform format for all the reported beams (i.e., using the same format for beams leaving the entering condition, beams met the entering condition, beams not satisfying the event).</w:t>
      </w:r>
      <w:r>
        <w:rPr>
          <w:rFonts w:hint="eastAsia" w:ascii="Arial" w:hAnsi="Arial" w:eastAsia="Malgun Gothic" w:cs="Times New Roman"/>
          <w:lang w:val="en-GB" w:eastAsia="ko-KR" w:bidi="ar-SA"/>
        </w:rPr>
        <w:t xml:space="preserve"> Introduce two bits per beam.</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hint="eastAsia" w:ascii="Arial" w:hAnsi="Arial" w:eastAsia="Malgun Gothic" w:cs="Times New Roman"/>
          <w:lang w:val="en-US" w:eastAsia="ko-KR" w:bidi="ar-SA"/>
        </w:rPr>
        <w:t>RAN2 will consider only the following options:</w:t>
      </w:r>
    </w:p>
    <w:p>
      <w:pPr>
        <w:pBdr>
          <w:top w:val="single" w:color="auto" w:sz="4" w:space="1"/>
          <w:left w:val="single" w:color="auto" w:sz="4" w:space="4"/>
          <w:bottom w:val="single" w:color="auto" w:sz="4" w:space="1"/>
          <w:right w:val="single" w:color="auto" w:sz="4" w:space="0"/>
        </w:pBdr>
        <w:overflowPunct w:val="0"/>
        <w:autoSpaceDE w:val="0"/>
        <w:autoSpaceDN w:val="0"/>
        <w:adjustRightInd w:val="0"/>
        <w:spacing w:before="0"/>
        <w:ind w:left="1259" w:firstLine="0"/>
        <w:textAlignment w:val="baseline"/>
        <w:rPr>
          <w:rFonts w:ascii="Arial" w:hAnsi="Arial" w:eastAsia="Malgun Gothic" w:cs="Times New Roman"/>
          <w:lang w:val="en-US" w:eastAsia="ko-KR" w:bidi="ar-SA"/>
        </w:rPr>
      </w:pPr>
      <w:r>
        <w:rPr>
          <w:rFonts w:ascii="Arial" w:hAnsi="Arial" w:eastAsia="Malgun Gothic" w:cs="Times New Roman"/>
          <w:lang w:val="en-US" w:eastAsia="ko-KR" w:bidi="ar-SA"/>
        </w:rPr>
        <w:tab/>
      </w:r>
      <w:r>
        <w:rPr>
          <w:rFonts w:hint="eastAsia" w:ascii="Arial" w:hAnsi="Arial" w:eastAsia="Malgun Gothic" w:cs="Times New Roman"/>
          <w:lang w:val="en-US" w:eastAsia="ko-KR" w:bidi="ar-SA"/>
        </w:rPr>
        <w:t xml:space="preserve">- </w:t>
      </w:r>
      <w:r>
        <w:rPr>
          <w:rFonts w:ascii="Arial" w:hAnsi="Arial" w:eastAsia="Malgun Gothic" w:cs="Times New Roman"/>
          <w:lang w:val="en-US" w:eastAsia="ko-KR" w:bidi="ar-SA"/>
        </w:rPr>
        <w:t>Option1: To introduce four codepoints to represent one of {type1, type2, type3, type4}</w:t>
      </w:r>
    </w:p>
    <w:p>
      <w:pPr>
        <w:pBdr>
          <w:top w:val="single" w:color="auto" w:sz="4" w:space="1"/>
          <w:left w:val="single" w:color="auto" w:sz="4" w:space="4"/>
          <w:bottom w:val="single" w:color="auto" w:sz="4" w:space="1"/>
          <w:right w:val="single" w:color="auto" w:sz="4" w:space="0"/>
        </w:pBdr>
        <w:overflowPunct w:val="0"/>
        <w:autoSpaceDE w:val="0"/>
        <w:autoSpaceDN w:val="0"/>
        <w:adjustRightInd w:val="0"/>
        <w:spacing w:before="0"/>
        <w:ind w:left="1259" w:firstLine="300" w:firstLineChars="150"/>
        <w:textAlignment w:val="baseline"/>
        <w:rPr>
          <w:rFonts w:ascii="Arial" w:hAnsi="Arial" w:eastAsia="Malgun Gothic" w:cs="Times New Roman"/>
          <w:lang w:val="en-US" w:eastAsia="ko-KR" w:bidi="ar-SA"/>
        </w:rPr>
      </w:pPr>
      <w:r>
        <w:rPr>
          <w:rFonts w:ascii="Arial" w:hAnsi="Arial" w:eastAsia="Malgun Gothic" w:cs="Times New Roman"/>
          <w:lang w:val="en-US" w:eastAsia="ko-KR" w:bidi="ar-SA"/>
        </w:rPr>
        <w:tab/>
      </w:r>
      <w:r>
        <w:rPr>
          <w:rFonts w:hint="eastAsia" w:ascii="Arial" w:hAnsi="Arial" w:eastAsia="Malgun Gothic" w:cs="Times New Roman"/>
          <w:lang w:val="en-US" w:eastAsia="ko-KR" w:bidi="ar-SA"/>
        </w:rPr>
        <w:t xml:space="preserve">- </w:t>
      </w:r>
      <w:r>
        <w:rPr>
          <w:rFonts w:ascii="Arial" w:hAnsi="Arial" w:eastAsia="Malgun Gothic" w:cs="Times New Roman"/>
          <w:lang w:val="en-US" w:eastAsia="ko-KR" w:bidi="ar-SA"/>
        </w:rPr>
        <w:t>Option3: To introduce three codepoints to represent one of {type1_or_type3, type2, type4}, i.e., type1 beam and type3 beam are not distinguished in reporting</w:t>
      </w:r>
      <w:r>
        <w:rPr>
          <w:rFonts w:hint="eastAsia" w:ascii="Arial" w:hAnsi="Arial" w:eastAsia="Malgun Gothic" w:cs="Times New Roman"/>
          <w:lang w:val="en-US" w:eastAsia="ko-KR" w:bidi="ar-SA"/>
        </w:rPr>
        <w:t>.</w:t>
      </w:r>
    </w:p>
    <w:p>
      <w:pPr>
        <w:pBdr>
          <w:top w:val="single" w:color="auto" w:sz="4" w:space="1"/>
          <w:left w:val="single" w:color="auto" w:sz="4" w:space="4"/>
          <w:bottom w:val="single" w:color="auto" w:sz="4" w:space="1"/>
          <w:right w:val="single" w:color="auto" w:sz="4" w:space="0"/>
        </w:pBdr>
        <w:overflowPunct w:val="0"/>
        <w:autoSpaceDE w:val="0"/>
        <w:autoSpaceDN w:val="0"/>
        <w:adjustRightInd w:val="0"/>
        <w:spacing w:before="0"/>
        <w:ind w:left="1259" w:firstLine="300" w:firstLineChars="150"/>
        <w:textAlignment w:val="baseline"/>
        <w:rPr>
          <w:rFonts w:ascii="Arial" w:hAnsi="Arial" w:eastAsia="Malgun Gothic" w:cs="Times New Roman"/>
          <w:lang w:val="en-US" w:eastAsia="ko-KR" w:bidi="ar-SA"/>
        </w:rPr>
      </w:pPr>
    </w:p>
    <w:p>
      <w:pPr>
        <w:pBdr>
          <w:top w:val="single" w:color="auto" w:sz="4" w:space="1"/>
          <w:left w:val="single" w:color="auto" w:sz="4" w:space="4"/>
          <w:bottom w:val="single" w:color="auto" w:sz="4" w:space="1"/>
          <w:right w:val="single" w:color="auto" w:sz="4" w:space="0"/>
        </w:pBdr>
        <w:overflowPunct w:val="0"/>
        <w:autoSpaceDE w:val="0"/>
        <w:autoSpaceDN w:val="0"/>
        <w:adjustRightInd w:val="0"/>
        <w:spacing w:before="0"/>
        <w:ind w:left="1259" w:firstLine="300" w:firstLineChars="150"/>
        <w:textAlignment w:val="baseline"/>
        <w:rPr>
          <w:rFonts w:ascii="Arial" w:hAnsi="Arial" w:eastAsia="Times New Roman" w:cs="Times New Roman"/>
          <w:lang w:val="en-US" w:eastAsia="ja-JP" w:bidi="ar-SA"/>
        </w:rPr>
      </w:pPr>
      <w:r>
        <w:rPr>
          <w:rFonts w:ascii="Arial" w:hAnsi="Arial" w:eastAsia="Times New Roman" w:cs="Times New Roman"/>
          <w:lang w:val="en-US" w:eastAsia="ja-JP" w:bidi="ar-SA"/>
        </w:rPr>
        <w:t>Type1 beam: a beam that has satisfied the entry condition of the event for TTT and thus triggers the MR MAC CE.</w:t>
      </w:r>
    </w:p>
    <w:p>
      <w:pPr>
        <w:pBdr>
          <w:top w:val="single" w:color="auto" w:sz="4" w:space="1"/>
          <w:left w:val="single" w:color="auto" w:sz="4" w:space="4"/>
          <w:bottom w:val="single" w:color="auto" w:sz="4" w:space="1"/>
          <w:right w:val="single" w:color="auto" w:sz="4" w:space="0"/>
        </w:pBdr>
        <w:overflowPunct w:val="0"/>
        <w:autoSpaceDE w:val="0"/>
        <w:autoSpaceDN w:val="0"/>
        <w:adjustRightInd w:val="0"/>
        <w:spacing w:before="0"/>
        <w:ind w:left="1259" w:firstLine="300" w:firstLineChars="150"/>
        <w:textAlignment w:val="baseline"/>
        <w:rPr>
          <w:rFonts w:ascii="Arial" w:hAnsi="Arial" w:eastAsia="Times New Roman" w:cs="Times New Roman"/>
          <w:lang w:val="en-US" w:eastAsia="ja-JP" w:bidi="ar-SA"/>
        </w:rPr>
      </w:pPr>
      <w:r>
        <w:rPr>
          <w:rFonts w:ascii="Arial" w:hAnsi="Arial" w:eastAsia="Times New Roman" w:cs="Times New Roman"/>
          <w:lang w:val="en-US" w:eastAsia="ja-JP" w:bidi="ar-SA"/>
        </w:rPr>
        <w:tab/>
      </w:r>
      <w:r>
        <w:rPr>
          <w:rFonts w:ascii="Arial" w:hAnsi="Arial" w:eastAsia="Times New Roman" w:cs="Times New Roman"/>
          <w:lang w:val="en-US" w:eastAsia="ja-JP" w:bidi="ar-SA"/>
        </w:rPr>
        <w:t>Type2 beam: a beam that has satisfied the leaving condition of the event for TTT and thus triggers the MR MAC CE.</w:t>
      </w:r>
    </w:p>
    <w:p>
      <w:pPr>
        <w:pBdr>
          <w:top w:val="single" w:color="auto" w:sz="4" w:space="1"/>
          <w:left w:val="single" w:color="auto" w:sz="4" w:space="4"/>
          <w:bottom w:val="single" w:color="auto" w:sz="4" w:space="1"/>
          <w:right w:val="single" w:color="auto" w:sz="4" w:space="0"/>
        </w:pBdr>
        <w:overflowPunct w:val="0"/>
        <w:autoSpaceDE w:val="0"/>
        <w:autoSpaceDN w:val="0"/>
        <w:adjustRightInd w:val="0"/>
        <w:spacing w:before="0"/>
        <w:ind w:left="1259" w:firstLine="300" w:firstLineChars="150"/>
        <w:textAlignment w:val="baseline"/>
        <w:rPr>
          <w:rFonts w:ascii="Arial" w:hAnsi="Arial" w:eastAsia="Times New Roman" w:cs="Times New Roman"/>
          <w:lang w:val="en-US" w:eastAsia="ja-JP" w:bidi="ar-SA"/>
        </w:rPr>
      </w:pPr>
      <w:r>
        <w:rPr>
          <w:rFonts w:ascii="Arial" w:hAnsi="Arial" w:eastAsia="Times New Roman" w:cs="Times New Roman"/>
          <w:lang w:val="en-US" w:eastAsia="ja-JP" w:bidi="ar-SA"/>
        </w:rPr>
        <w:tab/>
      </w:r>
      <w:r>
        <w:rPr>
          <w:rFonts w:ascii="Arial" w:hAnsi="Arial" w:eastAsia="Times New Roman" w:cs="Times New Roman"/>
          <w:lang w:val="en-US" w:eastAsia="ja-JP" w:bidi="ar-SA"/>
        </w:rPr>
        <w:t>Type3 beam: a beam that is neither type1 nor type2 but has remained in beamsTriggeredList (the beam was reported as type1 beam before).</w:t>
      </w:r>
    </w:p>
    <w:p>
      <w:pPr>
        <w:pBdr>
          <w:top w:val="single" w:color="auto" w:sz="4" w:space="1"/>
          <w:left w:val="single" w:color="auto" w:sz="4" w:space="4"/>
          <w:bottom w:val="single" w:color="auto" w:sz="4" w:space="1"/>
          <w:right w:val="single" w:color="auto" w:sz="4" w:space="0"/>
        </w:pBdr>
        <w:overflowPunct w:val="0"/>
        <w:autoSpaceDE w:val="0"/>
        <w:autoSpaceDN w:val="0"/>
        <w:adjustRightInd w:val="0"/>
        <w:spacing w:before="0"/>
        <w:ind w:left="1259" w:firstLine="300" w:firstLineChars="150"/>
        <w:textAlignment w:val="baseline"/>
        <w:rPr>
          <w:rFonts w:ascii="Arial" w:hAnsi="Arial" w:eastAsia="Malgun Gothic" w:cs="Times New Roman"/>
          <w:lang w:val="en-US" w:eastAsia="ko-KR" w:bidi="ar-SA"/>
        </w:rPr>
      </w:pPr>
      <w:r>
        <w:rPr>
          <w:rFonts w:ascii="Arial" w:hAnsi="Arial" w:eastAsia="Times New Roman" w:cs="Times New Roman"/>
          <w:lang w:val="en-US" w:eastAsia="ja-JP" w:bidi="ar-SA"/>
        </w:rPr>
        <w:tab/>
      </w:r>
      <w:r>
        <w:rPr>
          <w:rFonts w:ascii="Arial" w:hAnsi="Arial" w:eastAsia="Times New Roman" w:cs="Times New Roman"/>
          <w:lang w:val="en-US" w:eastAsia="ja-JP" w:bidi="ar-SA"/>
        </w:rPr>
        <w:t>Type4 beam: a beam that is neither type1 nor type2 and not included in beamsTriggeredList (i.e., just extra beam info)</w:t>
      </w:r>
    </w:p>
    <w:p>
      <w:pPr>
        <w:pBdr>
          <w:top w:val="single" w:color="auto" w:sz="4" w:space="1"/>
          <w:left w:val="single" w:color="auto" w:sz="4" w:space="4"/>
          <w:bottom w:val="single" w:color="auto" w:sz="4" w:space="1"/>
          <w:right w:val="single" w:color="auto" w:sz="4" w:space="0"/>
        </w:pBdr>
        <w:overflowPunct w:val="0"/>
        <w:autoSpaceDE w:val="0"/>
        <w:autoSpaceDN w:val="0"/>
        <w:adjustRightInd w:val="0"/>
        <w:spacing w:before="0"/>
        <w:ind w:left="1259" w:firstLine="300" w:firstLineChars="150"/>
        <w:textAlignment w:val="baseline"/>
        <w:rPr>
          <w:rFonts w:ascii="Arial" w:hAnsi="Arial" w:eastAsia="Malgun Gothic" w:cs="Times New Roman"/>
          <w:lang w:val="en-US" w:eastAsia="ko-KR" w:bidi="ar-SA"/>
        </w:rPr>
      </w:pP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hint="eastAsia" w:ascii="Arial" w:hAnsi="Arial" w:eastAsia="Malgun Gothic" w:cs="Times New Roman"/>
          <w:lang w:val="en-US" w:eastAsia="ko-KR" w:bidi="ar-SA"/>
        </w:rPr>
        <w:t>Working assumption: O</w:t>
      </w:r>
      <w:r>
        <w:rPr>
          <w:rFonts w:ascii="Arial" w:hAnsi="Arial" w:eastAsia="Malgun Gothic" w:cs="Times New Roman"/>
          <w:lang w:val="en-US" w:eastAsia="ko-KR" w:bidi="ar-SA"/>
        </w:rPr>
        <w:t>ption1: To introduce four codepoints to represent one of {type1, type2, type3, type4}</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ascii="Arial" w:hAnsi="Arial" w:eastAsia="Malgun Gothic" w:cs="Times New Roman"/>
          <w:lang w:val="en-US" w:eastAsia="ko-KR" w:bidi="ar-SA"/>
        </w:rPr>
        <w:t>Intention is that the UE should be able to report the event-triggered beam(s) that were not included in the truncated MR MAC CE by the following grant. Detailed wording can be further discussed as part of the running CR.</w:t>
      </w:r>
    </w:p>
    <w:p>
      <w:pPr>
        <w:numPr>
          <w:ilvl w:val="0"/>
          <w:numId w:val="4"/>
        </w:numPr>
        <w:pBdr>
          <w:top w:val="single" w:color="auto" w:sz="4" w:space="1"/>
          <w:left w:val="single" w:color="auto" w:sz="4" w:space="4"/>
          <w:bottom w:val="single" w:color="auto" w:sz="4" w:space="1"/>
          <w:right w:val="single" w:color="auto" w:sz="4" w:space="0"/>
        </w:pBdr>
        <w:overflowPunct/>
        <w:autoSpaceDE/>
        <w:autoSpaceDN/>
        <w:adjustRightInd/>
        <w:spacing w:before="0"/>
        <w:ind w:left="1619" w:hanging="360"/>
        <w:textAlignment w:val="auto"/>
        <w:rPr>
          <w:rFonts w:ascii="Arial" w:hAnsi="Arial" w:eastAsia="Times New Roman" w:cs="Times New Roman"/>
          <w:lang w:val="en-US" w:eastAsia="ja-JP" w:bidi="ar-SA"/>
        </w:rPr>
      </w:pPr>
      <w:r>
        <w:rPr>
          <w:rFonts w:hint="eastAsia" w:ascii="Arial" w:hAnsi="Arial" w:eastAsia="Malgun Gothic" w:cs="Times New Roman"/>
          <w:lang w:val="en-US" w:eastAsia="ko-KR" w:bidi="ar-SA"/>
        </w:rPr>
        <w:t xml:space="preserve">For co-existence with mTRP, </w:t>
      </w:r>
      <w:r>
        <w:rPr>
          <w:rFonts w:hint="eastAsia" w:ascii="Arial" w:hAnsi="Arial" w:eastAsia="Malgun Gothic" w:cs="Times New Roman"/>
          <w:lang w:val="en-GB" w:eastAsia="ko-KR" w:bidi="ar-SA"/>
        </w:rPr>
        <w:t>will be revisited in August. If one simple solution is not prepared / agreed until / in August meeting, we will not apply mTRP in Rel-19 event-triggered MR.</w:t>
      </w:r>
    </w:p>
    <w:p>
      <w:pPr>
        <w:pStyle w:val="6"/>
        <w:rPr>
          <w:rFonts w:hint="eastAsia" w:ascii="Arial" w:hAnsi="Arial" w:cs="Arial" w:eastAsiaTheme="minorEastAsia"/>
          <w:szCs w:val="20"/>
          <w:lang w:val="en-GB" w:eastAsia="zh-CN"/>
        </w:rPr>
      </w:pPr>
    </w:p>
    <w:p>
      <w:pPr>
        <w:pStyle w:val="6"/>
        <w:spacing w:before="120"/>
        <w:rPr>
          <w:bCs/>
        </w:rPr>
      </w:pPr>
      <w:r>
        <w:rPr>
          <w:rFonts w:hint="eastAsia" w:ascii="Arial" w:hAnsi="Arial" w:cs="Arial"/>
          <w:szCs w:val="20"/>
        </w:rPr>
        <w:t xml:space="preserve">In this contribution, we </w:t>
      </w:r>
      <w:r>
        <w:rPr>
          <w:rFonts w:hint="eastAsia" w:eastAsia="宋体" w:cs="Arial"/>
          <w:szCs w:val="20"/>
          <w:lang w:val="en-US" w:eastAsia="zh-CN"/>
        </w:rPr>
        <w:t>continue to discuss the measurement enhancement for LTM</w:t>
      </w:r>
      <w:r>
        <w:rPr>
          <w:rFonts w:hint="eastAsia" w:ascii="Arial" w:hAnsi="Arial" w:cs="Arial"/>
          <w:szCs w:val="20"/>
        </w:rPr>
        <w:t>.</w:t>
      </w:r>
    </w:p>
    <w:p>
      <w:pPr>
        <w:pStyle w:val="2"/>
        <w:numPr>
          <w:ilvl w:val="0"/>
          <w:numId w:val="3"/>
        </w:numPr>
        <w:ind w:left="360" w:leftChars="0" w:hanging="360" w:firstLineChars="0"/>
        <w:rPr>
          <w:rFonts w:hint="default" w:eastAsia="宋体"/>
          <w:lang w:val="en-US" w:eastAsia="zh-CN"/>
        </w:rPr>
      </w:pPr>
      <w:r>
        <w:t>Discussion</w:t>
      </w:r>
    </w:p>
    <w:p>
      <w:pPr>
        <w:pStyle w:val="3"/>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Arial" w:hAnsi="Arial" w:cs="Arial" w:eastAsiaTheme="minorEastAsia"/>
          <w:b/>
          <w:szCs w:val="20"/>
          <w:lang w:val="en-GB" w:eastAsia="zh-CN"/>
        </w:rPr>
      </w:pPr>
      <w:r>
        <w:rPr>
          <w:rFonts w:hint="eastAsia"/>
          <w:lang w:val="en-US" w:eastAsia="zh-CN"/>
        </w:rPr>
        <w:t xml:space="preserve">2.1 Measurement event configuration </w:t>
      </w:r>
      <w:r>
        <w:rPr>
          <w:rFonts w:hint="eastAsia"/>
        </w:rPr>
        <w:t>for L</w:t>
      </w:r>
      <w:r>
        <w:rPr>
          <w:rFonts w:hint="eastAsia"/>
          <w:lang w:val="en-US" w:eastAsia="zh-CN"/>
        </w:rPr>
        <w:t>TM</w:t>
      </w:r>
    </w:p>
    <w:p>
      <w:pPr>
        <w:pStyle w:val="6"/>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eastAsia" w:cs="Arial" w:eastAsiaTheme="minorEastAsia"/>
          <w:b w:val="0"/>
          <w:bCs/>
          <w:szCs w:val="20"/>
          <w:lang w:val="en-US" w:eastAsia="zh-CN"/>
        </w:rPr>
      </w:pPr>
      <w:r>
        <w:rPr>
          <w:rFonts w:hint="eastAsia" w:cs="Arial" w:eastAsiaTheme="minorEastAsia"/>
          <w:b w:val="0"/>
          <w:bCs/>
          <w:szCs w:val="20"/>
          <w:lang w:val="en-US" w:eastAsia="zh-CN"/>
        </w:rPr>
        <w:t>In previous meeting it has been agreed that any beam in candidate RS configuration can be used for LTM event evaluation to reduce latency, which means that if any beam among the beams configured by LTM RS configuraiton meets the event, it triggerd MR. However due to the lots of configured LTM RS and the limited measurement capability, the beam triggers the L1 MR maybe not the best beam which will result the reduced performance. To avoid this, some meaurement priority for candidace cell or beam can be defined. For example, for some cells the UE is connected to, the UE is more likely to switch to the intra-DU candidate cells and for some other cells the UE is more likely to switch to the inter-DU/inter-CU candidate cells. To make this, the measurement priority of the candidate cell or beam can be defined or signaled with the measurement configuraiton.</w:t>
      </w:r>
    </w:p>
    <w:p>
      <w:pPr>
        <w:pStyle w:val="6"/>
        <w:keepNext w:val="0"/>
        <w:keepLines w:val="0"/>
        <w:pageBreakBefore w:val="0"/>
        <w:widowControl/>
        <w:kinsoku/>
        <w:wordWrap/>
        <w:overflowPunct/>
        <w:topLinePunct w:val="0"/>
        <w:autoSpaceDE/>
        <w:autoSpaceDN/>
        <w:bidi w:val="0"/>
        <w:adjustRightInd/>
        <w:snapToGrid/>
        <w:spacing w:line="360" w:lineRule="auto"/>
        <w:ind w:firstLine="0"/>
        <w:textAlignment w:val="auto"/>
        <w:rPr>
          <w:rFonts w:hint="default" w:cs="Arial" w:eastAsiaTheme="minorEastAsia"/>
          <w:b/>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1</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 xml:space="preserve"> The measurement priority for candidate cell or beam can be defined, UE priority measures the candidate cell or beam with high priority.</w:t>
      </w:r>
    </w:p>
    <w:p>
      <w:pPr>
        <w:pStyle w:val="3"/>
        <w:keepNext/>
        <w:numPr>
          <w:ilvl w:val="-1"/>
          <w:numId w:val="0"/>
        </w:numPr>
        <w:tabs>
          <w:tab w:val="left" w:pos="851"/>
        </w:tabs>
        <w:ind w:left="0" w:firstLine="0"/>
        <w:rPr>
          <w:rFonts w:hint="eastAsia" w:ascii="Arial" w:hAnsi="Arial" w:cs="Arial" w:eastAsiaTheme="minorEastAsia"/>
          <w:b/>
          <w:szCs w:val="20"/>
          <w:lang w:val="en-GB" w:eastAsia="zh-CN"/>
        </w:rPr>
      </w:pPr>
      <w:r>
        <w:rPr>
          <w:rFonts w:hint="eastAsia"/>
          <w:lang w:val="en-US" w:eastAsia="zh-CN"/>
        </w:rPr>
        <w:t xml:space="preserve">2.2 Event triggered L1 measurement purpose </w:t>
      </w:r>
      <w:r>
        <w:rPr>
          <w:rFonts w:hint="eastAsia"/>
        </w:rPr>
        <w:t>for L</w:t>
      </w:r>
      <w:r>
        <w:rPr>
          <w:rFonts w:hint="eastAsia"/>
          <w:lang w:val="en-US" w:eastAsia="zh-CN"/>
        </w:rPr>
        <w:t>TM</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cs="Arial" w:eastAsiaTheme="minorEastAsia"/>
          <w:b w:val="0"/>
          <w:bCs/>
          <w:szCs w:val="20"/>
          <w:lang w:val="en-US" w:eastAsia="zh-CN"/>
        </w:rPr>
      </w:pPr>
      <w:r>
        <w:rPr>
          <w:rFonts w:hint="eastAsia" w:cs="Arial" w:eastAsiaTheme="minorEastAsia"/>
          <w:b w:val="0"/>
          <w:bCs/>
          <w:szCs w:val="20"/>
          <w:lang w:val="en-US" w:eastAsia="zh-CN"/>
        </w:rPr>
        <w:t>As agreed in previous meeting, the event triggered L1 measurement should be designed for the following LTM purposes: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default" w:cs="Arial" w:eastAsiaTheme="minorEastAsia"/>
          <w:b w:val="0"/>
          <w:bCs/>
          <w:szCs w:val="20"/>
          <w:lang w:val="en-US" w:eastAsia="zh-CN"/>
        </w:rPr>
        <w:tab/>
      </w:r>
      <w:r>
        <w:rPr>
          <w:rFonts w:hint="default" w:cs="Arial" w:eastAsiaTheme="minorEastAsia"/>
          <w:b w:val="0"/>
          <w:bCs/>
          <w:szCs w:val="20"/>
          <w:lang w:val="en-US" w:eastAsia="zh-CN"/>
        </w:rPr>
        <w:t>- Select the candidate beam/cell to trigger early synchronization.</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default" w:cs="Arial" w:eastAsiaTheme="minorEastAsia"/>
          <w:b w:val="0"/>
          <w:bCs/>
          <w:szCs w:val="20"/>
          <w:lang w:val="en-US" w:eastAsia="zh-CN"/>
        </w:rPr>
        <w:t xml:space="preserve"> </w:t>
      </w:r>
      <w:r>
        <w:rPr>
          <w:rFonts w:hint="default" w:cs="Arial" w:eastAsiaTheme="minorEastAsia"/>
          <w:b w:val="0"/>
          <w:bCs/>
          <w:szCs w:val="20"/>
          <w:lang w:val="en-US" w:eastAsia="zh-CN"/>
        </w:rPr>
        <w:tab/>
      </w:r>
      <w:r>
        <w:rPr>
          <w:rFonts w:hint="default" w:cs="Arial" w:eastAsiaTheme="minorEastAsia"/>
          <w:b w:val="0"/>
          <w:bCs/>
          <w:szCs w:val="20"/>
          <w:lang w:val="en-US" w:eastAsia="zh-CN"/>
        </w:rPr>
        <w:t>- Select the target beam/cell and trigger LTM cell switch procedure.</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cs="Arial" w:eastAsiaTheme="minorEastAsia"/>
          <w:b w:val="0"/>
          <w:bCs/>
          <w:szCs w:val="20"/>
          <w:lang w:val="en-US" w:eastAsia="zh-CN"/>
        </w:rPr>
        <w:t>The R18 LTM supports UE-based TA measurement for early synchronization and the exact time the UE performs TA measurement is up to UE implementation, thus the network doesn</w:t>
      </w:r>
      <w:r>
        <w:rPr>
          <w:rFonts w:hint="default" w:cs="Arial" w:eastAsiaTheme="minorEastAsia"/>
          <w:b w:val="0"/>
          <w:bCs/>
          <w:szCs w:val="20"/>
          <w:lang w:val="en-US" w:eastAsia="zh-CN"/>
        </w:rPr>
        <w:t>’</w:t>
      </w:r>
      <w:r>
        <w:rPr>
          <w:rFonts w:hint="eastAsia" w:cs="Arial" w:eastAsiaTheme="minorEastAsia"/>
          <w:b w:val="0"/>
          <w:bCs/>
          <w:szCs w:val="20"/>
          <w:lang w:val="en-US" w:eastAsia="zh-CN"/>
        </w:rPr>
        <w:t>t  know whether the UE has performs TA measurement or not. If the event triggered L1 MR is used for trigger early synchronization, it may cause repeated triggering early synchronization if the UE has already get the TA of candidates cell by UE-based TA measurement. To avoid this there can be two approaches: One is the purpose of the event triggered L1 measurement can be included in the measurement configuration. If the purpose is to select candidate beam/cell to trigger early synchronization and the UE has already get the TA of candidate cells, the UE can consider these candidate cells unavailable or doesn</w:t>
      </w:r>
      <w:r>
        <w:rPr>
          <w:rFonts w:hint="default" w:cs="Arial" w:eastAsiaTheme="minorEastAsia"/>
          <w:b w:val="0"/>
          <w:bCs/>
          <w:szCs w:val="20"/>
          <w:lang w:val="en-US" w:eastAsia="zh-CN"/>
        </w:rPr>
        <w:t>’</w:t>
      </w:r>
      <w:r>
        <w:rPr>
          <w:rFonts w:hint="eastAsia" w:cs="Arial" w:eastAsiaTheme="minorEastAsia"/>
          <w:b w:val="0"/>
          <w:bCs/>
          <w:szCs w:val="20"/>
          <w:lang w:val="en-US" w:eastAsia="zh-CN"/>
        </w:rPr>
        <w:t>t perform L1 measurement on these candidate cells or doesn</w:t>
      </w:r>
      <w:r>
        <w:rPr>
          <w:rFonts w:hint="default" w:cs="Arial" w:eastAsiaTheme="minorEastAsia"/>
          <w:b w:val="0"/>
          <w:bCs/>
          <w:szCs w:val="20"/>
          <w:lang w:val="en-US" w:eastAsia="zh-CN"/>
        </w:rPr>
        <w:t>’</w:t>
      </w:r>
      <w:r>
        <w:rPr>
          <w:rFonts w:hint="eastAsia" w:cs="Arial" w:eastAsiaTheme="minorEastAsia"/>
          <w:b w:val="0"/>
          <w:bCs/>
          <w:szCs w:val="20"/>
          <w:lang w:val="en-US" w:eastAsia="zh-CN"/>
        </w:rPr>
        <w:t>t trigger L1 measurement report if event condition is met to avoid repeated triggering early synchronization. The other one is the TA available information can be included in the L1 measurement report. If the network receives L1 measurement report with TA available information for a candidate cell, then the network will not send PDCCH order for this candidate cell to trigger early synchronization as the UE has already get the TA. The TA available information can be just one bit to indicate the network that the UE has already get the TA of the candidate cell.</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bookmarkStart w:id="1" w:name="OLE_LINK1"/>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2</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purpose of e</w:t>
      </w:r>
      <w:r>
        <w:rPr>
          <w:rFonts w:hint="eastAsia" w:ascii="Arial" w:hAnsi="Arial" w:cs="Arial" w:eastAsiaTheme="minorEastAsia"/>
          <w:b/>
          <w:szCs w:val="20"/>
          <w:lang w:val="en-US" w:eastAsia="zh-CN"/>
        </w:rPr>
        <w:t>vent triggered L1 measurement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rement configuration</w:t>
      </w:r>
      <w:r>
        <w:rPr>
          <w:rFonts w:hint="eastAsia" w:cs="Arial" w:eastAsiaTheme="minorEastAsia"/>
          <w:b/>
          <w:szCs w:val="20"/>
          <w:lang w:val="en-US" w:eastAsia="zh-CN"/>
        </w:rPr>
        <w:t xml:space="preserve"> to avoid repeated triggering early synchronization</w:t>
      </w:r>
      <w:r>
        <w:rPr>
          <w:rFonts w:hint="eastAsia" w:ascii="Arial" w:hAnsi="Arial" w:cs="Arial" w:eastAsiaTheme="minorEastAsia"/>
          <w:b/>
          <w:szCs w:val="20"/>
          <w:lang w:val="en-GB" w:eastAsia="zh-CN"/>
        </w:rPr>
        <w:t>.</w:t>
      </w:r>
      <w:bookmarkEnd w:id="1"/>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TA available information</w:t>
      </w:r>
      <w:r>
        <w:rPr>
          <w:rFonts w:hint="eastAsia" w:ascii="Arial" w:hAnsi="Arial" w:cs="Arial" w:eastAsiaTheme="minorEastAsia"/>
          <w:b/>
          <w:szCs w:val="20"/>
          <w:lang w:val="en-US" w:eastAsia="zh-CN"/>
        </w:rPr>
        <w:t xml:space="preserve">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 xml:space="preserve">rement </w:t>
      </w:r>
      <w:r>
        <w:rPr>
          <w:rFonts w:hint="eastAsia" w:cs="Arial" w:eastAsiaTheme="minorEastAsia"/>
          <w:b/>
          <w:szCs w:val="20"/>
          <w:lang w:val="en-US" w:eastAsia="zh-CN"/>
        </w:rPr>
        <w:t>report to avoid repeated triggering early synchronization</w:t>
      </w:r>
      <w:r>
        <w:rPr>
          <w:rFonts w:hint="eastAsia" w:ascii="Arial" w:hAnsi="Arial" w:cs="Arial" w:eastAsiaTheme="minorEastAsia"/>
          <w:b/>
          <w:szCs w:val="20"/>
          <w:lang w:val="en-GB" w:eastAsia="zh-CN"/>
        </w:rPr>
        <w:t>.</w:t>
      </w:r>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 xml:space="preserve">In this contribution we discussed issues related to </w:t>
      </w:r>
      <w:r>
        <w:rPr>
          <w:rFonts w:hint="eastAsia" w:ascii="Times New Roman" w:hAnsi="Times New Roman" w:eastAsia="宋体" w:cs="Times New Roman"/>
          <w:color w:val="000000" w:themeColor="text1"/>
          <w:lang w:val="en-US" w:eastAsia="zh-CN"/>
          <w14:textFill>
            <w14:solidFill>
              <w14:schemeClr w14:val="tx1"/>
            </w14:solidFill>
          </w14:textFill>
        </w:rPr>
        <w:t>measurement enhancement for LTM</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1</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 xml:space="preserve"> The measurement priority for candidate cell or beam can be defined, UE priority measures the candidate cell or beam with high priority.</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2</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purpose of e</w:t>
      </w:r>
      <w:r>
        <w:rPr>
          <w:rFonts w:hint="eastAsia" w:ascii="Arial" w:hAnsi="Arial" w:cs="Arial" w:eastAsiaTheme="minorEastAsia"/>
          <w:b/>
          <w:szCs w:val="20"/>
          <w:lang w:val="en-US" w:eastAsia="zh-CN"/>
        </w:rPr>
        <w:t>vent triggered L1 measurement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rement configuration</w:t>
      </w:r>
      <w:r>
        <w:rPr>
          <w:rFonts w:hint="eastAsia" w:cs="Arial" w:eastAsiaTheme="minorEastAsia"/>
          <w:b/>
          <w:szCs w:val="20"/>
          <w:lang w:val="en-US" w:eastAsia="zh-CN"/>
        </w:rPr>
        <w:t xml:space="preserve"> to avoid repeated triggering early synchronization</w:t>
      </w:r>
      <w:r>
        <w:rPr>
          <w:rFonts w:hint="eastAsia" w:ascii="Arial" w:hAnsi="Arial" w:cs="Arial" w:eastAsiaTheme="minorEastAsia"/>
          <w:b/>
          <w:szCs w:val="20"/>
          <w:lang w:val="en-GB"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default" w:cs="Arial" w:eastAsiaTheme="minorEastAsia"/>
          <w:b w:val="0"/>
          <w:bCs/>
          <w:szCs w:val="20"/>
          <w:lang w:val="en-US" w:eastAsia="zh-CN"/>
        </w:rPr>
      </w:pPr>
      <w:r>
        <w:rPr>
          <w:rFonts w:hint="eastAsia" w:ascii="Arial" w:hAnsi="Arial" w:cs="Arial" w:eastAsiaTheme="minorEastAsia"/>
          <w:b/>
          <w:szCs w:val="20"/>
          <w:lang w:val="en-GB" w:eastAsia="zh-CN"/>
        </w:rPr>
        <w:t xml:space="preserve">Proposal </w:t>
      </w:r>
      <w:r>
        <w:rPr>
          <w:rFonts w:hint="eastAsia" w:cs="Arial" w:eastAsiaTheme="minorEastAsia"/>
          <w:b/>
          <w:szCs w:val="20"/>
          <w:lang w:val="en-US" w:eastAsia="zh-CN"/>
        </w:rPr>
        <w:t>3</w:t>
      </w:r>
      <w:r>
        <w:rPr>
          <w:rFonts w:hint="eastAsia" w:ascii="Arial" w:hAnsi="Arial" w:cs="Arial" w:eastAsiaTheme="minorEastAsia"/>
          <w:b/>
          <w:szCs w:val="20"/>
          <w:lang w:val="en-GB" w:eastAsia="zh-CN"/>
        </w:rPr>
        <w:t xml:space="preserve">: </w:t>
      </w:r>
      <w:r>
        <w:rPr>
          <w:rFonts w:hint="eastAsia" w:cs="Arial" w:eastAsiaTheme="minorEastAsia"/>
          <w:b/>
          <w:szCs w:val="20"/>
          <w:lang w:val="en-US" w:eastAsia="zh-CN"/>
        </w:rPr>
        <w:t>The TA available information</w:t>
      </w:r>
      <w:r>
        <w:rPr>
          <w:rFonts w:hint="eastAsia" w:ascii="Arial" w:hAnsi="Arial" w:cs="Arial" w:eastAsiaTheme="minorEastAsia"/>
          <w:b/>
          <w:szCs w:val="20"/>
          <w:lang w:val="en-US" w:eastAsia="zh-CN"/>
        </w:rPr>
        <w:t xml:space="preserve"> can be included in the mea</w:t>
      </w:r>
      <w:r>
        <w:rPr>
          <w:rFonts w:hint="eastAsia" w:cs="Arial" w:eastAsiaTheme="minorEastAsia"/>
          <w:b/>
          <w:szCs w:val="20"/>
          <w:lang w:val="en-US" w:eastAsia="zh-CN"/>
        </w:rPr>
        <w:t>su</w:t>
      </w:r>
      <w:r>
        <w:rPr>
          <w:rFonts w:hint="eastAsia" w:ascii="Arial" w:hAnsi="Arial" w:cs="Arial" w:eastAsiaTheme="minorEastAsia"/>
          <w:b/>
          <w:szCs w:val="20"/>
          <w:lang w:val="en-US" w:eastAsia="zh-CN"/>
        </w:rPr>
        <w:t xml:space="preserve">rement </w:t>
      </w:r>
      <w:r>
        <w:rPr>
          <w:rFonts w:hint="eastAsia" w:cs="Arial" w:eastAsiaTheme="minorEastAsia"/>
          <w:b/>
          <w:szCs w:val="20"/>
          <w:lang w:val="en-US" w:eastAsia="zh-CN"/>
        </w:rPr>
        <w:t>report to avoid repeated triggering early synchronization</w:t>
      </w:r>
      <w:r>
        <w:rPr>
          <w:rFonts w:hint="eastAsia" w:ascii="Arial" w:hAnsi="Arial" w:cs="Arial" w:eastAsiaTheme="minorEastAsia"/>
          <w:b/>
          <w:szCs w:val="20"/>
          <w:lang w:val="en-GB" w:eastAsia="zh-CN"/>
        </w:rPr>
        <w:t>.</w:t>
      </w:r>
    </w:p>
    <w:p>
      <w:pPr>
        <w:pStyle w:val="6"/>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Arial" w:hAnsi="Arial" w:cs="Arial" w:eastAsiaTheme="minorEastAsia"/>
          <w:b/>
          <w:szCs w:val="20"/>
          <w:lang w:val="en-GB"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5"/>
        </w:numPr>
        <w:spacing w:after="0"/>
        <w:jc w:val="both"/>
        <w:rPr>
          <w:rFonts w:hint="default"/>
          <w:sz w:val="22"/>
          <w:szCs w:val="22"/>
          <w:lang w:val="en-US"/>
        </w:rPr>
      </w:pPr>
      <w:r>
        <w:rPr>
          <w:rFonts w:hint="default" w:eastAsia="宋体"/>
          <w:sz w:val="22"/>
          <w:szCs w:val="22"/>
          <w:lang w:val="en-US" w:eastAsia="zh-CN"/>
        </w:rPr>
        <w:t>“Draft_R</w:t>
      </w:r>
      <w:r>
        <w:rPr>
          <w:rFonts w:hint="eastAsia" w:eastAsia="宋体"/>
          <w:sz w:val="22"/>
          <w:szCs w:val="22"/>
          <w:lang w:val="en-US" w:eastAsia="zh-CN"/>
        </w:rPr>
        <w:t>AN</w:t>
      </w:r>
      <w:r>
        <w:rPr>
          <w:rFonts w:hint="default" w:eastAsia="宋体"/>
          <w:sz w:val="22"/>
          <w:szCs w:val="22"/>
          <w:lang w:val="en-US" w:eastAsia="zh-CN"/>
        </w:rPr>
        <w:t>2_12</w:t>
      </w:r>
      <w:r>
        <w:rPr>
          <w:rFonts w:hint="eastAsia" w:eastAsia="宋体"/>
          <w:sz w:val="22"/>
          <w:szCs w:val="22"/>
          <w:lang w:val="en-US" w:eastAsia="zh-CN"/>
        </w:rPr>
        <w:t>9bis</w:t>
      </w:r>
      <w:r>
        <w:rPr>
          <w:rFonts w:hint="default" w:eastAsia="宋体"/>
          <w:sz w:val="22"/>
          <w:szCs w:val="22"/>
          <w:lang w:val="en-US" w:eastAsia="zh-CN"/>
        </w:rPr>
        <w:t>_Meeting_Report_v</w:t>
      </w:r>
      <w:r>
        <w:rPr>
          <w:rFonts w:hint="eastAsia" w:eastAsia="宋体"/>
          <w:sz w:val="22"/>
          <w:szCs w:val="22"/>
          <w:lang w:val="en-US" w:eastAsia="zh-CN"/>
        </w:rPr>
        <w:t>3</w:t>
      </w:r>
      <w:r>
        <w:rPr>
          <w:rFonts w:hint="default" w:eastAsia="宋体"/>
          <w:sz w:val="22"/>
          <w:szCs w:val="22"/>
          <w:lang w:val="en-US" w:eastAsia="zh-CN"/>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2" w:usb3="00000000" w:csb0="4002009F" w:csb1="DFD70000"/>
  </w:font>
  <w:font w:name="Century">
    <w:panose1 w:val="02040604050505020304"/>
    <w:charset w:val="00"/>
    <w:family w:val="auto"/>
    <w:pitch w:val="default"/>
    <w:sig w:usb0="00000287" w:usb1="00000000" w:usb2="00000000" w:usb3="00000000" w:csb0="2000009F" w:csb1="DFD7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864" w:hanging="432"/>
      </w:pPr>
      <w:rPr>
        <w:rFonts w:hint="default"/>
      </w:rPr>
    </w:lvl>
    <w:lvl w:ilvl="1" w:tentative="0">
      <w:start w:val="1"/>
      <w:numFmt w:val="decimal"/>
      <w:lvlText w:val="%1.%2"/>
      <w:lvlJc w:val="left"/>
      <w:pPr>
        <w:tabs>
          <w:tab w:val="left" w:pos="576"/>
        </w:tabs>
        <w:ind w:left="1008" w:hanging="576"/>
      </w:pPr>
      <w:rPr>
        <w:rFonts w:hint="default"/>
      </w:rPr>
    </w:lvl>
    <w:lvl w:ilvl="2" w:tentative="0">
      <w:start w:val="1"/>
      <w:numFmt w:val="decimal"/>
      <w:lvlText w:val="%1.%2.%3"/>
      <w:lvlJc w:val="left"/>
      <w:pPr>
        <w:tabs>
          <w:tab w:val="left" w:pos="720"/>
        </w:tabs>
        <w:ind w:left="1152" w:hanging="720"/>
      </w:pPr>
      <w:rPr>
        <w:rFonts w:hint="default"/>
      </w:rPr>
    </w:lvl>
    <w:lvl w:ilvl="3" w:tentative="0">
      <w:start w:val="1"/>
      <w:numFmt w:val="decimal"/>
      <w:lvlText w:val="%1.%2.%3.%4"/>
      <w:lvlJc w:val="left"/>
      <w:pPr>
        <w:tabs>
          <w:tab w:val="left" w:pos="864"/>
        </w:tabs>
        <w:ind w:left="1296" w:hanging="864"/>
      </w:pPr>
      <w:rPr>
        <w:rFonts w:hint="default"/>
      </w:rPr>
    </w:lvl>
    <w:lvl w:ilvl="4" w:tentative="0">
      <w:start w:val="1"/>
      <w:numFmt w:val="decimal"/>
      <w:lvlText w:val="%1.%2.%3.%4.%5"/>
      <w:lvlJc w:val="left"/>
      <w:pPr>
        <w:tabs>
          <w:tab w:val="left" w:pos="1008"/>
        </w:tabs>
        <w:ind w:left="1440" w:hanging="1008"/>
      </w:pPr>
      <w:rPr>
        <w:rFonts w:hint="default"/>
      </w:rPr>
    </w:lvl>
    <w:lvl w:ilvl="5" w:tentative="0">
      <w:start w:val="1"/>
      <w:numFmt w:val="decimal"/>
      <w:lvlText w:val="%1.%2.%3.%4.%5.%6"/>
      <w:lvlJc w:val="left"/>
      <w:pPr>
        <w:tabs>
          <w:tab w:val="left" w:pos="1152"/>
        </w:tabs>
        <w:ind w:left="1584" w:hanging="1152"/>
      </w:pPr>
      <w:rPr>
        <w:rFonts w:hint="default"/>
      </w:rPr>
    </w:lvl>
    <w:lvl w:ilvl="6" w:tentative="0">
      <w:start w:val="1"/>
      <w:numFmt w:val="decimal"/>
      <w:lvlText w:val="%1.%2.%3.%4.%5.%6.%7"/>
      <w:lvlJc w:val="left"/>
      <w:pPr>
        <w:tabs>
          <w:tab w:val="left" w:pos="1296"/>
        </w:tabs>
        <w:ind w:left="1728" w:hanging="1296"/>
      </w:pPr>
      <w:rPr>
        <w:rFonts w:hint="default"/>
      </w:rPr>
    </w:lvl>
    <w:lvl w:ilvl="7" w:tentative="0">
      <w:start w:val="1"/>
      <w:numFmt w:val="decimal"/>
      <w:lvlText w:val="%1.%2.%3.%4.%5.%6.%7.%8"/>
      <w:lvlJc w:val="left"/>
      <w:pPr>
        <w:tabs>
          <w:tab w:val="left" w:pos="1440"/>
        </w:tabs>
        <w:ind w:left="1872" w:hanging="1440"/>
      </w:pPr>
      <w:rPr>
        <w:rFonts w:hint="default"/>
      </w:rPr>
    </w:lvl>
    <w:lvl w:ilvl="8" w:tentative="0">
      <w:start w:val="1"/>
      <w:numFmt w:val="decimal"/>
      <w:lvlText w:val="%1.%2.%3.%4.%5.%6.%7.%8.%9"/>
      <w:lvlJc w:val="left"/>
      <w:pPr>
        <w:tabs>
          <w:tab w:val="left" w:pos="1584"/>
        </w:tabs>
        <w:ind w:left="2016" w:hanging="1584"/>
      </w:pPr>
      <w:rPr>
        <w:rFonts w:hint="default"/>
      </w:rPr>
    </w:lvl>
  </w:abstractNum>
  <w:abstractNum w:abstractNumId="1">
    <w:nsid w:val="40BF2286"/>
    <w:multiLevelType w:val="multilevel"/>
    <w:tmpl w:val="40BF2286"/>
    <w:lvl w:ilvl="0" w:tentative="0">
      <w:start w:val="1"/>
      <w:numFmt w:val="decimal"/>
      <w:lvlText w:val="%1."/>
      <w:lvlJc w:val="left"/>
      <w:pPr>
        <w:ind w:left="1619" w:hanging="360"/>
      </w:pPr>
      <w:rPr>
        <w:rFonts w:hint="default" w:eastAsia="Malgun Gothic"/>
      </w:rPr>
    </w:lvl>
    <w:lvl w:ilvl="1" w:tentative="0">
      <w:start w:val="1"/>
      <w:numFmt w:val="upperLetter"/>
      <w:lvlText w:val="%2."/>
      <w:lvlJc w:val="left"/>
      <w:pPr>
        <w:ind w:left="2139" w:hanging="440"/>
      </w:pPr>
    </w:lvl>
    <w:lvl w:ilvl="2" w:tentative="0">
      <w:start w:val="1"/>
      <w:numFmt w:val="lowerRoman"/>
      <w:lvlText w:val="%3."/>
      <w:lvlJc w:val="right"/>
      <w:pPr>
        <w:ind w:left="2579" w:hanging="440"/>
      </w:pPr>
    </w:lvl>
    <w:lvl w:ilvl="3" w:tentative="0">
      <w:start w:val="1"/>
      <w:numFmt w:val="decimal"/>
      <w:lvlText w:val="%4."/>
      <w:lvlJc w:val="left"/>
      <w:pPr>
        <w:ind w:left="3019" w:hanging="440"/>
      </w:pPr>
    </w:lvl>
    <w:lvl w:ilvl="4" w:tentative="0">
      <w:start w:val="1"/>
      <w:numFmt w:val="upperLetter"/>
      <w:lvlText w:val="%5."/>
      <w:lvlJc w:val="left"/>
      <w:pPr>
        <w:ind w:left="3459" w:hanging="440"/>
      </w:pPr>
    </w:lvl>
    <w:lvl w:ilvl="5" w:tentative="0">
      <w:start w:val="1"/>
      <w:numFmt w:val="lowerRoman"/>
      <w:lvlText w:val="%6."/>
      <w:lvlJc w:val="right"/>
      <w:pPr>
        <w:ind w:left="3899" w:hanging="440"/>
      </w:pPr>
    </w:lvl>
    <w:lvl w:ilvl="6" w:tentative="0">
      <w:start w:val="1"/>
      <w:numFmt w:val="decimal"/>
      <w:lvlText w:val="%7."/>
      <w:lvlJc w:val="left"/>
      <w:pPr>
        <w:ind w:left="4339" w:hanging="440"/>
      </w:pPr>
    </w:lvl>
    <w:lvl w:ilvl="7" w:tentative="0">
      <w:start w:val="1"/>
      <w:numFmt w:val="upperLetter"/>
      <w:lvlText w:val="%8."/>
      <w:lvlJc w:val="left"/>
      <w:pPr>
        <w:ind w:left="4779" w:hanging="440"/>
      </w:pPr>
    </w:lvl>
    <w:lvl w:ilvl="8" w:tentative="0">
      <w:start w:val="1"/>
      <w:numFmt w:val="lowerRoman"/>
      <w:lvlText w:val="%9."/>
      <w:lvlJc w:val="right"/>
      <w:pPr>
        <w:ind w:left="5219" w:hanging="440"/>
      </w:pPr>
    </w:lvl>
  </w:abstractNum>
  <w:abstractNum w:abstractNumId="2">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3">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4"/>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C5978"/>
    <w:rsid w:val="00AA687A"/>
    <w:rsid w:val="00AB10B5"/>
    <w:rsid w:val="00D10BDD"/>
    <w:rsid w:val="00E21B0B"/>
    <w:rsid w:val="00E72B48"/>
    <w:rsid w:val="016D2429"/>
    <w:rsid w:val="017625C7"/>
    <w:rsid w:val="01BC413C"/>
    <w:rsid w:val="026B101C"/>
    <w:rsid w:val="026D6078"/>
    <w:rsid w:val="02F16840"/>
    <w:rsid w:val="03FA4B3F"/>
    <w:rsid w:val="0441406B"/>
    <w:rsid w:val="049342E7"/>
    <w:rsid w:val="04A63BBE"/>
    <w:rsid w:val="04BA00BC"/>
    <w:rsid w:val="05A17499"/>
    <w:rsid w:val="05F02177"/>
    <w:rsid w:val="063E6DCB"/>
    <w:rsid w:val="06AD14D1"/>
    <w:rsid w:val="07067411"/>
    <w:rsid w:val="0729485D"/>
    <w:rsid w:val="074434AD"/>
    <w:rsid w:val="077E1DF5"/>
    <w:rsid w:val="08705469"/>
    <w:rsid w:val="0871778C"/>
    <w:rsid w:val="08C34205"/>
    <w:rsid w:val="09242B66"/>
    <w:rsid w:val="09AA20D3"/>
    <w:rsid w:val="09C8159B"/>
    <w:rsid w:val="0A083CCF"/>
    <w:rsid w:val="0A296EBB"/>
    <w:rsid w:val="0A7F04AF"/>
    <w:rsid w:val="0B5A15F4"/>
    <w:rsid w:val="0B6E2E6B"/>
    <w:rsid w:val="0C480592"/>
    <w:rsid w:val="0C8A04EF"/>
    <w:rsid w:val="0C8B3F6C"/>
    <w:rsid w:val="0CDF38AA"/>
    <w:rsid w:val="0CFB2676"/>
    <w:rsid w:val="0D086537"/>
    <w:rsid w:val="0D375A73"/>
    <w:rsid w:val="0D6C62FD"/>
    <w:rsid w:val="0D701E08"/>
    <w:rsid w:val="0D840B99"/>
    <w:rsid w:val="0DAF7C6F"/>
    <w:rsid w:val="0EB73707"/>
    <w:rsid w:val="0F054467"/>
    <w:rsid w:val="0F711142"/>
    <w:rsid w:val="0F846F16"/>
    <w:rsid w:val="0F897303"/>
    <w:rsid w:val="0F970BC8"/>
    <w:rsid w:val="0FF1497D"/>
    <w:rsid w:val="101E428E"/>
    <w:rsid w:val="10206931"/>
    <w:rsid w:val="102E458D"/>
    <w:rsid w:val="10664121"/>
    <w:rsid w:val="107078FB"/>
    <w:rsid w:val="10D97A01"/>
    <w:rsid w:val="10F5590A"/>
    <w:rsid w:val="10F9442F"/>
    <w:rsid w:val="110E3FBC"/>
    <w:rsid w:val="1259446D"/>
    <w:rsid w:val="126A498B"/>
    <w:rsid w:val="12CA4226"/>
    <w:rsid w:val="134C4354"/>
    <w:rsid w:val="13D7274C"/>
    <w:rsid w:val="142030D3"/>
    <w:rsid w:val="151764BF"/>
    <w:rsid w:val="15AA3BBA"/>
    <w:rsid w:val="16162911"/>
    <w:rsid w:val="161A2980"/>
    <w:rsid w:val="16231D84"/>
    <w:rsid w:val="166A6E0A"/>
    <w:rsid w:val="16AF5E9F"/>
    <w:rsid w:val="16F40A4E"/>
    <w:rsid w:val="16FF7648"/>
    <w:rsid w:val="172B15A5"/>
    <w:rsid w:val="17A24952"/>
    <w:rsid w:val="17AE7B7C"/>
    <w:rsid w:val="17C0415C"/>
    <w:rsid w:val="18891BE5"/>
    <w:rsid w:val="18C4408C"/>
    <w:rsid w:val="18FE5245"/>
    <w:rsid w:val="19033124"/>
    <w:rsid w:val="190C3624"/>
    <w:rsid w:val="19120992"/>
    <w:rsid w:val="192B61EE"/>
    <w:rsid w:val="19CF1F1C"/>
    <w:rsid w:val="19FC3902"/>
    <w:rsid w:val="1AF620E5"/>
    <w:rsid w:val="1B0106E1"/>
    <w:rsid w:val="1B4F2E04"/>
    <w:rsid w:val="1B5D02DF"/>
    <w:rsid w:val="1B7F05AA"/>
    <w:rsid w:val="1BB5656E"/>
    <w:rsid w:val="1C651C0C"/>
    <w:rsid w:val="1CD03E15"/>
    <w:rsid w:val="1D5C422C"/>
    <w:rsid w:val="1D72553F"/>
    <w:rsid w:val="1DB61295"/>
    <w:rsid w:val="1E7A7055"/>
    <w:rsid w:val="1E837BE2"/>
    <w:rsid w:val="1FF75154"/>
    <w:rsid w:val="205D2601"/>
    <w:rsid w:val="20CC127B"/>
    <w:rsid w:val="21150F4A"/>
    <w:rsid w:val="21272772"/>
    <w:rsid w:val="2173702C"/>
    <w:rsid w:val="217D10FE"/>
    <w:rsid w:val="218C3C37"/>
    <w:rsid w:val="21A07045"/>
    <w:rsid w:val="21AC5D41"/>
    <w:rsid w:val="21DC5F44"/>
    <w:rsid w:val="21EA7E73"/>
    <w:rsid w:val="22846486"/>
    <w:rsid w:val="22927389"/>
    <w:rsid w:val="22E661B8"/>
    <w:rsid w:val="22ED4EA9"/>
    <w:rsid w:val="2311372E"/>
    <w:rsid w:val="23313175"/>
    <w:rsid w:val="234036A5"/>
    <w:rsid w:val="234C01D7"/>
    <w:rsid w:val="236F4355"/>
    <w:rsid w:val="239B26F7"/>
    <w:rsid w:val="24980A44"/>
    <w:rsid w:val="24F831F6"/>
    <w:rsid w:val="253A0CB4"/>
    <w:rsid w:val="253F3B36"/>
    <w:rsid w:val="255A0D1D"/>
    <w:rsid w:val="258E2521"/>
    <w:rsid w:val="25A657FD"/>
    <w:rsid w:val="25BC78D5"/>
    <w:rsid w:val="25C95136"/>
    <w:rsid w:val="25DF25F3"/>
    <w:rsid w:val="25E27EEA"/>
    <w:rsid w:val="262B40C7"/>
    <w:rsid w:val="2653352F"/>
    <w:rsid w:val="26F5334E"/>
    <w:rsid w:val="27051E63"/>
    <w:rsid w:val="27264053"/>
    <w:rsid w:val="273F71A1"/>
    <w:rsid w:val="275F2582"/>
    <w:rsid w:val="276944B2"/>
    <w:rsid w:val="27E30776"/>
    <w:rsid w:val="287B00A7"/>
    <w:rsid w:val="2941444C"/>
    <w:rsid w:val="29523E43"/>
    <w:rsid w:val="2982756F"/>
    <w:rsid w:val="299E3F8A"/>
    <w:rsid w:val="2ABE6C52"/>
    <w:rsid w:val="2ABF7B59"/>
    <w:rsid w:val="2B1B06C1"/>
    <w:rsid w:val="2B1B574F"/>
    <w:rsid w:val="2B284B98"/>
    <w:rsid w:val="2C151E25"/>
    <w:rsid w:val="2C882B47"/>
    <w:rsid w:val="2C9543B2"/>
    <w:rsid w:val="2CFA3372"/>
    <w:rsid w:val="2D64575D"/>
    <w:rsid w:val="2D912D66"/>
    <w:rsid w:val="2E837658"/>
    <w:rsid w:val="2ECA078E"/>
    <w:rsid w:val="2EDC2122"/>
    <w:rsid w:val="2EEC38EF"/>
    <w:rsid w:val="2F264722"/>
    <w:rsid w:val="2F4F1C42"/>
    <w:rsid w:val="2FCB0EFA"/>
    <w:rsid w:val="3038562B"/>
    <w:rsid w:val="30435264"/>
    <w:rsid w:val="306127E8"/>
    <w:rsid w:val="307C700A"/>
    <w:rsid w:val="30F35CF8"/>
    <w:rsid w:val="31111AB1"/>
    <w:rsid w:val="315E520F"/>
    <w:rsid w:val="319D2E0A"/>
    <w:rsid w:val="31F027DF"/>
    <w:rsid w:val="329F15E7"/>
    <w:rsid w:val="32BB6C22"/>
    <w:rsid w:val="33031B19"/>
    <w:rsid w:val="33DE5E56"/>
    <w:rsid w:val="34682BF9"/>
    <w:rsid w:val="34FC34CD"/>
    <w:rsid w:val="354C6CDB"/>
    <w:rsid w:val="35592207"/>
    <w:rsid w:val="36913EB9"/>
    <w:rsid w:val="36E43987"/>
    <w:rsid w:val="37F326F9"/>
    <w:rsid w:val="381758AE"/>
    <w:rsid w:val="38263F63"/>
    <w:rsid w:val="38277C4F"/>
    <w:rsid w:val="387554D3"/>
    <w:rsid w:val="3885080A"/>
    <w:rsid w:val="38A038DB"/>
    <w:rsid w:val="38AA0169"/>
    <w:rsid w:val="38B33F69"/>
    <w:rsid w:val="39E010B6"/>
    <w:rsid w:val="39EF7A8E"/>
    <w:rsid w:val="3A3F7324"/>
    <w:rsid w:val="3A7C338E"/>
    <w:rsid w:val="3AC13929"/>
    <w:rsid w:val="3B026B89"/>
    <w:rsid w:val="3B7F12E7"/>
    <w:rsid w:val="3BD561D8"/>
    <w:rsid w:val="3BE31C32"/>
    <w:rsid w:val="3C752CAA"/>
    <w:rsid w:val="3C7D4A83"/>
    <w:rsid w:val="3C872072"/>
    <w:rsid w:val="3C93695A"/>
    <w:rsid w:val="3CCF2B82"/>
    <w:rsid w:val="3D064EB3"/>
    <w:rsid w:val="3F3A2108"/>
    <w:rsid w:val="3F3C3648"/>
    <w:rsid w:val="3F403379"/>
    <w:rsid w:val="402D6EED"/>
    <w:rsid w:val="40572BA6"/>
    <w:rsid w:val="40575782"/>
    <w:rsid w:val="405B3D86"/>
    <w:rsid w:val="40987E39"/>
    <w:rsid w:val="41A229C0"/>
    <w:rsid w:val="41FA152C"/>
    <w:rsid w:val="421B5540"/>
    <w:rsid w:val="427F40C3"/>
    <w:rsid w:val="42F350A3"/>
    <w:rsid w:val="433F51D5"/>
    <w:rsid w:val="4379118C"/>
    <w:rsid w:val="43F1148F"/>
    <w:rsid w:val="440B0F36"/>
    <w:rsid w:val="446E3F52"/>
    <w:rsid w:val="44724F1D"/>
    <w:rsid w:val="448E1E9E"/>
    <w:rsid w:val="44A61C1D"/>
    <w:rsid w:val="44D90FC8"/>
    <w:rsid w:val="44DD285F"/>
    <w:rsid w:val="44F70184"/>
    <w:rsid w:val="450004A7"/>
    <w:rsid w:val="45052547"/>
    <w:rsid w:val="45581B60"/>
    <w:rsid w:val="45982D3F"/>
    <w:rsid w:val="466B78DE"/>
    <w:rsid w:val="47755220"/>
    <w:rsid w:val="47B4251A"/>
    <w:rsid w:val="47B61984"/>
    <w:rsid w:val="47CC5B84"/>
    <w:rsid w:val="48224C4E"/>
    <w:rsid w:val="48D47265"/>
    <w:rsid w:val="497A2805"/>
    <w:rsid w:val="49894B23"/>
    <w:rsid w:val="49AD48BF"/>
    <w:rsid w:val="4A212B31"/>
    <w:rsid w:val="4A475B7C"/>
    <w:rsid w:val="4A4C681A"/>
    <w:rsid w:val="4A892E1A"/>
    <w:rsid w:val="4B0D0209"/>
    <w:rsid w:val="4B8B1B8E"/>
    <w:rsid w:val="4BA75289"/>
    <w:rsid w:val="4CA501B4"/>
    <w:rsid w:val="4CEB6606"/>
    <w:rsid w:val="4DBA64D0"/>
    <w:rsid w:val="4DC01E5E"/>
    <w:rsid w:val="4DE56289"/>
    <w:rsid w:val="4E5308E7"/>
    <w:rsid w:val="4EF2504D"/>
    <w:rsid w:val="4F305F01"/>
    <w:rsid w:val="4FC5637B"/>
    <w:rsid w:val="4FE74116"/>
    <w:rsid w:val="50486FE9"/>
    <w:rsid w:val="505952FE"/>
    <w:rsid w:val="505D4828"/>
    <w:rsid w:val="50790A0E"/>
    <w:rsid w:val="512637BE"/>
    <w:rsid w:val="51292B01"/>
    <w:rsid w:val="512C578B"/>
    <w:rsid w:val="513F69E1"/>
    <w:rsid w:val="52731D06"/>
    <w:rsid w:val="529A7957"/>
    <w:rsid w:val="53D2680E"/>
    <w:rsid w:val="53EA6F9A"/>
    <w:rsid w:val="53F070C1"/>
    <w:rsid w:val="545D2BA8"/>
    <w:rsid w:val="54A934E9"/>
    <w:rsid w:val="54F44BA6"/>
    <w:rsid w:val="552565E5"/>
    <w:rsid w:val="55380827"/>
    <w:rsid w:val="556C28A8"/>
    <w:rsid w:val="55B4202C"/>
    <w:rsid w:val="55BC4CFC"/>
    <w:rsid w:val="55C500DF"/>
    <w:rsid w:val="55DA4CD9"/>
    <w:rsid w:val="56870F30"/>
    <w:rsid w:val="569228A9"/>
    <w:rsid w:val="56F007AB"/>
    <w:rsid w:val="5731633C"/>
    <w:rsid w:val="57C05FD0"/>
    <w:rsid w:val="58774338"/>
    <w:rsid w:val="5A0B65E0"/>
    <w:rsid w:val="5A4B4D4E"/>
    <w:rsid w:val="5A6C32D7"/>
    <w:rsid w:val="5B854011"/>
    <w:rsid w:val="5BCF629C"/>
    <w:rsid w:val="5C081964"/>
    <w:rsid w:val="5C5D662E"/>
    <w:rsid w:val="5D1B6016"/>
    <w:rsid w:val="5D53233E"/>
    <w:rsid w:val="5D54635C"/>
    <w:rsid w:val="5D5B1B63"/>
    <w:rsid w:val="5D663CA7"/>
    <w:rsid w:val="5E032063"/>
    <w:rsid w:val="5E0C53FA"/>
    <w:rsid w:val="5E3438FB"/>
    <w:rsid w:val="5E3C4F06"/>
    <w:rsid w:val="5E974AC2"/>
    <w:rsid w:val="5EA25936"/>
    <w:rsid w:val="5EE34F16"/>
    <w:rsid w:val="5EF55435"/>
    <w:rsid w:val="5EF7417A"/>
    <w:rsid w:val="5F313438"/>
    <w:rsid w:val="5F3A2579"/>
    <w:rsid w:val="5FB546F2"/>
    <w:rsid w:val="5FBE6E63"/>
    <w:rsid w:val="60507E6D"/>
    <w:rsid w:val="6090406B"/>
    <w:rsid w:val="61662F00"/>
    <w:rsid w:val="61B805F3"/>
    <w:rsid w:val="6227137B"/>
    <w:rsid w:val="62750521"/>
    <w:rsid w:val="62E378E6"/>
    <w:rsid w:val="63107C4E"/>
    <w:rsid w:val="64082F38"/>
    <w:rsid w:val="64376585"/>
    <w:rsid w:val="643816EF"/>
    <w:rsid w:val="6442112C"/>
    <w:rsid w:val="646D6FF1"/>
    <w:rsid w:val="64CC3670"/>
    <w:rsid w:val="64E24649"/>
    <w:rsid w:val="64E400F0"/>
    <w:rsid w:val="655855F6"/>
    <w:rsid w:val="6574461E"/>
    <w:rsid w:val="65C620D8"/>
    <w:rsid w:val="662919EF"/>
    <w:rsid w:val="662D4756"/>
    <w:rsid w:val="668F0881"/>
    <w:rsid w:val="66AB4975"/>
    <w:rsid w:val="66EE5EB2"/>
    <w:rsid w:val="67501472"/>
    <w:rsid w:val="67526135"/>
    <w:rsid w:val="676E35D8"/>
    <w:rsid w:val="6770270C"/>
    <w:rsid w:val="67C52274"/>
    <w:rsid w:val="67E57609"/>
    <w:rsid w:val="67FC5648"/>
    <w:rsid w:val="68136DF9"/>
    <w:rsid w:val="68467009"/>
    <w:rsid w:val="685A4CFC"/>
    <w:rsid w:val="685E3236"/>
    <w:rsid w:val="68644C6E"/>
    <w:rsid w:val="68835C7D"/>
    <w:rsid w:val="68843869"/>
    <w:rsid w:val="68B056ED"/>
    <w:rsid w:val="68D74AB5"/>
    <w:rsid w:val="69957377"/>
    <w:rsid w:val="6A1D554E"/>
    <w:rsid w:val="6A227A14"/>
    <w:rsid w:val="6A2A1BFB"/>
    <w:rsid w:val="6B230E25"/>
    <w:rsid w:val="6B5F3459"/>
    <w:rsid w:val="6BBD35E1"/>
    <w:rsid w:val="6BD84F85"/>
    <w:rsid w:val="6BE263F0"/>
    <w:rsid w:val="6C733AF5"/>
    <w:rsid w:val="6D186743"/>
    <w:rsid w:val="6D657093"/>
    <w:rsid w:val="6D912D15"/>
    <w:rsid w:val="6DB773DA"/>
    <w:rsid w:val="6F7A7829"/>
    <w:rsid w:val="6F8945E5"/>
    <w:rsid w:val="6F98710E"/>
    <w:rsid w:val="7000610B"/>
    <w:rsid w:val="701647AB"/>
    <w:rsid w:val="70F449A8"/>
    <w:rsid w:val="71526A6E"/>
    <w:rsid w:val="71E9466D"/>
    <w:rsid w:val="728F5634"/>
    <w:rsid w:val="72DA7BC8"/>
    <w:rsid w:val="732F74F2"/>
    <w:rsid w:val="733629F2"/>
    <w:rsid w:val="73510555"/>
    <w:rsid w:val="736B747C"/>
    <w:rsid w:val="736F3978"/>
    <w:rsid w:val="7377058B"/>
    <w:rsid w:val="739F626B"/>
    <w:rsid w:val="740E42DE"/>
    <w:rsid w:val="7541042C"/>
    <w:rsid w:val="755D5E57"/>
    <w:rsid w:val="758B55DE"/>
    <w:rsid w:val="75A37338"/>
    <w:rsid w:val="75AB68F1"/>
    <w:rsid w:val="75D904B6"/>
    <w:rsid w:val="75E80709"/>
    <w:rsid w:val="762B57C5"/>
    <w:rsid w:val="767E3B53"/>
    <w:rsid w:val="77E058FB"/>
    <w:rsid w:val="78071F72"/>
    <w:rsid w:val="786414B4"/>
    <w:rsid w:val="78774C15"/>
    <w:rsid w:val="78827AE1"/>
    <w:rsid w:val="78AE26CF"/>
    <w:rsid w:val="79905A19"/>
    <w:rsid w:val="799465E1"/>
    <w:rsid w:val="79A36E38"/>
    <w:rsid w:val="79AD14BA"/>
    <w:rsid w:val="79D35A65"/>
    <w:rsid w:val="79DF4049"/>
    <w:rsid w:val="7A102ABD"/>
    <w:rsid w:val="7A2F2424"/>
    <w:rsid w:val="7B24076C"/>
    <w:rsid w:val="7B764BBF"/>
    <w:rsid w:val="7B7A37E2"/>
    <w:rsid w:val="7B84483F"/>
    <w:rsid w:val="7C1164A2"/>
    <w:rsid w:val="7C214173"/>
    <w:rsid w:val="7C5B2870"/>
    <w:rsid w:val="7CB960BC"/>
    <w:rsid w:val="7D3C12C6"/>
    <w:rsid w:val="7D876979"/>
    <w:rsid w:val="7DCB2B8A"/>
    <w:rsid w:val="7DDD21DB"/>
    <w:rsid w:val="7EA24DF3"/>
    <w:rsid w:val="7EAD531F"/>
    <w:rsid w:val="7EB6157B"/>
    <w:rsid w:val="7EC76F8B"/>
    <w:rsid w:val="7ED27CCA"/>
    <w:rsid w:val="7F25430C"/>
    <w:rsid w:val="7F7427E3"/>
    <w:rsid w:val="7FBF7D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 w:type="character" w:customStyle="1" w:styleId="25">
    <w:name w:val="列表段落 字符"/>
    <w:basedOn w:val="13"/>
    <w:qFormat/>
    <w:uiPriority w:val="0"/>
    <w:rPr>
      <w:rFonts w:hint="default" w:ascii="Century" w:hAnsi="Century" w:eastAsia="Century" w:cs="Century"/>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Transsion-ww</cp:lastModifiedBy>
  <dcterms:modified xsi:type="dcterms:W3CDTF">2025-05-08T11:45:07Z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