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EFE6" w14:textId="189F5442" w:rsidR="00E6516F" w:rsidRPr="00FD2A35" w:rsidRDefault="00E6516F" w:rsidP="00BC1BE5">
      <w:pPr>
        <w:tabs>
          <w:tab w:val="left" w:pos="2160"/>
        </w:tabs>
        <w:rPr>
          <w:rFonts w:ascii="Arial" w:hAnsi="Arial" w:cs="Arial"/>
          <w:b/>
          <w:sz w:val="24"/>
          <w:lang w:val="en-US"/>
        </w:rPr>
      </w:pPr>
      <w:bookmarkStart w:id="0" w:name="historyclause"/>
      <w:r w:rsidRPr="00FD2A35">
        <w:rPr>
          <w:rFonts w:ascii="Arial" w:hAnsi="Arial" w:cs="Arial"/>
          <w:b/>
          <w:sz w:val="24"/>
          <w:lang w:val="en-US"/>
        </w:rPr>
        <w:t>3GPP TSG-RAN WG2 Meeting #1</w:t>
      </w:r>
      <w:r w:rsidR="00594843">
        <w:rPr>
          <w:rFonts w:ascii="Arial" w:hAnsi="Arial" w:cs="Arial"/>
          <w:b/>
          <w:sz w:val="24"/>
          <w:lang w:val="en-US"/>
        </w:rPr>
        <w:t>30</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A640B4" w:rsidRPr="00A640B4">
        <w:rPr>
          <w:rFonts w:ascii="Arial" w:hAnsi="Arial" w:cs="Arial"/>
          <w:b/>
          <w:bCs/>
          <w:sz w:val="24"/>
        </w:rPr>
        <w:t>R2-2503705</w:t>
      </w:r>
    </w:p>
    <w:p w14:paraId="3293D479" w14:textId="7FC83043" w:rsidR="00C56D74" w:rsidRPr="00FD2A35" w:rsidRDefault="00594843" w:rsidP="000043C3">
      <w:pPr>
        <w:tabs>
          <w:tab w:val="left" w:pos="2160"/>
        </w:tabs>
        <w:rPr>
          <w:rFonts w:ascii="Arial" w:hAnsi="Arial" w:cs="Arial"/>
          <w:b/>
          <w:sz w:val="24"/>
          <w:lang w:val="en-US"/>
        </w:rPr>
      </w:pPr>
      <w:r w:rsidRPr="00594843">
        <w:rPr>
          <w:rFonts w:ascii="Arial" w:hAnsi="Arial" w:cs="Arial"/>
          <w:b/>
          <w:sz w:val="24"/>
          <w:lang w:val="en-US"/>
        </w:rPr>
        <w:t>St.</w:t>
      </w:r>
      <w:r>
        <w:rPr>
          <w:rFonts w:ascii="Arial" w:hAnsi="Arial" w:cs="Arial"/>
          <w:b/>
          <w:sz w:val="24"/>
          <w:lang w:val="en-US"/>
        </w:rPr>
        <w:t xml:space="preserve"> </w:t>
      </w:r>
      <w:r w:rsidRPr="00594843">
        <w:rPr>
          <w:rFonts w:ascii="Arial" w:hAnsi="Arial" w:cs="Arial"/>
          <w:b/>
          <w:sz w:val="24"/>
          <w:lang w:val="en-US"/>
        </w:rPr>
        <w:t>Julians, Malta, May 19th – 23rd, 2025</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3683C21A" w:rsidR="00C56D74" w:rsidRPr="00FD2A35" w:rsidRDefault="00C56D74" w:rsidP="00C56D74">
      <w:pPr>
        <w:pStyle w:val="CH"/>
        <w:rPr>
          <w:b w:val="0"/>
          <w:lang w:val="en-US"/>
        </w:rPr>
      </w:pPr>
      <w:r w:rsidRPr="00FD2A35">
        <w:rPr>
          <w:lang w:val="en-US"/>
        </w:rPr>
        <w:t>Agenda item:</w:t>
      </w:r>
      <w:r w:rsidRPr="00FD2A35">
        <w:rPr>
          <w:lang w:val="en-US"/>
        </w:rPr>
        <w:tab/>
      </w:r>
      <w:r w:rsidR="00D5160E">
        <w:rPr>
          <w:lang w:val="en-US"/>
        </w:rPr>
        <w:t>8.3</w:t>
      </w:r>
      <w:r w:rsidR="00E271FD">
        <w:rPr>
          <w:lang w:val="en-US"/>
        </w:rPr>
        <w:t>.2</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014FA553" w14:textId="1862928F" w:rsidR="00C56D74" w:rsidRPr="00FD2A35" w:rsidRDefault="00C56D74" w:rsidP="00C56D74">
      <w:pPr>
        <w:pStyle w:val="CH"/>
        <w:ind w:left="2260" w:hanging="2260"/>
        <w:rPr>
          <w:lang w:val="en-US" w:eastAsia="zh-CN"/>
        </w:rPr>
      </w:pPr>
      <w:r w:rsidRPr="00FD2A35">
        <w:rPr>
          <w:lang w:val="en-US"/>
        </w:rPr>
        <w:t>Title:</w:t>
      </w:r>
      <w:r w:rsidRPr="00FD2A35">
        <w:rPr>
          <w:lang w:val="en-US"/>
        </w:rPr>
        <w:tab/>
      </w:r>
      <w:r w:rsidR="00A34800">
        <w:rPr>
          <w:lang w:val="en-US"/>
        </w:rPr>
        <w:t xml:space="preserve">On </w:t>
      </w:r>
      <w:r w:rsidR="005400C0">
        <w:rPr>
          <w:lang w:val="en-US"/>
        </w:rPr>
        <w:t>functionality</w:t>
      </w:r>
      <w:r w:rsidR="00673DF3">
        <w:rPr>
          <w:lang w:val="en-US"/>
        </w:rPr>
        <w:t xml:space="preserve"> of UE-sided AI/ML mobility</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116FD180" w14:textId="028CAB7A" w:rsidR="00AB510A" w:rsidRPr="00FD2A35" w:rsidRDefault="00C0454F" w:rsidP="007F0E50">
      <w:pPr>
        <w:rPr>
          <w:lang w:val="en-US" w:eastAsia="zh-CN"/>
        </w:rPr>
      </w:pPr>
      <w:r w:rsidRPr="00FD2A35">
        <w:rPr>
          <w:lang w:val="en-US" w:eastAsia="zh-CN"/>
        </w:rPr>
        <w:t>In this contribution we provide</w:t>
      </w:r>
      <w:r w:rsidR="00117178" w:rsidRPr="00FD2A35">
        <w:rPr>
          <w:lang w:val="en-US" w:eastAsia="zh-CN"/>
        </w:rPr>
        <w:t xml:space="preserve"> </w:t>
      </w:r>
      <w:r w:rsidR="00A34800">
        <w:rPr>
          <w:lang w:val="en-US" w:eastAsia="zh-CN"/>
        </w:rPr>
        <w:t>our views</w:t>
      </w:r>
      <w:r w:rsidR="001D7B1F">
        <w:rPr>
          <w:lang w:val="en-US" w:eastAsia="zh-CN"/>
        </w:rPr>
        <w:t xml:space="preserve"> on AI/ML for mobility functionality management and related issues</w:t>
      </w:r>
      <w:r w:rsidR="008A0585">
        <w:rPr>
          <w:lang w:val="en-US" w:eastAsia="zh-CN"/>
        </w:rPr>
        <w:t>,</w:t>
      </w:r>
      <w:r w:rsidR="008A0585">
        <w:t xml:space="preserve"> i</w:t>
      </w:r>
      <w:r w:rsidR="008A0585" w:rsidRPr="00975D3F">
        <w:t>ncluding applicability procedure, inference configuration and report for UE sided model</w:t>
      </w:r>
      <w:r w:rsidR="001D7B1F">
        <w:rPr>
          <w:lang w:val="en-US" w:eastAsia="zh-CN"/>
        </w:rPr>
        <w:t>.</w:t>
      </w:r>
    </w:p>
    <w:p w14:paraId="760B78CF" w14:textId="76FA9A28" w:rsidR="0039762A" w:rsidRPr="00FD2A35" w:rsidRDefault="008E7986" w:rsidP="00DB0119">
      <w:pPr>
        <w:pStyle w:val="Heading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765321CD" w14:textId="3388E92D" w:rsidR="007D06C4" w:rsidRDefault="00166010" w:rsidP="00104457">
      <w:pPr>
        <w:pStyle w:val="Heading2"/>
      </w:pPr>
      <w:r w:rsidRPr="00E20620">
        <w:t xml:space="preserve">2.1 </w:t>
      </w:r>
      <w:r w:rsidR="00104457">
        <w:tab/>
      </w:r>
      <w:r w:rsidRPr="00E20620">
        <w:t>Background</w:t>
      </w:r>
    </w:p>
    <w:p w14:paraId="382FAFAD" w14:textId="44337DE4" w:rsidR="00104457" w:rsidRDefault="00104457" w:rsidP="00104457">
      <w:r>
        <w:t xml:space="preserve">In RAN2#129bis, we’ve made the following agreements on </w:t>
      </w:r>
      <w:r w:rsidR="0075553A">
        <w:t xml:space="preserve">(and related to) </w:t>
      </w:r>
      <w:r>
        <w:t>functionality management:</w:t>
      </w:r>
    </w:p>
    <w:p w14:paraId="6A45AFA4" w14:textId="2765AFFD" w:rsidR="00B50B42" w:rsidRDefault="00A76754" w:rsidP="006617A3">
      <w:pPr>
        <w:pStyle w:val="Agreement"/>
        <w:numPr>
          <w:ilvl w:val="0"/>
          <w:numId w:val="0"/>
        </w:numPr>
        <w:pBdr>
          <w:top w:val="single" w:sz="4" w:space="1" w:color="auto"/>
          <w:left w:val="single" w:sz="4" w:space="4" w:color="auto"/>
          <w:bottom w:val="single" w:sz="4" w:space="1" w:color="auto"/>
          <w:right w:val="single" w:sz="4" w:space="4" w:color="auto"/>
        </w:pBdr>
        <w:ind w:left="1259"/>
        <w:rPr>
          <w:b w:val="0"/>
        </w:rPr>
      </w:pPr>
      <w:r w:rsidRPr="00A76754">
        <w:rPr>
          <w:b w:val="0"/>
        </w:rPr>
        <w:t>The UE applies inference configuration for the applicable RRM measurement prediction and measurement event prediction upon receiving configuration via RRC.  As baseline, no dynamic signaling (e.g. L1/2) is required.    FFS when the UE can perform inference</w:t>
      </w:r>
    </w:p>
    <w:p w14:paraId="5A78EE9C" w14:textId="77777777" w:rsidR="006617A3" w:rsidRPr="006617A3" w:rsidRDefault="006617A3" w:rsidP="006617A3">
      <w:pPr>
        <w:pStyle w:val="Doc-text2"/>
      </w:pPr>
    </w:p>
    <w:p w14:paraId="502F3065" w14:textId="0DCC1B72" w:rsidR="002D7AE3" w:rsidRDefault="002D7AE3" w:rsidP="006617A3">
      <w:pPr>
        <w:pStyle w:val="Agreement"/>
        <w:numPr>
          <w:ilvl w:val="0"/>
          <w:numId w:val="0"/>
        </w:numPr>
        <w:pBdr>
          <w:top w:val="single" w:sz="4" w:space="1" w:color="auto"/>
          <w:left w:val="single" w:sz="4" w:space="4" w:color="auto"/>
          <w:bottom w:val="single" w:sz="4" w:space="1" w:color="auto"/>
          <w:right w:val="single" w:sz="4" w:space="4" w:color="auto"/>
        </w:pBdr>
        <w:ind w:left="1259"/>
        <w:rPr>
          <w:b w:val="0"/>
          <w:bCs/>
        </w:rPr>
      </w:pPr>
      <w:r w:rsidRPr="002D7AE3">
        <w:rPr>
          <w:b w:val="0"/>
          <w:bCs/>
        </w:rPr>
        <w:t>For RRM prediction, UE sided model, the UE can be configured with periodic or event triggered reporting of predicted and/or actual RRM measurements.   FFS details</w:t>
      </w:r>
    </w:p>
    <w:p w14:paraId="3D432418" w14:textId="77777777" w:rsidR="006617A3" w:rsidRPr="006617A3" w:rsidRDefault="006617A3" w:rsidP="006617A3">
      <w:pPr>
        <w:pStyle w:val="Doc-text2"/>
      </w:pPr>
    </w:p>
    <w:p w14:paraId="3D606E7B" w14:textId="77777777" w:rsidR="002D7AE3" w:rsidRDefault="002D7AE3" w:rsidP="006617A3">
      <w:pPr>
        <w:pStyle w:val="Agreement"/>
        <w:numPr>
          <w:ilvl w:val="0"/>
          <w:numId w:val="0"/>
        </w:numPr>
        <w:pBdr>
          <w:top w:val="single" w:sz="4" w:space="1" w:color="auto"/>
          <w:left w:val="single" w:sz="4" w:space="4" w:color="auto"/>
          <w:bottom w:val="single" w:sz="4" w:space="1" w:color="auto"/>
          <w:right w:val="single" w:sz="4" w:space="4" w:color="auto"/>
        </w:pBdr>
        <w:ind w:left="1259"/>
        <w:rPr>
          <w:b w:val="0"/>
          <w:bCs/>
        </w:rPr>
      </w:pPr>
      <w:r w:rsidRPr="002D7AE3">
        <w:rPr>
          <w:b w:val="0"/>
          <w:bCs/>
        </w:rPr>
        <w:t>For event prediction, UE-sided model, the UE can be configured with event-triggered reporting based on prediction and/or actual measurements.  FFS details</w:t>
      </w:r>
    </w:p>
    <w:p w14:paraId="68E866E5" w14:textId="77777777" w:rsidR="006617A3" w:rsidRPr="006617A3" w:rsidRDefault="006617A3" w:rsidP="006617A3">
      <w:pPr>
        <w:pStyle w:val="Doc-text2"/>
      </w:pPr>
    </w:p>
    <w:p w14:paraId="377B2BB7" w14:textId="77777777" w:rsidR="002D7AE3" w:rsidRDefault="002D7AE3" w:rsidP="006617A3">
      <w:pPr>
        <w:pStyle w:val="Agreement"/>
        <w:numPr>
          <w:ilvl w:val="0"/>
          <w:numId w:val="0"/>
        </w:numPr>
        <w:pBdr>
          <w:top w:val="single" w:sz="4" w:space="1" w:color="auto"/>
          <w:left w:val="single" w:sz="4" w:space="4" w:color="auto"/>
          <w:bottom w:val="single" w:sz="4" w:space="1" w:color="auto"/>
          <w:right w:val="single" w:sz="4" w:space="4" w:color="auto"/>
        </w:pBdr>
        <w:ind w:left="1259"/>
        <w:rPr>
          <w:b w:val="0"/>
          <w:bCs/>
        </w:rPr>
      </w:pPr>
      <w:r w:rsidRPr="002D7AE3">
        <w:rPr>
          <w:b w:val="0"/>
          <w:bCs/>
        </w:rPr>
        <w:t>Baseline is that this applies to all A1-6 events, unless technical problems are identified.  Baseline quantity is RSRP.</w:t>
      </w:r>
    </w:p>
    <w:p w14:paraId="09A8DEF1" w14:textId="77777777" w:rsidR="006617A3" w:rsidRPr="006617A3" w:rsidRDefault="006617A3" w:rsidP="006617A3">
      <w:pPr>
        <w:pStyle w:val="Doc-text2"/>
      </w:pPr>
    </w:p>
    <w:p w14:paraId="606C3302" w14:textId="77777777" w:rsidR="006617A3" w:rsidRDefault="006617A3" w:rsidP="006617A3">
      <w:pPr>
        <w:pStyle w:val="Doc-text2"/>
        <w:pBdr>
          <w:top w:val="single" w:sz="4" w:space="1" w:color="auto"/>
          <w:left w:val="single" w:sz="4" w:space="4" w:color="auto"/>
          <w:bottom w:val="single" w:sz="4" w:space="1" w:color="auto"/>
          <w:right w:val="single" w:sz="4" w:space="4" w:color="auto"/>
        </w:pBdr>
        <w:ind w:left="1259" w:firstLine="0"/>
      </w:pPr>
      <w:r w:rsidRPr="00381912">
        <w:t>The inference configuration</w:t>
      </w:r>
      <w:r>
        <w:t xml:space="preserve"> and reporting</w:t>
      </w:r>
      <w:r w:rsidRPr="00381912">
        <w:t xml:space="preserve"> for AI/ML mobility can be based on RRM measurement</w:t>
      </w:r>
      <w:r>
        <w:t xml:space="preserve"> framework</w:t>
      </w:r>
    </w:p>
    <w:p w14:paraId="1D7D2287" w14:textId="77777777" w:rsidR="006617A3" w:rsidRDefault="006617A3" w:rsidP="006617A3">
      <w:pPr>
        <w:pStyle w:val="Doc-text2"/>
        <w:pBdr>
          <w:top w:val="single" w:sz="4" w:space="1" w:color="auto"/>
          <w:left w:val="single" w:sz="4" w:space="4" w:color="auto"/>
          <w:bottom w:val="single" w:sz="4" w:space="1" w:color="auto"/>
          <w:right w:val="single" w:sz="4" w:space="4" w:color="auto"/>
        </w:pBdr>
        <w:ind w:left="1259" w:firstLine="0"/>
      </w:pPr>
    </w:p>
    <w:p w14:paraId="31EDCB9D" w14:textId="77777777" w:rsidR="006617A3" w:rsidRDefault="006617A3" w:rsidP="006617A3">
      <w:pPr>
        <w:pStyle w:val="Doc-text2"/>
        <w:pBdr>
          <w:top w:val="single" w:sz="4" w:space="1" w:color="auto"/>
          <w:left w:val="single" w:sz="4" w:space="4" w:color="auto"/>
          <w:bottom w:val="single" w:sz="4" w:space="1" w:color="auto"/>
          <w:right w:val="single" w:sz="4" w:space="4" w:color="auto"/>
        </w:pBdr>
        <w:ind w:left="1259" w:firstLine="0"/>
        <w:rPr>
          <w:rFonts w:cs="Arial"/>
          <w:lang w:eastAsia="zh-CN"/>
        </w:rPr>
      </w:pPr>
      <w:r w:rsidRPr="004D648B">
        <w:rPr>
          <w:rFonts w:cs="Arial"/>
          <w:lang w:eastAsia="zh-CN"/>
        </w:rPr>
        <w:t>For AI/ML for mobility, UE can report the applicable functionalities to NW via UAI or RRCReconfigurationComplete message.</w:t>
      </w:r>
    </w:p>
    <w:p w14:paraId="44EC7823" w14:textId="77777777" w:rsidR="006617A3" w:rsidRDefault="006617A3" w:rsidP="006617A3">
      <w:pPr>
        <w:pStyle w:val="Doc-text2"/>
        <w:pBdr>
          <w:top w:val="single" w:sz="4" w:space="1" w:color="auto"/>
          <w:left w:val="single" w:sz="4" w:space="4" w:color="auto"/>
          <w:bottom w:val="single" w:sz="4" w:space="1" w:color="auto"/>
          <w:right w:val="single" w:sz="4" w:space="4" w:color="auto"/>
        </w:pBdr>
        <w:ind w:left="1259" w:firstLine="0"/>
        <w:rPr>
          <w:rFonts w:cs="Arial"/>
          <w:lang w:eastAsia="zh-CN"/>
        </w:rPr>
      </w:pPr>
    </w:p>
    <w:p w14:paraId="0AA9117E" w14:textId="77777777" w:rsidR="006617A3" w:rsidRDefault="006617A3" w:rsidP="006617A3">
      <w:pPr>
        <w:pStyle w:val="Doc-text2"/>
        <w:pBdr>
          <w:top w:val="single" w:sz="4" w:space="1" w:color="auto"/>
          <w:left w:val="single" w:sz="4" w:space="4" w:color="auto"/>
          <w:bottom w:val="single" w:sz="4" w:space="1" w:color="auto"/>
          <w:right w:val="single" w:sz="4" w:space="4" w:color="auto"/>
        </w:pBdr>
        <w:ind w:left="1259" w:firstLine="0"/>
        <w:rPr>
          <w:rFonts w:cs="Arial"/>
          <w:lang w:eastAsia="zh-CN"/>
        </w:rPr>
      </w:pPr>
      <w:r w:rsidRPr="003F029E">
        <w:rPr>
          <w:rFonts w:cs="Arial"/>
          <w:lang w:eastAsia="zh-CN"/>
        </w:rPr>
        <w:t>FFS whether association ID is required and should provide motivation on per use case bases</w:t>
      </w:r>
    </w:p>
    <w:p w14:paraId="5BEB7938" w14:textId="77777777" w:rsidR="006617A3" w:rsidRDefault="006617A3" w:rsidP="006617A3">
      <w:pPr>
        <w:pStyle w:val="Doc-text2"/>
        <w:pBdr>
          <w:top w:val="single" w:sz="4" w:space="1" w:color="auto"/>
          <w:left w:val="single" w:sz="4" w:space="4" w:color="auto"/>
          <w:bottom w:val="single" w:sz="4" w:space="1" w:color="auto"/>
          <w:right w:val="single" w:sz="4" w:space="4" w:color="auto"/>
        </w:pBdr>
        <w:ind w:left="1259" w:firstLine="0"/>
        <w:rPr>
          <w:rFonts w:cs="Arial"/>
          <w:lang w:eastAsia="zh-CN"/>
        </w:rPr>
      </w:pPr>
    </w:p>
    <w:p w14:paraId="1193713F" w14:textId="77777777" w:rsidR="006617A3" w:rsidRPr="006617A3" w:rsidRDefault="006617A3" w:rsidP="006617A3">
      <w:pPr>
        <w:pStyle w:val="Doc-text2"/>
      </w:pPr>
    </w:p>
    <w:p w14:paraId="10C9EABD" w14:textId="61D3AED8" w:rsidR="00D648AF" w:rsidRDefault="00D648AF" w:rsidP="00D648AF">
      <w:pPr>
        <w:pStyle w:val="Heading2"/>
      </w:pPr>
      <w:r w:rsidRPr="00E20620">
        <w:t>2.</w:t>
      </w:r>
      <w:r>
        <w:t>2</w:t>
      </w:r>
      <w:r w:rsidRPr="00E20620">
        <w:t xml:space="preserve"> </w:t>
      </w:r>
      <w:r>
        <w:tab/>
      </w:r>
      <w:r w:rsidR="00C17253">
        <w:t>Capability and Applicability</w:t>
      </w:r>
    </w:p>
    <w:p w14:paraId="1866BA69" w14:textId="76A5CA03" w:rsidR="008D71B4" w:rsidRDefault="00C52006" w:rsidP="00D629AD">
      <w:r>
        <w:t xml:space="preserve">One might argue that it is premature to discuss UE capabilities in a SI, but since capability and applicability go hand in hand, it is simply more efficient to discuss these together. </w:t>
      </w:r>
      <w:r w:rsidR="00FA1E16">
        <w:t xml:space="preserve">If some features don’t need separate capabilities, it is rather likely they wouldn’t need separate applicability indication and vice versa, if </w:t>
      </w:r>
      <w:r w:rsidR="00AC5939">
        <w:t xml:space="preserve">we define an applicability indication for a functionality or a feature, it is obvious it needs a capability signalling. </w:t>
      </w:r>
    </w:p>
    <w:p w14:paraId="76D8354C" w14:textId="4E8FE592" w:rsidR="008D71B4" w:rsidRDefault="00AC5939" w:rsidP="00D629AD">
      <w:r>
        <w:t>We’ve already agreed to consider the following AI/ML capabilities:</w:t>
      </w:r>
    </w:p>
    <w:p w14:paraId="1D34C618" w14:textId="0CA04F8D" w:rsidR="00D669C8" w:rsidRDefault="00D669C8" w:rsidP="00D211AC">
      <w:pPr>
        <w:pStyle w:val="ListParagraph"/>
        <w:numPr>
          <w:ilvl w:val="0"/>
          <w:numId w:val="14"/>
        </w:numPr>
      </w:pPr>
      <w:r w:rsidRPr="00D30C67">
        <w:t>Measurement event prediction</w:t>
      </w:r>
    </w:p>
    <w:p w14:paraId="4302DDAE" w14:textId="2AF56C99" w:rsidR="00D211AC" w:rsidRDefault="00D211AC" w:rsidP="00D211AC">
      <w:pPr>
        <w:pStyle w:val="ListParagraph"/>
        <w:numPr>
          <w:ilvl w:val="0"/>
          <w:numId w:val="14"/>
        </w:numPr>
      </w:pPr>
      <w:r>
        <w:t xml:space="preserve">Temporal domain </w:t>
      </w:r>
      <w:r w:rsidR="00D669C8">
        <w:t xml:space="preserve">L3 RSRP prediction </w:t>
      </w:r>
      <w:r>
        <w:t>case A</w:t>
      </w:r>
    </w:p>
    <w:p w14:paraId="5FFF24F7" w14:textId="0EA6A87C" w:rsidR="00D211AC" w:rsidRDefault="00D211AC" w:rsidP="00D211AC">
      <w:pPr>
        <w:pStyle w:val="ListParagraph"/>
        <w:numPr>
          <w:ilvl w:val="0"/>
          <w:numId w:val="14"/>
        </w:numPr>
      </w:pPr>
      <w:r>
        <w:t xml:space="preserve">Temporal domain </w:t>
      </w:r>
      <w:r w:rsidR="00D669C8">
        <w:t xml:space="preserve">L3 RSRP prediction </w:t>
      </w:r>
      <w:r>
        <w:t>case B</w:t>
      </w:r>
    </w:p>
    <w:p w14:paraId="5A39FFE1" w14:textId="4A6DB486" w:rsidR="00D211AC" w:rsidRDefault="00D211AC" w:rsidP="00D211AC">
      <w:pPr>
        <w:pStyle w:val="ListParagraph"/>
        <w:numPr>
          <w:ilvl w:val="0"/>
          <w:numId w:val="14"/>
        </w:numPr>
      </w:pPr>
      <w:r>
        <w:t xml:space="preserve">Frequency domain </w:t>
      </w:r>
      <w:r w:rsidR="00D669C8">
        <w:t xml:space="preserve">L3 RSRP prediction </w:t>
      </w:r>
    </w:p>
    <w:p w14:paraId="7E1A4702" w14:textId="559515F9" w:rsidR="00D211AC" w:rsidRDefault="00D211AC" w:rsidP="00D211AC">
      <w:pPr>
        <w:pStyle w:val="ListParagraph"/>
        <w:numPr>
          <w:ilvl w:val="0"/>
          <w:numId w:val="14"/>
        </w:numPr>
      </w:pPr>
      <w:r>
        <w:lastRenderedPageBreak/>
        <w:t>Spatial domain (pending)</w:t>
      </w:r>
    </w:p>
    <w:p w14:paraId="65FDB6B1" w14:textId="4995599B" w:rsidR="00AC5939" w:rsidRDefault="00D211AC" w:rsidP="00D211AC">
      <w:pPr>
        <w:pStyle w:val="ListParagraph"/>
        <w:numPr>
          <w:ilvl w:val="0"/>
          <w:numId w:val="14"/>
        </w:numPr>
      </w:pPr>
      <w:r>
        <w:t xml:space="preserve">L3 beam level </w:t>
      </w:r>
      <w:r w:rsidR="00D669C8">
        <w:t>RSRP</w:t>
      </w:r>
      <w:r>
        <w:t xml:space="preserve"> prediction</w:t>
      </w:r>
    </w:p>
    <w:p w14:paraId="1CB0BA98" w14:textId="5FFA2F2E" w:rsidR="00C24FCA" w:rsidRDefault="00C24FCA" w:rsidP="00C24FCA">
      <w:r>
        <w:t xml:space="preserve">As was evident from the evaluation, these prediction capabilities require different AI/ML models and so it is perhaps self-evident </w:t>
      </w:r>
      <w:r w:rsidR="00573800">
        <w:t>they require separate capabilities. The question then becomes, do we need separate applicability indication? Or in other words, if let’s say a model for temporal domain case A prediction becomes unavailable, does this necessarily mean that all the other AI/ML mobility models would also be unavailable?</w:t>
      </w:r>
    </w:p>
    <w:p w14:paraId="041E99D2" w14:textId="766CFDE1" w:rsidR="00244CBC" w:rsidRDefault="00244CBC" w:rsidP="00D629AD">
      <w:r>
        <w:t>In our view, the answer is definitely yes. For example, it quite possible that a UE m</w:t>
      </w:r>
      <w:r w:rsidR="00051606">
        <w:t>ay have models to cover all the cases of temporal domain prediction but not all the frequencies, and so for example upon handover (to a cell of a different frequency) temporal domain pre</w:t>
      </w:r>
      <w:r w:rsidR="00077782">
        <w:t xml:space="preserve">diction models will remain applicable but frequency domain prediction model(s) may not. One argument against this we can anticipate is the results of our generalization study, however it must be understood that since the study covered only a small set of configurations in </w:t>
      </w:r>
      <w:r w:rsidR="001B088F">
        <w:t xml:space="preserve">synthetic simulated scenarios, we cannot be confident it actually applies to all the scenarios in the field. </w:t>
      </w:r>
    </w:p>
    <w:p w14:paraId="520C70CC" w14:textId="169277C2" w:rsidR="00505113" w:rsidRPr="00883CDF" w:rsidRDefault="00505113" w:rsidP="00D629AD">
      <w:pPr>
        <w:rPr>
          <w:b/>
          <w:bCs/>
        </w:rPr>
      </w:pPr>
      <w:r w:rsidRPr="00883CDF">
        <w:rPr>
          <w:b/>
          <w:bCs/>
        </w:rPr>
        <w:t xml:space="preserve">Proposal 1: </w:t>
      </w:r>
      <w:r w:rsidR="00EA7DCC" w:rsidRPr="00883CDF">
        <w:rPr>
          <w:b/>
          <w:bCs/>
        </w:rPr>
        <w:t xml:space="preserve">event prediction, temporal domain prediction case A, temporal domain prediction case B, frequency domain prediction, spatial domain prediction (if specified), and beam level prediction should have separate capability and applicability signalling for each feature. </w:t>
      </w:r>
    </w:p>
    <w:p w14:paraId="0CC43536" w14:textId="0E1EEAB5" w:rsidR="00147ECE" w:rsidRDefault="00147ECE" w:rsidP="00D629AD">
      <w:r>
        <w:t xml:space="preserve">The next topics to discuss </w:t>
      </w:r>
      <w:r w:rsidR="00E62C38">
        <w:t xml:space="preserve">are prediction accuracy and window lengths – are these </w:t>
      </w:r>
      <w:r w:rsidR="00C347DF">
        <w:t>fixed (in accordance with e.g. requirements to be defined in RAN4</w:t>
      </w:r>
      <w:r w:rsidR="00B22969">
        <w:t>), are they configurable (e.g. can the network request predictions with certain accuracy or at certain prediction window lengths</w:t>
      </w:r>
      <w:r w:rsidR="00FD1E47">
        <w:t xml:space="preserve">) and whether we should expect UEs to have different capabilities and different applicability for different accuracies and prediction window lengths. </w:t>
      </w:r>
    </w:p>
    <w:p w14:paraId="7B837ED9" w14:textId="27D20019" w:rsidR="00883CDF" w:rsidRDefault="00883CDF" w:rsidP="00D629AD">
      <w:r>
        <w:t xml:space="preserve">Note: the term “prediction window” here doesn’t imply “direct prediction” – direct or no direct, measurement event or RSRP prediction, there will always be some time window, e.g. how far ahead a UE can predict something. </w:t>
      </w:r>
    </w:p>
    <w:p w14:paraId="31454E77" w14:textId="57BE4483" w:rsidR="00883CDF" w:rsidRDefault="00D432BB" w:rsidP="00D629AD">
      <w:r>
        <w:t xml:space="preserve">We find it hard to discuss accuracy at this stage, before there is sufficient </w:t>
      </w:r>
      <w:r w:rsidR="00D8536E">
        <w:t xml:space="preserve">RAN4 progress. For instance, if RAN4 end up defining an accuracy requirement, then maybe there is no need for any signalling: neighed capability, nor configuration, nor applicability. A UE might simply be required to use a model with sufficient accuracy and that’s the end of it. </w:t>
      </w:r>
    </w:p>
    <w:p w14:paraId="643E788A" w14:textId="4F85AD4B" w:rsidR="00D8536E" w:rsidRPr="007F04B3" w:rsidRDefault="00D8536E" w:rsidP="00D629AD">
      <w:pPr>
        <w:rPr>
          <w:b/>
          <w:bCs/>
        </w:rPr>
      </w:pPr>
      <w:r w:rsidRPr="007F04B3">
        <w:rPr>
          <w:b/>
          <w:bCs/>
        </w:rPr>
        <w:t>Proposal 2: postpone the discussion about accuracy (</w:t>
      </w:r>
      <w:r w:rsidR="00E01EDB" w:rsidRPr="007F04B3">
        <w:rPr>
          <w:b/>
          <w:bCs/>
        </w:rPr>
        <w:t>in the context of potential signalling enhancements) till there is enough progress in RAN4.</w:t>
      </w:r>
    </w:p>
    <w:p w14:paraId="3B0AA09A" w14:textId="074C10C4" w:rsidR="00E01EDB" w:rsidRDefault="001C63E5" w:rsidP="00D629AD">
      <w:r>
        <w:t xml:space="preserve">Prediction window, though, is different. Based on our evaluations we can conclude that different models may have </w:t>
      </w:r>
      <w:r w:rsidR="007A3C7D">
        <w:t xml:space="preserve">different prediction windows, i.e. how far into the future the model can predict (an event or a RSRP </w:t>
      </w:r>
      <w:r w:rsidR="00D259BA">
        <w:t>measurement</w:t>
      </w:r>
      <w:r w:rsidR="007A3C7D">
        <w:t xml:space="preserve">) with sufficient accuracy. </w:t>
      </w:r>
      <w:r w:rsidR="00D259BA">
        <w:t xml:space="preserve">Therefore, it makes sense to define a UE capability (and the corresponding applicability signalling) for each model/feature </w:t>
      </w:r>
      <w:r w:rsidR="007F04B3">
        <w:t>of how far into the future (defined by times t1 and t2) the model can make a prediction with a required accuracy.</w:t>
      </w:r>
    </w:p>
    <w:p w14:paraId="487079E7" w14:textId="6FBB7534" w:rsidR="00E05DA6" w:rsidRPr="00C9316A" w:rsidRDefault="00E05DA6" w:rsidP="00E05DA6">
      <w:pPr>
        <w:rPr>
          <w:b/>
          <w:bCs/>
        </w:rPr>
      </w:pPr>
      <w:r w:rsidRPr="00C9316A">
        <w:rPr>
          <w:b/>
          <w:bCs/>
        </w:rPr>
        <w:t xml:space="preserve">Observation 1: prediction window length depends on AI/ML model complexity and factors such as UE speed. </w:t>
      </w:r>
    </w:p>
    <w:p w14:paraId="0D1C626F" w14:textId="03FEE95A" w:rsidR="007F04B3" w:rsidRPr="00C9316A" w:rsidRDefault="007F04B3" w:rsidP="00D629AD">
      <w:pPr>
        <w:rPr>
          <w:b/>
          <w:bCs/>
        </w:rPr>
      </w:pPr>
      <w:r w:rsidRPr="00C9316A">
        <w:rPr>
          <w:b/>
          <w:bCs/>
        </w:rPr>
        <w:t>Proposal 3: define a UE capability (and the corresponding applicability signalling) for each model/feature of how far into the future (defined by times t1 and t2) the model can make a prediction with a required accuracy.</w:t>
      </w:r>
    </w:p>
    <w:p w14:paraId="14113858" w14:textId="73947492" w:rsidR="00D259BA" w:rsidRDefault="00511E04" w:rsidP="00D629AD">
      <w:r>
        <w:t xml:space="preserve">Specifically, in the context of measurement event prediction, it is very likely (almost certainly) that a UE would use different models for different events. For example, we find it hard to believe that all the implementations would opt for a model that can simultaneously predict serving and neighbour cell measurements. We must allow an implementation that would use different models for that. If that’s the case, then such different models almost certainly will have different capabilities and different applicability restrictions. </w:t>
      </w:r>
    </w:p>
    <w:p w14:paraId="0BAA5899" w14:textId="076C8385" w:rsidR="00D629AD" w:rsidRPr="00C9316A" w:rsidRDefault="00D629AD" w:rsidP="00D629AD">
      <w:pPr>
        <w:rPr>
          <w:b/>
          <w:bCs/>
        </w:rPr>
      </w:pPr>
      <w:r w:rsidRPr="00C9316A">
        <w:rPr>
          <w:b/>
          <w:bCs/>
        </w:rPr>
        <w:t>Observation</w:t>
      </w:r>
      <w:r w:rsidR="00511E04" w:rsidRPr="00C9316A">
        <w:rPr>
          <w:b/>
          <w:bCs/>
        </w:rPr>
        <w:t xml:space="preserve"> 2</w:t>
      </w:r>
      <w:r w:rsidRPr="00C9316A">
        <w:rPr>
          <w:b/>
          <w:bCs/>
        </w:rPr>
        <w:t>: it is likely that UE implementation would use different AI/ML models to predict different A1-6 events.</w:t>
      </w:r>
    </w:p>
    <w:p w14:paraId="79CD4CD3" w14:textId="1A026158" w:rsidR="00511E04" w:rsidRDefault="00511E04" w:rsidP="00D629AD">
      <w:r>
        <w:t>Hence the proposal:</w:t>
      </w:r>
    </w:p>
    <w:p w14:paraId="3546A550" w14:textId="26F50AD5" w:rsidR="00E71B45" w:rsidRPr="00C9316A" w:rsidRDefault="00D629AD" w:rsidP="00E71B45">
      <w:pPr>
        <w:rPr>
          <w:b/>
          <w:bCs/>
        </w:rPr>
      </w:pPr>
      <w:r w:rsidRPr="00C9316A">
        <w:rPr>
          <w:b/>
          <w:bCs/>
        </w:rPr>
        <w:t>Proposal</w:t>
      </w:r>
      <w:r w:rsidR="00511E04" w:rsidRPr="00C9316A">
        <w:rPr>
          <w:b/>
          <w:bCs/>
        </w:rPr>
        <w:t xml:space="preserve"> 4</w:t>
      </w:r>
      <w:r w:rsidRPr="00C9316A">
        <w:rPr>
          <w:b/>
          <w:bCs/>
        </w:rPr>
        <w:t xml:space="preserve">: AI/ML measurement event prediction UE capability </w:t>
      </w:r>
      <w:r w:rsidR="00706C65">
        <w:rPr>
          <w:b/>
          <w:bCs/>
        </w:rPr>
        <w:t>and applicability</w:t>
      </w:r>
      <w:r w:rsidRPr="00C9316A">
        <w:rPr>
          <w:b/>
          <w:bCs/>
        </w:rPr>
        <w:t xml:space="preserve"> is per A1-6 event. </w:t>
      </w:r>
      <w:r w:rsidR="00C432B6" w:rsidRPr="00C9316A">
        <w:rPr>
          <w:b/>
          <w:bCs/>
        </w:rPr>
        <w:t>Alternatively, we can consider separate capability for</w:t>
      </w:r>
      <w:r w:rsidR="005E40CA" w:rsidRPr="00C9316A">
        <w:rPr>
          <w:b/>
          <w:bCs/>
        </w:rPr>
        <w:t>:</w:t>
      </w:r>
    </w:p>
    <w:p w14:paraId="07EA74B3" w14:textId="77777777" w:rsidR="005E40CA" w:rsidRPr="00ED26CB" w:rsidRDefault="005E40CA" w:rsidP="005E40CA">
      <w:pPr>
        <w:pStyle w:val="ListParagraph"/>
        <w:numPr>
          <w:ilvl w:val="0"/>
          <w:numId w:val="13"/>
        </w:numPr>
        <w:rPr>
          <w:b/>
          <w:bCs/>
        </w:rPr>
      </w:pPr>
      <w:r w:rsidRPr="00ED26CB">
        <w:rPr>
          <w:b/>
          <w:bCs/>
        </w:rPr>
        <w:t>A1 and A2 (for serving cell event prediction)</w:t>
      </w:r>
    </w:p>
    <w:p w14:paraId="488BA110" w14:textId="77777777" w:rsidR="005E40CA" w:rsidRPr="00ED26CB" w:rsidRDefault="005E40CA" w:rsidP="005E40CA">
      <w:pPr>
        <w:pStyle w:val="ListParagraph"/>
        <w:numPr>
          <w:ilvl w:val="0"/>
          <w:numId w:val="13"/>
        </w:numPr>
        <w:rPr>
          <w:b/>
          <w:bCs/>
        </w:rPr>
      </w:pPr>
      <w:r w:rsidRPr="00ED26CB">
        <w:rPr>
          <w:b/>
          <w:bCs/>
        </w:rPr>
        <w:t>A3 and A4 (for neighbour cell event prediction, where UE may have a dedicated model, e.g. for inter-frequency inter-cell measurements)</w:t>
      </w:r>
    </w:p>
    <w:p w14:paraId="53B6154B" w14:textId="2FAEB8D5" w:rsidR="005E40CA" w:rsidRPr="00ED26CB" w:rsidRDefault="005E40CA" w:rsidP="005E40CA">
      <w:pPr>
        <w:pStyle w:val="ListParagraph"/>
        <w:numPr>
          <w:ilvl w:val="0"/>
          <w:numId w:val="13"/>
        </w:numPr>
        <w:rPr>
          <w:b/>
          <w:bCs/>
        </w:rPr>
      </w:pPr>
      <w:r w:rsidRPr="00ED26CB">
        <w:rPr>
          <w:b/>
          <w:bCs/>
        </w:rPr>
        <w:t>A5 and A6 (both serving and neighbour cell predictions)</w:t>
      </w:r>
    </w:p>
    <w:p w14:paraId="74C3BCD1" w14:textId="620108DD" w:rsidR="008C1501" w:rsidRDefault="008C1501" w:rsidP="00A51A6B">
      <w:r>
        <w:lastRenderedPageBreak/>
        <w:t xml:space="preserve">Finally, we would like to note that the applicability </w:t>
      </w:r>
      <w:r w:rsidR="00CD6A22">
        <w:t>signalling</w:t>
      </w:r>
      <w:r>
        <w:t xml:space="preserve">, while being important, is a rather “heavy” mechanism. What we mean by that is that </w:t>
      </w:r>
      <w:r w:rsidR="00CD6A22">
        <w:t xml:space="preserve">it requires signalling exchange between UE and network, consumes air interface resources, and has delay. All this is justifiable for the cases when a UE e.g. don’t have a model which is trained with sufficiently high accuracy for a certain scenario (which is expected to last for a long time). However, there certainly would be many cases when a model may become “momentarily inapplicable”. For instance, a UE may have a model which performs well at speeds between </w:t>
      </w:r>
      <w:r w:rsidR="00DF1B9B">
        <w:t xml:space="preserve">30km/h to 90km/h, but it’s accuracy decreases sharply when the speed goes above 90km/h. Additionally, a UE may have a model which has been tested for speeds up to 120 km/h (let’s say a legal limit in a certain country). What happens if the user speeds up momentarily (e.g. for a few seconds) </w:t>
      </w:r>
      <w:r w:rsidR="006960B6">
        <w:t>beyond 120km/h? Should the UE declare inapplicability? What happens if the user does this 5 times in a row?</w:t>
      </w:r>
    </w:p>
    <w:p w14:paraId="1E6D3C2C" w14:textId="7C18141D" w:rsidR="00A51A6B" w:rsidRPr="00C9316A" w:rsidRDefault="00A51A6B" w:rsidP="00A51A6B">
      <w:pPr>
        <w:rPr>
          <w:b/>
          <w:bCs/>
        </w:rPr>
      </w:pPr>
      <w:r w:rsidRPr="00C9316A">
        <w:rPr>
          <w:b/>
          <w:bCs/>
        </w:rPr>
        <w:t>Observation</w:t>
      </w:r>
      <w:r w:rsidR="006960B6" w:rsidRPr="00C9316A">
        <w:rPr>
          <w:b/>
          <w:bCs/>
        </w:rPr>
        <w:t xml:space="preserve"> 3</w:t>
      </w:r>
      <w:r w:rsidRPr="00C9316A">
        <w:rPr>
          <w:b/>
          <w:bCs/>
        </w:rPr>
        <w:t>: a model may become “momentarily inapplicable” (e.g. when UE momentarily changes speed); notifying the network for such momentary inapplicability would be a waste of UE, network and air interrace resources.</w:t>
      </w:r>
    </w:p>
    <w:p w14:paraId="39844FC0" w14:textId="5BF93D8F" w:rsidR="00C9316A" w:rsidRDefault="00C9316A" w:rsidP="00A51A6B">
      <w:r>
        <w:t xml:space="preserve">An obvious solution is not to require UEs to declare inapplicability in such cases. A reasonable UE implementation would simply fall back to legacy (i.e. perform real measurements as configured) and such reasonable implementations should not be precluded. </w:t>
      </w:r>
    </w:p>
    <w:p w14:paraId="5AEF03AF" w14:textId="1D2E7A41" w:rsidR="00A51A6B" w:rsidRPr="00C9316A" w:rsidRDefault="00A51A6B" w:rsidP="001606BD">
      <w:pPr>
        <w:rPr>
          <w:b/>
          <w:bCs/>
        </w:rPr>
      </w:pPr>
      <w:r w:rsidRPr="00C9316A">
        <w:rPr>
          <w:b/>
          <w:bCs/>
        </w:rPr>
        <w:t>Proposal</w:t>
      </w:r>
      <w:r w:rsidR="00C9316A" w:rsidRPr="00C9316A">
        <w:rPr>
          <w:b/>
          <w:bCs/>
        </w:rPr>
        <w:t xml:space="preserve"> 5</w:t>
      </w:r>
      <w:r w:rsidRPr="00C9316A">
        <w:rPr>
          <w:b/>
          <w:bCs/>
        </w:rPr>
        <w:t xml:space="preserve">: when the UE is configured to perform inference, it is allowed to use </w:t>
      </w:r>
      <w:r w:rsidR="00E33B6A">
        <w:rPr>
          <w:b/>
          <w:bCs/>
          <w:lang w:val="en-US"/>
        </w:rPr>
        <w:t>AI/ML</w:t>
      </w:r>
      <w:r w:rsidRPr="000E44B6">
        <w:rPr>
          <w:b/>
          <w:bCs/>
          <w:lang w:val="en-US"/>
        </w:rPr>
        <w:t xml:space="preserve"> </w:t>
      </w:r>
      <w:r w:rsidRPr="00C9316A">
        <w:rPr>
          <w:b/>
          <w:bCs/>
        </w:rPr>
        <w:t xml:space="preserve">or not, as long as it satisfies the performance requirements. </w:t>
      </w:r>
    </w:p>
    <w:p w14:paraId="4392256D" w14:textId="5BEFB658" w:rsidR="00F97C44" w:rsidRDefault="00F97C44" w:rsidP="006621EE">
      <w:pPr>
        <w:pStyle w:val="Heading2"/>
      </w:pPr>
      <w:r w:rsidRPr="00E20620">
        <w:t>2.</w:t>
      </w:r>
      <w:r>
        <w:t>3</w:t>
      </w:r>
      <w:r w:rsidRPr="00E20620">
        <w:t xml:space="preserve"> </w:t>
      </w:r>
      <w:r>
        <w:tab/>
        <w:t>Inference Configuration and Reporting</w:t>
      </w:r>
    </w:p>
    <w:p w14:paraId="1E40CCF2" w14:textId="64933A64" w:rsidR="00F91698" w:rsidRDefault="00F91698" w:rsidP="006E0CF5">
      <w:pPr>
        <w:rPr>
          <w:lang w:val="en-US" w:bidi="he-IL"/>
        </w:rPr>
      </w:pPr>
      <w:r>
        <w:rPr>
          <w:lang w:val="en-US" w:bidi="he-IL"/>
        </w:rPr>
        <w:t xml:space="preserve">For RSRP measurement prediction, the main benefit in our view is </w:t>
      </w:r>
      <w:r w:rsidR="00EC0292">
        <w:rPr>
          <w:lang w:val="en-US" w:bidi="he-IL"/>
        </w:rPr>
        <w:t>measurement gap reduction. We should expect that AI/ML capable UE should be able to satisfy the accuracy requirements wi</w:t>
      </w:r>
      <w:r w:rsidR="00B64A15">
        <w:rPr>
          <w:lang w:val="en-US" w:bidi="he-IL"/>
        </w:rPr>
        <w:t xml:space="preserve">th fewer/shorter measurement gaps. </w:t>
      </w:r>
    </w:p>
    <w:p w14:paraId="5DFA9E56" w14:textId="3ECECAA4" w:rsidR="006E0CF5" w:rsidRPr="00E41DF1" w:rsidRDefault="006E0CF5" w:rsidP="006E0CF5">
      <w:pPr>
        <w:rPr>
          <w:b/>
          <w:bCs/>
          <w:lang w:val="en-US" w:bidi="he-IL"/>
        </w:rPr>
      </w:pPr>
      <w:r w:rsidRPr="00E41DF1">
        <w:rPr>
          <w:b/>
          <w:bCs/>
          <w:lang w:val="en-US" w:bidi="he-IL"/>
        </w:rPr>
        <w:t>Proposal 6:</w:t>
      </w:r>
      <w:r w:rsidR="00CF686F" w:rsidRPr="00E41DF1">
        <w:rPr>
          <w:b/>
          <w:bCs/>
          <w:lang w:val="en-US" w:bidi="he-IL"/>
        </w:rPr>
        <w:t xml:space="preserve"> for RSRP prediction and reporting, </w:t>
      </w:r>
      <w:r w:rsidR="002C7C19" w:rsidRPr="00E41DF1">
        <w:rPr>
          <w:b/>
          <w:bCs/>
          <w:lang w:val="en-US" w:bidi="he-IL"/>
        </w:rPr>
        <w:t>it is expected that the configured measurement gap may be reduced, in accordance with UE capabilities</w:t>
      </w:r>
      <w:r w:rsidR="00024DF3" w:rsidRPr="00E41DF1">
        <w:rPr>
          <w:b/>
          <w:bCs/>
          <w:lang w:val="en-US" w:bidi="he-IL"/>
        </w:rPr>
        <w:t>.</w:t>
      </w:r>
    </w:p>
    <w:p w14:paraId="09F35688" w14:textId="50E5FF33" w:rsidR="00B64A15" w:rsidRDefault="00AB49D8" w:rsidP="00AB49D8">
      <w:pPr>
        <w:rPr>
          <w:lang w:val="en-US" w:bidi="he-IL"/>
        </w:rPr>
      </w:pPr>
      <w:r>
        <w:rPr>
          <w:lang w:val="en-US" w:bidi="he-IL"/>
        </w:rPr>
        <w:t xml:space="preserve">For the second task of </w:t>
      </w:r>
      <w:r w:rsidR="00F41962">
        <w:rPr>
          <w:lang w:val="en-US" w:bidi="he-IL"/>
        </w:rPr>
        <w:t xml:space="preserve">HO performance improvement, we are not sure whether any signalling enhancements are needed at all. If a UE is capable of exceeding the accuracy requirements by using AI/ML, this would naturally result in improved performance. No special signaling is probably needed to realize these gains. </w:t>
      </w:r>
    </w:p>
    <w:p w14:paraId="67735E28" w14:textId="67508413" w:rsidR="00440D78" w:rsidRDefault="007F04F3" w:rsidP="00104457">
      <w:pPr>
        <w:rPr>
          <w:lang w:val="en-US" w:bidi="he-IL"/>
        </w:rPr>
      </w:pPr>
      <w:r>
        <w:rPr>
          <w:lang w:val="en-US" w:bidi="he-IL"/>
        </w:rPr>
        <w:t xml:space="preserve">For the event prediction, we think it would be beneficial to differentiate between HO preparation optimizations and HO execution optimization. </w:t>
      </w:r>
      <w:r w:rsidR="00EF29F1">
        <w:rPr>
          <w:lang w:val="en-US" w:bidi="he-IL"/>
        </w:rPr>
        <w:t xml:space="preserve">The former is relatively easy to achieve and in fact we have hard evidence from the evaluation that it works. </w:t>
      </w:r>
    </w:p>
    <w:p w14:paraId="517007A0" w14:textId="701AA5E8" w:rsidR="00EF29F1" w:rsidRPr="00E41DF1" w:rsidRDefault="00EF29F1" w:rsidP="00104457">
      <w:pPr>
        <w:rPr>
          <w:b/>
          <w:bCs/>
          <w:lang w:val="en-US" w:bidi="he-IL"/>
        </w:rPr>
      </w:pPr>
      <w:r w:rsidRPr="00E41DF1">
        <w:rPr>
          <w:b/>
          <w:bCs/>
          <w:lang w:val="en-US" w:bidi="he-IL"/>
        </w:rPr>
        <w:t xml:space="preserve">Observation 4: HO preparation optimization works and provides gains, as has been established in the evaluation. </w:t>
      </w:r>
    </w:p>
    <w:p w14:paraId="2DA121F9" w14:textId="77777777" w:rsidR="00E41DF1" w:rsidRDefault="00E41DF1" w:rsidP="00E41DF1">
      <w:pPr>
        <w:rPr>
          <w:lang w:val="en-US" w:bidi="he-IL"/>
        </w:rPr>
      </w:pPr>
      <w:r>
        <w:rPr>
          <w:lang w:val="en-US" w:bidi="he-IL"/>
        </w:rPr>
        <w:t>We’ve already agreed that:</w:t>
      </w:r>
    </w:p>
    <w:p w14:paraId="19A111F2" w14:textId="77777777" w:rsidR="00E41DF1" w:rsidRPr="00AE6715" w:rsidRDefault="00E41DF1" w:rsidP="00E41DF1">
      <w:pPr>
        <w:pStyle w:val="Agreement"/>
        <w:numPr>
          <w:ilvl w:val="0"/>
          <w:numId w:val="11"/>
        </w:numPr>
        <w:pBdr>
          <w:top w:val="single" w:sz="4" w:space="1" w:color="auto"/>
          <w:left w:val="single" w:sz="4" w:space="4" w:color="auto"/>
          <w:bottom w:val="single" w:sz="4" w:space="1" w:color="auto"/>
          <w:right w:val="single" w:sz="4" w:space="4" w:color="auto"/>
        </w:pBdr>
        <w:rPr>
          <w:b w:val="0"/>
          <w:bCs/>
        </w:rPr>
      </w:pPr>
      <w:r w:rsidRPr="00AE6715">
        <w:rPr>
          <w:b w:val="0"/>
          <w:bCs/>
        </w:rPr>
        <w:t>For event prediction, UE-sided model, the UE can be configured with event-triggered reporting based on prediction and/or actual measurements.  FFS details</w:t>
      </w:r>
    </w:p>
    <w:p w14:paraId="533A2523" w14:textId="77777777" w:rsidR="00E41DF1" w:rsidRPr="00AE6715" w:rsidRDefault="00E41DF1" w:rsidP="00E41DF1">
      <w:pPr>
        <w:pStyle w:val="Agreement"/>
        <w:numPr>
          <w:ilvl w:val="0"/>
          <w:numId w:val="11"/>
        </w:numPr>
        <w:pBdr>
          <w:top w:val="single" w:sz="4" w:space="1" w:color="auto"/>
          <w:left w:val="single" w:sz="4" w:space="4" w:color="auto"/>
          <w:bottom w:val="single" w:sz="4" w:space="1" w:color="auto"/>
          <w:right w:val="single" w:sz="4" w:space="4" w:color="auto"/>
        </w:pBdr>
        <w:rPr>
          <w:b w:val="0"/>
          <w:bCs/>
        </w:rPr>
      </w:pPr>
      <w:r w:rsidRPr="00AE6715">
        <w:rPr>
          <w:b w:val="0"/>
          <w:bCs/>
        </w:rPr>
        <w:t>Baseline is that this applies to all A1-6 events, unless technical problems are identified.  Baseline quantity is RSRP.</w:t>
      </w:r>
    </w:p>
    <w:p w14:paraId="78AFA0B4" w14:textId="77777777" w:rsidR="00E41DF1" w:rsidRDefault="00E41DF1" w:rsidP="00E41DF1"/>
    <w:p w14:paraId="093ABE3F" w14:textId="54440096" w:rsidR="00E41DF1" w:rsidRPr="00E41DF1" w:rsidRDefault="00E41DF1" w:rsidP="00E41DF1">
      <w:r>
        <w:t xml:space="preserve">Here we provide a bit more details about how exactly these agreements need to be realized to enable HO preparation optimization. </w:t>
      </w:r>
    </w:p>
    <w:p w14:paraId="78AE0134" w14:textId="77777777" w:rsidR="00BA428E" w:rsidRDefault="00BA428E" w:rsidP="00BA428E">
      <w:pPr>
        <w:rPr>
          <w:lang w:val="en-US"/>
        </w:rPr>
      </w:pPr>
      <w:r>
        <w:rPr>
          <w:lang w:val="en-US"/>
        </w:rPr>
        <w:t xml:space="preserve">According to field data, the delay between a UE reporting A3 till the UE gets </w:t>
      </w:r>
      <w:r w:rsidRPr="00A81166">
        <w:rPr>
          <w:lang w:val="en-US"/>
        </w:rPr>
        <w:t>ReconfigurationWithSync</w:t>
      </w:r>
      <w:r>
        <w:rPr>
          <w:lang w:val="en-US"/>
        </w:rPr>
        <w:t xml:space="preserve"> from the networks can be as high as 50ms. Granted, HO preparation doesn’t always takes 50ms – but in some cases it does. We have no visibility into the reasons for such large delay, it can be for example high latency backhaul or some other reason. Regardless of the cause for such delay, as we show below, AI/ML prediction can help to eliminate it entirely – with minimal cost to UEs and the network.</w:t>
      </w:r>
    </w:p>
    <w:p w14:paraId="1287A412" w14:textId="6F348BC3" w:rsidR="00BA428E" w:rsidRPr="00E41DF1" w:rsidRDefault="00BA428E" w:rsidP="00104457">
      <w:pPr>
        <w:rPr>
          <w:b/>
          <w:bCs/>
          <w:lang w:val="en-US" w:bidi="he-IL"/>
        </w:rPr>
      </w:pPr>
      <w:r w:rsidRPr="00E41DF1">
        <w:rPr>
          <w:b/>
          <w:bCs/>
          <w:lang w:val="en-US" w:bidi="he-IL"/>
        </w:rPr>
        <w:t xml:space="preserve">Observation 5: HO preparation often takes longer than 50ms. </w:t>
      </w:r>
    </w:p>
    <w:p w14:paraId="42F8A8DA" w14:textId="77777777" w:rsidR="00BD24DE" w:rsidRDefault="00BD24DE" w:rsidP="00BD24DE">
      <w:pPr>
        <w:rPr>
          <w:lang w:val="en-US"/>
        </w:rPr>
      </w:pPr>
      <w:r>
        <w:rPr>
          <w:lang w:val="en-US"/>
        </w:rPr>
        <w:t xml:space="preserve">This wait time normally does not result in HO failure, as very few UEs move fast enough to go out of coverage pf the serving cell in 50ms, but even if the HO is successful, the relatively long wait in suboptimal radio conditions results in performance degradation, which is sometimes visible to the user. </w:t>
      </w:r>
    </w:p>
    <w:p w14:paraId="5872938D" w14:textId="0E425F8E" w:rsidR="00BD24DE" w:rsidRPr="001546F5" w:rsidRDefault="00BD24DE" w:rsidP="00BD24DE">
      <w:pPr>
        <w:rPr>
          <w:b/>
          <w:bCs/>
          <w:lang w:val="en-US"/>
        </w:rPr>
      </w:pPr>
      <w:r w:rsidRPr="001546F5">
        <w:rPr>
          <w:b/>
          <w:bCs/>
          <w:lang w:val="en-US"/>
        </w:rPr>
        <w:t xml:space="preserve">Observation </w:t>
      </w:r>
      <w:r>
        <w:rPr>
          <w:b/>
          <w:bCs/>
          <w:lang w:val="en-US"/>
        </w:rPr>
        <w:t>6</w:t>
      </w:r>
      <w:r w:rsidRPr="001546F5">
        <w:rPr>
          <w:b/>
          <w:bCs/>
          <w:lang w:val="en-US"/>
        </w:rPr>
        <w:t>: 50ms wait in suboptimal radio conditions rarely results in HO failure but does affect performance.</w:t>
      </w:r>
    </w:p>
    <w:p w14:paraId="3E9378B1" w14:textId="77777777" w:rsidR="00BD24DE" w:rsidRDefault="00BD24DE" w:rsidP="00BD24DE">
      <w:pPr>
        <w:rPr>
          <w:lang w:val="en-US"/>
        </w:rPr>
      </w:pPr>
      <w:r>
        <w:rPr>
          <w:lang w:val="en-US"/>
        </w:rPr>
        <w:lastRenderedPageBreak/>
        <w:t>With this in mind, we propose a simple HO enhancement (as illustrated by the Figure X below) which allows to eliminate the 50ms handover preparation wait time. The (minor) differences compared to the legacy flow are shown with “double arrows”.</w:t>
      </w:r>
    </w:p>
    <w:p w14:paraId="1D222BD7" w14:textId="6AA15ED1" w:rsidR="00BD24DE" w:rsidRDefault="00343680" w:rsidP="00104457">
      <w:pPr>
        <w:rPr>
          <w:lang w:val="en-US" w:bidi="he-IL"/>
        </w:rPr>
      </w:pPr>
      <w:r>
        <w:rPr>
          <w:noProof/>
          <w:lang w:val="en-US"/>
        </w:rPr>
        <w:drawing>
          <wp:inline distT="0" distB="0" distL="0" distR="0" wp14:anchorId="4BBF6638" wp14:editId="1EFED5C6">
            <wp:extent cx="6122035" cy="4165600"/>
            <wp:effectExtent l="0" t="0" r="0" b="0"/>
            <wp:docPr id="1054510766" name="Picture 3"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10766" name="Picture 3" descr="A diagram of a proces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4165600"/>
                    </a:xfrm>
                    <a:prstGeom prst="rect">
                      <a:avLst/>
                    </a:prstGeom>
                  </pic:spPr>
                </pic:pic>
              </a:graphicData>
            </a:graphic>
          </wp:inline>
        </w:drawing>
      </w:r>
    </w:p>
    <w:p w14:paraId="34567932" w14:textId="77777777" w:rsidR="00E41DF1" w:rsidRDefault="00E41DF1" w:rsidP="00E41DF1">
      <w:pPr>
        <w:rPr>
          <w:lang w:val="en-US"/>
        </w:rPr>
      </w:pPr>
      <w:r>
        <w:rPr>
          <w:lang w:val="en-US"/>
        </w:rPr>
        <w:t>The enhancements are as follows:</w:t>
      </w:r>
    </w:p>
    <w:p w14:paraId="74743AF1" w14:textId="77777777" w:rsidR="00E41DF1" w:rsidRDefault="00E41DF1" w:rsidP="00E41DF1">
      <w:pPr>
        <w:pStyle w:val="ListParagraph"/>
        <w:numPr>
          <w:ilvl w:val="0"/>
          <w:numId w:val="16"/>
        </w:numPr>
        <w:rPr>
          <w:lang w:val="en-US"/>
        </w:rPr>
      </w:pPr>
      <w:r>
        <w:rPr>
          <w:lang w:val="en-US"/>
        </w:rPr>
        <w:t>The UE performs measurements and also runs AI/ML measurement event prediction</w:t>
      </w:r>
    </w:p>
    <w:p w14:paraId="2A063034" w14:textId="77777777" w:rsidR="00E41DF1" w:rsidRDefault="00E41DF1" w:rsidP="00E41DF1">
      <w:pPr>
        <w:pStyle w:val="ListParagraph"/>
        <w:numPr>
          <w:ilvl w:val="0"/>
          <w:numId w:val="16"/>
        </w:numPr>
        <w:rPr>
          <w:lang w:val="en-US"/>
        </w:rPr>
      </w:pPr>
      <w:r>
        <w:rPr>
          <w:lang w:val="en-US"/>
        </w:rPr>
        <w:t>When an event is predicted, it is reported to the network (with the indication that it’s a predicted event)</w:t>
      </w:r>
    </w:p>
    <w:p w14:paraId="4A741015" w14:textId="77777777" w:rsidR="00E41DF1" w:rsidRDefault="00E41DF1" w:rsidP="00E41DF1">
      <w:pPr>
        <w:pStyle w:val="ListParagraph"/>
        <w:numPr>
          <w:ilvl w:val="0"/>
          <w:numId w:val="16"/>
        </w:numPr>
        <w:rPr>
          <w:lang w:val="en-US"/>
        </w:rPr>
      </w:pPr>
      <w:r>
        <w:rPr>
          <w:lang w:val="en-US"/>
        </w:rPr>
        <w:t>At this point the network (up to the network discretion) may start HO preparation (towards the predicted cell)</w:t>
      </w:r>
    </w:p>
    <w:p w14:paraId="6199E39F" w14:textId="77777777" w:rsidR="00E41DF1" w:rsidRDefault="00E41DF1" w:rsidP="00E41DF1">
      <w:pPr>
        <w:pStyle w:val="ListParagraph"/>
        <w:numPr>
          <w:ilvl w:val="0"/>
          <w:numId w:val="16"/>
        </w:numPr>
        <w:rPr>
          <w:lang w:val="en-US"/>
        </w:rPr>
      </w:pPr>
      <w:r>
        <w:rPr>
          <w:lang w:val="en-US"/>
        </w:rPr>
        <w:t>The UE continues performing measurements and when the real measurement event is triggered (based on the real measurements) the UE reports it to the network (as in legacy)</w:t>
      </w:r>
    </w:p>
    <w:p w14:paraId="67BE3D7A" w14:textId="77777777" w:rsidR="00E41DF1" w:rsidRPr="005339C8" w:rsidRDefault="00E41DF1" w:rsidP="00E41DF1">
      <w:pPr>
        <w:pStyle w:val="ListParagraph"/>
        <w:numPr>
          <w:ilvl w:val="0"/>
          <w:numId w:val="16"/>
        </w:numPr>
        <w:rPr>
          <w:lang w:val="en-US"/>
        </w:rPr>
      </w:pPr>
      <w:r>
        <w:rPr>
          <w:lang w:val="en-US"/>
        </w:rPr>
        <w:t xml:space="preserve">At this point, if the network has already done HO preparation towards the correct cell it can send </w:t>
      </w:r>
      <w:r w:rsidRPr="00A81166">
        <w:rPr>
          <w:lang w:val="en-US"/>
        </w:rPr>
        <w:t>ReconfigurationWithSync</w:t>
      </w:r>
      <w:r>
        <w:rPr>
          <w:lang w:val="en-US"/>
        </w:rPr>
        <w:t xml:space="preserve"> immediately</w:t>
      </w:r>
    </w:p>
    <w:p w14:paraId="08494EAF" w14:textId="77777777" w:rsidR="00E41DF1" w:rsidRDefault="00E41DF1" w:rsidP="00E41DF1">
      <w:pPr>
        <w:rPr>
          <w:lang w:val="en-US"/>
        </w:rPr>
      </w:pPr>
      <w:r>
        <w:rPr>
          <w:lang w:val="en-US"/>
        </w:rPr>
        <w:t>Now let’s consider the following scenarios:</w:t>
      </w:r>
    </w:p>
    <w:p w14:paraId="7F5C4F7C" w14:textId="77777777" w:rsidR="00E41DF1" w:rsidRDefault="00E41DF1" w:rsidP="00E41DF1">
      <w:pPr>
        <w:pStyle w:val="ListParagraph"/>
        <w:numPr>
          <w:ilvl w:val="0"/>
          <w:numId w:val="15"/>
        </w:numPr>
        <w:rPr>
          <w:lang w:val="en-US"/>
        </w:rPr>
      </w:pPr>
      <w:r>
        <w:rPr>
          <w:lang w:val="en-US"/>
        </w:rPr>
        <w:t>Successful measurement event prediction</w:t>
      </w:r>
    </w:p>
    <w:p w14:paraId="136245EE" w14:textId="77777777" w:rsidR="00E41DF1" w:rsidRDefault="00E41DF1" w:rsidP="00E41DF1">
      <w:pPr>
        <w:pStyle w:val="ListParagraph"/>
        <w:numPr>
          <w:ilvl w:val="0"/>
          <w:numId w:val="15"/>
        </w:numPr>
        <w:rPr>
          <w:lang w:val="en-US"/>
        </w:rPr>
      </w:pPr>
      <w:r>
        <w:rPr>
          <w:lang w:val="en-US"/>
        </w:rPr>
        <w:t>Wrong measurement event prediction</w:t>
      </w:r>
    </w:p>
    <w:p w14:paraId="3C2174EE" w14:textId="77777777" w:rsidR="00E41DF1" w:rsidRDefault="00E41DF1" w:rsidP="00E41DF1">
      <w:pPr>
        <w:pStyle w:val="ListParagraph"/>
        <w:numPr>
          <w:ilvl w:val="0"/>
          <w:numId w:val="15"/>
        </w:numPr>
        <w:rPr>
          <w:lang w:val="en-US"/>
        </w:rPr>
      </w:pPr>
      <w:r>
        <w:rPr>
          <w:lang w:val="en-US"/>
        </w:rPr>
        <w:t>Missed measurement event prediction</w:t>
      </w:r>
    </w:p>
    <w:p w14:paraId="6A8FB483" w14:textId="77777777" w:rsidR="00E41DF1" w:rsidRDefault="00E41DF1" w:rsidP="00E41DF1">
      <w:pPr>
        <w:rPr>
          <w:lang w:val="en-US"/>
        </w:rPr>
      </w:pPr>
      <w:r>
        <w:rPr>
          <w:lang w:val="en-US"/>
        </w:rPr>
        <w:t>In the first case of the UE successfully predicting the correct A3 event (with the correct target cell), the HO preparation is triggered ahead of time (the network doesn’t need to do so 400ms in advance, as might be possible, but hopefully it would be somewhere between 100ms to 50ms). The HO then succeeds, and the UE spends 50ms less in suboptimal radio conditions.</w:t>
      </w:r>
    </w:p>
    <w:p w14:paraId="260CEE91" w14:textId="77777777" w:rsidR="00E41DF1" w:rsidRDefault="00E41DF1" w:rsidP="00E41DF1">
      <w:pPr>
        <w:rPr>
          <w:lang w:val="en-US"/>
        </w:rPr>
      </w:pPr>
      <w:r>
        <w:rPr>
          <w:lang w:val="en-US"/>
        </w:rPr>
        <w:t>Now let’s consider the rare case of a UE predicting a wrong A3. This may result in one unnecessary HO preparation which indeed would waste a tiny bit of network resources (in a single cell) for a very short period of time (of a few hundreds ms). After which the UE would detect the real A3 event based on real measurements and the legacy procedure would kick in.</w:t>
      </w:r>
    </w:p>
    <w:p w14:paraId="3061D5DE" w14:textId="5EDC5CAA" w:rsidR="00E41DF1" w:rsidRDefault="00E41DF1" w:rsidP="00E41DF1">
      <w:pPr>
        <w:rPr>
          <w:lang w:val="en-US"/>
        </w:rPr>
      </w:pPr>
      <w:r>
        <w:rPr>
          <w:lang w:val="en-US"/>
        </w:rPr>
        <w:t>Finally, if the UE prediction algorithm misses an event – nothing happens bad, as we simply fall back to the legacy procedure (i.e. HO based on real measurement event only without a prediction).</w:t>
      </w:r>
    </w:p>
    <w:p w14:paraId="40CE0164" w14:textId="271EE4F6" w:rsidR="00355972" w:rsidRPr="00E41DF1" w:rsidRDefault="00355972" w:rsidP="00104457">
      <w:pPr>
        <w:rPr>
          <w:b/>
          <w:bCs/>
        </w:rPr>
      </w:pPr>
      <w:r w:rsidRPr="00E41DF1">
        <w:rPr>
          <w:b/>
          <w:bCs/>
        </w:rPr>
        <w:lastRenderedPageBreak/>
        <w:t xml:space="preserve">Proposal 7: to define “predicted A1-A6 events”, i.e. new events modelled similarly (but not identically) to A1-A6 which are triggered based on both real and predicted measurements. </w:t>
      </w:r>
    </w:p>
    <w:p w14:paraId="5503AC5B" w14:textId="6CF8AB96" w:rsidR="00C952D6" w:rsidRDefault="00C952D6" w:rsidP="00104457">
      <w:r>
        <w:t xml:space="preserve">With these predicted events the network can perform HO preparation and then, when a real event is triggered and reported, the network can perform HO execution immediately. </w:t>
      </w:r>
    </w:p>
    <w:p w14:paraId="044BF101" w14:textId="35C2AFE5" w:rsidR="00C952D6" w:rsidRDefault="00C952D6" w:rsidP="008D57AB">
      <w:r>
        <w:t>Finally, there is the open issue of associated id, which in our view should be used for both inference and data collection.</w:t>
      </w:r>
      <w:r w:rsidR="008D57AB">
        <w:t xml:space="preserve"> Associated ID is necessary to represent “NW-side additional conditions” (specific network implementation choice and/or deployment scenario) which may require inference with a separate AI/ML model or training with data collection for that specific network implementation choice and/or deployment scenario.</w:t>
      </w:r>
    </w:p>
    <w:p w14:paraId="7C36DADF" w14:textId="63350CA6" w:rsidR="008D57AB" w:rsidRDefault="008D57AB" w:rsidP="008D57AB">
      <w:r>
        <w:t xml:space="preserve">One such example of </w:t>
      </w:r>
      <w:r w:rsidR="002938E5">
        <w:t>“additional conditions” may be antenna title. As we now, active antenna systems allow the network to change antenna title to balance the trade-off between capacity and coverage</w:t>
      </w:r>
      <w:r w:rsidR="008E7455">
        <w:t>. For instance, in peak hours the network may choose to optimize for capacity and off-peak the network may choose to turn off some cells and change the antenna tilt of others to compensate. Naturally, this would have significant impacts on mobility. Unfortunately, this scenario (and may others), was not evaluated in the SI.</w:t>
      </w:r>
    </w:p>
    <w:p w14:paraId="16B11AEA" w14:textId="0268B1A3" w:rsidR="008E7455" w:rsidRPr="00E218C2" w:rsidRDefault="008E7455" w:rsidP="008D57AB">
      <w:pPr>
        <w:rPr>
          <w:b/>
          <w:bCs/>
        </w:rPr>
      </w:pPr>
      <w:r w:rsidRPr="00E218C2">
        <w:rPr>
          <w:b/>
          <w:bCs/>
        </w:rPr>
        <w:t xml:space="preserve">Observation 7: one example of “network additional conditions” very relevant to mobility is active antenna systems capable of changing antenna tilt to trade-off coverage for capacity; this has significant impacts on mobility. </w:t>
      </w:r>
    </w:p>
    <w:p w14:paraId="38F34916" w14:textId="193F8018" w:rsidR="008E7455" w:rsidRDefault="008E7455" w:rsidP="008D57AB">
      <w:r>
        <w:t>Therefore, we propose to define association id (to be used both for training/data collection and inference), which would reflect changing network parameters (such as antenna tilt) which are relevant for mobility.</w:t>
      </w:r>
    </w:p>
    <w:p w14:paraId="24F48404" w14:textId="32524274" w:rsidR="00145961" w:rsidRPr="00AB4440" w:rsidRDefault="005C72EA" w:rsidP="00AB4440">
      <w:pPr>
        <w:rPr>
          <w:b/>
          <w:bCs/>
        </w:rPr>
      </w:pPr>
      <w:r w:rsidRPr="00E218C2">
        <w:rPr>
          <w:b/>
          <w:bCs/>
        </w:rPr>
        <w:t>Proposal</w:t>
      </w:r>
      <w:r w:rsidR="008E7455" w:rsidRPr="00E218C2">
        <w:rPr>
          <w:b/>
          <w:bCs/>
        </w:rPr>
        <w:t xml:space="preserve"> 8</w:t>
      </w:r>
      <w:r w:rsidRPr="00E218C2">
        <w:rPr>
          <w:b/>
          <w:bCs/>
        </w:rPr>
        <w:t xml:space="preserve">: association id </w:t>
      </w:r>
      <w:r w:rsidR="00623BA4" w:rsidRPr="00E218C2">
        <w:rPr>
          <w:b/>
          <w:bCs/>
        </w:rPr>
        <w:t>reflecting changes in network configuration is beneficial</w:t>
      </w:r>
      <w:r w:rsidR="005B42A1" w:rsidRPr="00E218C2">
        <w:rPr>
          <w:b/>
          <w:bCs/>
        </w:rPr>
        <w:t xml:space="preserve">. </w:t>
      </w:r>
    </w:p>
    <w:p w14:paraId="34C99636" w14:textId="78A0A7F0" w:rsidR="008E7986" w:rsidRPr="00FD2A35" w:rsidRDefault="008E7986" w:rsidP="001E2944">
      <w:pPr>
        <w:pStyle w:val="Heading1"/>
        <w:rPr>
          <w:lang w:val="en-US"/>
        </w:rPr>
      </w:pPr>
      <w:r w:rsidRPr="00FD2A35">
        <w:rPr>
          <w:lang w:val="en-US"/>
        </w:rPr>
        <w:t>3</w:t>
      </w:r>
      <w:r w:rsidRPr="00FD2A35">
        <w:rPr>
          <w:lang w:val="en-US"/>
        </w:rPr>
        <w:tab/>
      </w:r>
      <w:r w:rsidR="00E04DD7" w:rsidRPr="00FD2A35">
        <w:rPr>
          <w:lang w:val="en-US"/>
        </w:rPr>
        <w:t>Proposals</w:t>
      </w:r>
    </w:p>
    <w:bookmarkEnd w:id="0"/>
    <w:p w14:paraId="22142FE8" w14:textId="77777777" w:rsidR="000E44B6" w:rsidRPr="000E44B6" w:rsidRDefault="000E44B6" w:rsidP="000E44B6">
      <w:pPr>
        <w:rPr>
          <w:b/>
          <w:bCs/>
          <w:lang w:val="en-US"/>
        </w:rPr>
      </w:pPr>
      <w:r w:rsidRPr="000E44B6">
        <w:rPr>
          <w:b/>
          <w:bCs/>
          <w:lang w:val="en-US"/>
        </w:rPr>
        <w:t>Proposal 1: event prediction, temporal domain prediction case A, temporal domain prediction case B, frequency domain prediction, spatial domain prediction (if specified), and beam level prediction should have separate capability and applicability signalling for each feature.</w:t>
      </w:r>
    </w:p>
    <w:p w14:paraId="7B7E9552" w14:textId="66AB1C89" w:rsidR="000E44B6" w:rsidRPr="000E44B6" w:rsidRDefault="000E44B6" w:rsidP="000E44B6">
      <w:pPr>
        <w:rPr>
          <w:b/>
          <w:bCs/>
          <w:lang w:val="en-US"/>
        </w:rPr>
      </w:pPr>
      <w:r w:rsidRPr="000E44B6">
        <w:rPr>
          <w:b/>
          <w:bCs/>
          <w:lang w:val="en-US"/>
        </w:rPr>
        <w:t>Proposal 2: postpone the discussion about accuracy (in the context of potential signalling enhancements) till there is enough progress in RAN4.</w:t>
      </w:r>
    </w:p>
    <w:p w14:paraId="423353EA" w14:textId="17163571" w:rsidR="000E44B6" w:rsidRPr="000E44B6" w:rsidRDefault="000E44B6" w:rsidP="000E44B6">
      <w:pPr>
        <w:rPr>
          <w:b/>
          <w:bCs/>
          <w:lang w:val="en-US"/>
        </w:rPr>
      </w:pPr>
      <w:r w:rsidRPr="000E44B6">
        <w:rPr>
          <w:b/>
          <w:bCs/>
          <w:lang w:val="en-US"/>
        </w:rPr>
        <w:t>Observation 1: prediction window length depends on AI/ML model complexity and factors such as UE speed.</w:t>
      </w:r>
    </w:p>
    <w:p w14:paraId="46270BDA" w14:textId="67EF5AEE" w:rsidR="000E44B6" w:rsidRPr="000E44B6" w:rsidRDefault="000E44B6" w:rsidP="000E44B6">
      <w:pPr>
        <w:rPr>
          <w:b/>
          <w:bCs/>
          <w:lang w:val="en-US"/>
        </w:rPr>
      </w:pPr>
      <w:r w:rsidRPr="000E44B6">
        <w:rPr>
          <w:b/>
          <w:bCs/>
          <w:lang w:val="en-US"/>
        </w:rPr>
        <w:t>Proposal 3: define a UE capability (and the corresponding applicability signalling) for each model/feature of how far into the future (defined by times t1 and t2) the model can make a prediction with a required accuracy.</w:t>
      </w:r>
    </w:p>
    <w:p w14:paraId="62FE8DD9" w14:textId="4A0CF476" w:rsidR="000E44B6" w:rsidRPr="000E44B6" w:rsidRDefault="000E44B6" w:rsidP="000E44B6">
      <w:pPr>
        <w:rPr>
          <w:b/>
          <w:bCs/>
          <w:lang w:val="en-US"/>
        </w:rPr>
      </w:pPr>
      <w:r w:rsidRPr="000E44B6">
        <w:rPr>
          <w:b/>
          <w:bCs/>
          <w:lang w:val="en-US"/>
        </w:rPr>
        <w:t>Observation 2: it is likely that UE implementation would use different AI/ML models to predict different A1-6 events.</w:t>
      </w:r>
    </w:p>
    <w:p w14:paraId="6850163A" w14:textId="77777777" w:rsidR="00706C65" w:rsidRPr="00C9316A" w:rsidRDefault="00706C65" w:rsidP="00706C65">
      <w:pPr>
        <w:rPr>
          <w:b/>
          <w:bCs/>
        </w:rPr>
      </w:pPr>
      <w:r w:rsidRPr="00C9316A">
        <w:rPr>
          <w:b/>
          <w:bCs/>
        </w:rPr>
        <w:t>Proposal 4: AI/ML measurement event prediction UE capability</w:t>
      </w:r>
      <w:r>
        <w:rPr>
          <w:b/>
          <w:bCs/>
        </w:rPr>
        <w:t xml:space="preserve"> and applicability</w:t>
      </w:r>
      <w:r w:rsidRPr="00C9316A">
        <w:rPr>
          <w:b/>
          <w:bCs/>
        </w:rPr>
        <w:t xml:space="preserve"> is per A1-6 event. Alternatively, we can consider separate capability for:</w:t>
      </w:r>
    </w:p>
    <w:p w14:paraId="63718E3A" w14:textId="77777777" w:rsidR="00706C65" w:rsidRPr="00ED26CB" w:rsidRDefault="00706C65" w:rsidP="00706C65">
      <w:pPr>
        <w:pStyle w:val="ListParagraph"/>
        <w:numPr>
          <w:ilvl w:val="0"/>
          <w:numId w:val="13"/>
        </w:numPr>
        <w:rPr>
          <w:b/>
          <w:bCs/>
        </w:rPr>
      </w:pPr>
      <w:r w:rsidRPr="00ED26CB">
        <w:rPr>
          <w:b/>
          <w:bCs/>
        </w:rPr>
        <w:t>A1 and A2 (for serving cell event prediction)</w:t>
      </w:r>
    </w:p>
    <w:p w14:paraId="166A3B23" w14:textId="77777777" w:rsidR="00706C65" w:rsidRPr="00ED26CB" w:rsidRDefault="00706C65" w:rsidP="00706C65">
      <w:pPr>
        <w:pStyle w:val="ListParagraph"/>
        <w:numPr>
          <w:ilvl w:val="0"/>
          <w:numId w:val="13"/>
        </w:numPr>
        <w:rPr>
          <w:b/>
          <w:bCs/>
        </w:rPr>
      </w:pPr>
      <w:r w:rsidRPr="00ED26CB">
        <w:rPr>
          <w:b/>
          <w:bCs/>
        </w:rPr>
        <w:t>A3 and A4 (for neighbour cell event prediction, where UE may have a dedicated model, e.g. for inter-frequency inter-cell measurements)</w:t>
      </w:r>
    </w:p>
    <w:p w14:paraId="046B6F0E" w14:textId="77777777" w:rsidR="00706C65" w:rsidRPr="00ED26CB" w:rsidRDefault="00706C65" w:rsidP="00706C65">
      <w:pPr>
        <w:pStyle w:val="ListParagraph"/>
        <w:numPr>
          <w:ilvl w:val="0"/>
          <w:numId w:val="13"/>
        </w:numPr>
        <w:rPr>
          <w:b/>
          <w:bCs/>
        </w:rPr>
      </w:pPr>
      <w:r w:rsidRPr="00ED26CB">
        <w:rPr>
          <w:b/>
          <w:bCs/>
        </w:rPr>
        <w:t>A5 and A6 (both serving and neighbour cell predictions)</w:t>
      </w:r>
    </w:p>
    <w:p w14:paraId="14E40C9F" w14:textId="3CD05829" w:rsidR="000E44B6" w:rsidRPr="000E44B6" w:rsidRDefault="000E44B6" w:rsidP="000E44B6">
      <w:pPr>
        <w:rPr>
          <w:b/>
          <w:bCs/>
          <w:lang w:val="en-US"/>
        </w:rPr>
      </w:pPr>
      <w:r w:rsidRPr="000E44B6">
        <w:rPr>
          <w:b/>
          <w:bCs/>
          <w:lang w:val="en-US"/>
        </w:rPr>
        <w:t>Observation 3: a model may become “momentarily inapplicable” (e.g. when UE momentarily changes speed); notifying the network for such momentary inapplicability would be a waste of UE, network and air interrace resources.</w:t>
      </w:r>
    </w:p>
    <w:p w14:paraId="0BC4E258" w14:textId="177060D2" w:rsidR="000E44B6" w:rsidRPr="000E44B6" w:rsidRDefault="000E44B6" w:rsidP="000E44B6">
      <w:pPr>
        <w:rPr>
          <w:b/>
          <w:bCs/>
          <w:lang w:val="en-US"/>
        </w:rPr>
      </w:pPr>
      <w:r w:rsidRPr="000E44B6">
        <w:rPr>
          <w:b/>
          <w:bCs/>
          <w:lang w:val="en-US"/>
        </w:rPr>
        <w:t xml:space="preserve">Proposal 5: when the UE is configured to perform inference, it is allowed to use </w:t>
      </w:r>
      <w:r w:rsidR="00E33B6A">
        <w:rPr>
          <w:b/>
          <w:bCs/>
          <w:lang w:val="en-US"/>
        </w:rPr>
        <w:t>AI/ML</w:t>
      </w:r>
      <w:r w:rsidRPr="000E44B6">
        <w:rPr>
          <w:b/>
          <w:bCs/>
          <w:lang w:val="en-US"/>
        </w:rPr>
        <w:t xml:space="preserve"> or not, as long as it satisfies the performance requirements.</w:t>
      </w:r>
    </w:p>
    <w:p w14:paraId="1B2BEE63" w14:textId="4F54A31A" w:rsidR="000E44B6" w:rsidRPr="000E44B6" w:rsidRDefault="000E44B6" w:rsidP="000E44B6">
      <w:pPr>
        <w:rPr>
          <w:b/>
          <w:bCs/>
          <w:lang w:val="en-US"/>
        </w:rPr>
      </w:pPr>
      <w:r w:rsidRPr="000E44B6">
        <w:rPr>
          <w:b/>
          <w:bCs/>
          <w:lang w:val="en-US"/>
        </w:rPr>
        <w:t>Proposal 6: for RSRP prediction and reporting, it is expected that the configured measurement gap may be reduced, in accordance with UE capabilities.</w:t>
      </w:r>
    </w:p>
    <w:p w14:paraId="7F650A14" w14:textId="77777777" w:rsidR="000E44B6" w:rsidRPr="000E44B6" w:rsidRDefault="000E44B6" w:rsidP="000E44B6">
      <w:pPr>
        <w:rPr>
          <w:b/>
          <w:bCs/>
          <w:lang w:val="en-US"/>
        </w:rPr>
      </w:pPr>
      <w:r w:rsidRPr="000E44B6">
        <w:rPr>
          <w:b/>
          <w:bCs/>
          <w:lang w:val="en-US"/>
        </w:rPr>
        <w:t>Observation 4: HO preparation optimization works and provides gains, as has been established in the evaluation.</w:t>
      </w:r>
    </w:p>
    <w:p w14:paraId="6240915B" w14:textId="77777777" w:rsidR="000E44B6" w:rsidRPr="000E44B6" w:rsidRDefault="000E44B6" w:rsidP="000E44B6">
      <w:pPr>
        <w:rPr>
          <w:b/>
          <w:bCs/>
          <w:lang w:val="en-US"/>
        </w:rPr>
      </w:pPr>
      <w:r w:rsidRPr="000E44B6">
        <w:rPr>
          <w:b/>
          <w:bCs/>
          <w:lang w:val="en-US"/>
        </w:rPr>
        <w:t>Observation 5: HO preparation often takes longer than 50ms.</w:t>
      </w:r>
    </w:p>
    <w:p w14:paraId="62154612" w14:textId="7AC6622C" w:rsidR="000E44B6" w:rsidRPr="000E44B6" w:rsidRDefault="000E44B6" w:rsidP="000E44B6">
      <w:pPr>
        <w:rPr>
          <w:b/>
          <w:bCs/>
          <w:lang w:val="en-US"/>
        </w:rPr>
      </w:pPr>
      <w:r w:rsidRPr="000E44B6">
        <w:rPr>
          <w:b/>
          <w:bCs/>
          <w:lang w:val="en-US"/>
        </w:rPr>
        <w:t>Observation 6: 50ms wait in suboptimal radio conditions rarely results in HO failure but does affect performance.</w:t>
      </w:r>
    </w:p>
    <w:p w14:paraId="652DFD99" w14:textId="77777777" w:rsidR="000E44B6" w:rsidRPr="000E44B6" w:rsidRDefault="000E44B6" w:rsidP="000E44B6">
      <w:pPr>
        <w:rPr>
          <w:b/>
          <w:bCs/>
          <w:lang w:val="en-US"/>
        </w:rPr>
      </w:pPr>
      <w:r w:rsidRPr="000E44B6">
        <w:rPr>
          <w:b/>
          <w:bCs/>
          <w:lang w:val="en-US"/>
        </w:rPr>
        <w:lastRenderedPageBreak/>
        <w:t>Proposal 7: to define “predicted A1-A6 events”, i.e. new events modelled similarly (but not identically) to A1-A6 which are triggered based on both real and predicted measurements.</w:t>
      </w:r>
    </w:p>
    <w:p w14:paraId="3066C75A" w14:textId="77777777" w:rsidR="000E44B6" w:rsidRPr="000E44B6" w:rsidRDefault="000E44B6" w:rsidP="000E44B6">
      <w:pPr>
        <w:rPr>
          <w:b/>
          <w:bCs/>
          <w:lang w:val="en-US"/>
        </w:rPr>
      </w:pPr>
      <w:r w:rsidRPr="000E44B6">
        <w:rPr>
          <w:b/>
          <w:bCs/>
          <w:lang w:val="en-US"/>
        </w:rPr>
        <w:t>Observation 7: one example of “network additional conditions” very relevant to mobility is active antenna systems capable of changing antenna tilt to trade-off coverage for capacity; this has significant impacts on mobility.</w:t>
      </w:r>
    </w:p>
    <w:p w14:paraId="02A559D7" w14:textId="7D01F0BC" w:rsidR="00F778FF" w:rsidRPr="00B842C6" w:rsidRDefault="000E44B6" w:rsidP="000E44B6">
      <w:pPr>
        <w:rPr>
          <w:b/>
          <w:bCs/>
          <w:lang w:val="en-US"/>
        </w:rPr>
      </w:pPr>
      <w:r w:rsidRPr="000E44B6">
        <w:rPr>
          <w:b/>
          <w:bCs/>
          <w:lang w:val="en-US"/>
        </w:rPr>
        <w:t>Proposal 8: association id reflecting changes in network configuration is beneficial.</w:t>
      </w:r>
    </w:p>
    <w:p w14:paraId="6E6F0BBD" w14:textId="77777777" w:rsidR="00497B1A" w:rsidRDefault="00497B1A" w:rsidP="00F778FF">
      <w:pPr>
        <w:pStyle w:val="Heading1"/>
        <w:ind w:left="0" w:firstLine="0"/>
        <w:rPr>
          <w:lang w:val="en-US"/>
        </w:rPr>
      </w:pPr>
    </w:p>
    <w:p w14:paraId="404B682A" w14:textId="548787BC" w:rsidR="003E31FD" w:rsidRPr="00FD2A35" w:rsidRDefault="00F2776D" w:rsidP="003E31FD">
      <w:pPr>
        <w:pStyle w:val="Heading1"/>
        <w:rPr>
          <w:lang w:val="en-US"/>
        </w:rPr>
      </w:pPr>
      <w:r>
        <w:rPr>
          <w:lang w:val="en-US"/>
        </w:rPr>
        <w:t>5</w:t>
      </w:r>
      <w:r w:rsidR="003E31FD" w:rsidRPr="00FD2A35">
        <w:rPr>
          <w:lang w:val="en-US"/>
        </w:rPr>
        <w:tab/>
        <w:t>References</w:t>
      </w:r>
    </w:p>
    <w:p w14:paraId="46157F0B" w14:textId="7E67E35B" w:rsidR="00A217E9" w:rsidRDefault="00B379AE" w:rsidP="008807D8">
      <w:pPr>
        <w:rPr>
          <w:lang w:val="en-US" w:eastAsia="ko-KR"/>
        </w:rPr>
      </w:pPr>
      <w:r w:rsidRPr="00FD2A35">
        <w:rPr>
          <w:lang w:val="en-US" w:eastAsia="ko-KR"/>
        </w:rPr>
        <w:t>[1]</w:t>
      </w:r>
      <w:r w:rsidRPr="00FD2A35">
        <w:rPr>
          <w:lang w:val="en-US" w:eastAsia="ko-KR"/>
        </w:rPr>
        <w:tab/>
      </w:r>
      <w:r w:rsidRPr="00FD2A35">
        <w:rPr>
          <w:lang w:val="en-US" w:eastAsia="ko-KR"/>
        </w:rPr>
        <w:tab/>
      </w:r>
      <w:r w:rsidR="00F85FAE">
        <w:rPr>
          <w:lang w:val="en-US" w:eastAsia="ko-KR"/>
        </w:rPr>
        <w:tab/>
      </w:r>
      <w:r w:rsidR="00F85FAE">
        <w:rPr>
          <w:lang w:val="en-US" w:eastAsia="ko-KR"/>
        </w:rPr>
        <w:tab/>
        <w:t xml:space="preserve">TR </w:t>
      </w:r>
      <w:r w:rsidR="008807D8">
        <w:rPr>
          <w:lang w:val="en-US" w:eastAsia="ko-KR"/>
        </w:rPr>
        <w:t xml:space="preserve">38.843 </w:t>
      </w:r>
      <w:r w:rsidR="008807D8" w:rsidRPr="008807D8">
        <w:rPr>
          <w:lang w:val="en-US" w:eastAsia="ko-KR"/>
        </w:rPr>
        <w:t>Study on Artificial Intelligence (AI)/Machine Learning (ML)</w:t>
      </w:r>
      <w:r w:rsidR="008807D8">
        <w:rPr>
          <w:lang w:val="en-US" w:eastAsia="ko-KR"/>
        </w:rPr>
        <w:t xml:space="preserve"> </w:t>
      </w:r>
      <w:r w:rsidR="008807D8" w:rsidRPr="008807D8">
        <w:rPr>
          <w:lang w:val="en-US" w:eastAsia="ko-KR"/>
        </w:rPr>
        <w:t>for NR air interface</w:t>
      </w:r>
    </w:p>
    <w:p w14:paraId="1B8F13DC" w14:textId="158BB8AA" w:rsidR="0044296A" w:rsidRDefault="0044296A" w:rsidP="009F315F">
      <w:pPr>
        <w:rPr>
          <w:lang w:eastAsia="ko-KR"/>
        </w:rPr>
      </w:pPr>
      <w:r>
        <w:rPr>
          <w:lang w:val="en-US" w:eastAsia="ko-KR"/>
        </w:rPr>
        <w:t>[2]</w:t>
      </w:r>
      <w:r>
        <w:rPr>
          <w:lang w:val="en-US" w:eastAsia="ko-KR"/>
        </w:rPr>
        <w:tab/>
      </w:r>
      <w:r>
        <w:rPr>
          <w:lang w:val="en-US" w:eastAsia="ko-KR"/>
        </w:rPr>
        <w:tab/>
      </w:r>
      <w:r>
        <w:rPr>
          <w:lang w:val="en-US" w:eastAsia="ko-KR"/>
        </w:rPr>
        <w:tab/>
      </w:r>
      <w:r>
        <w:rPr>
          <w:lang w:val="en-US" w:eastAsia="ko-KR"/>
        </w:rPr>
        <w:tab/>
      </w:r>
      <w:r w:rsidR="005B49B8" w:rsidRPr="005B49B8">
        <w:rPr>
          <w:lang w:val="en-US" w:eastAsia="ko-KR"/>
        </w:rPr>
        <w:t>RP-240082</w:t>
      </w:r>
      <w:r w:rsidR="009F315F">
        <w:rPr>
          <w:lang w:val="en-US" w:eastAsia="ko-KR"/>
        </w:rPr>
        <w:t xml:space="preserve"> </w:t>
      </w:r>
      <w:r w:rsidR="009F315F" w:rsidRPr="009F315F">
        <w:rPr>
          <w:lang w:eastAsia="ko-KR"/>
        </w:rPr>
        <w:t>Study on AI (Artificial Intelligence)/ML (Machine Learning) for mobility in NR</w:t>
      </w:r>
    </w:p>
    <w:p w14:paraId="1AEA8329" w14:textId="10F12190" w:rsidR="00BD1396" w:rsidRDefault="00BD1396" w:rsidP="009F315F">
      <w:pPr>
        <w:rPr>
          <w:lang w:eastAsia="ko-KR"/>
        </w:rPr>
      </w:pPr>
      <w:r>
        <w:rPr>
          <w:lang w:eastAsia="ko-KR"/>
        </w:rPr>
        <w:t>[3]</w:t>
      </w:r>
      <w:r>
        <w:rPr>
          <w:lang w:eastAsia="ko-KR"/>
        </w:rPr>
        <w:tab/>
      </w:r>
      <w:r>
        <w:rPr>
          <w:lang w:eastAsia="ko-KR"/>
        </w:rPr>
        <w:tab/>
      </w:r>
      <w:r>
        <w:rPr>
          <w:lang w:eastAsia="ko-KR"/>
        </w:rPr>
        <w:tab/>
      </w:r>
      <w:r>
        <w:rPr>
          <w:lang w:eastAsia="ko-KR"/>
        </w:rPr>
        <w:tab/>
      </w:r>
      <w:r w:rsidR="004930FF" w:rsidRPr="004930FF">
        <w:rPr>
          <w:lang w:eastAsia="ko-KR"/>
        </w:rPr>
        <w:t>RP-243244</w:t>
      </w:r>
      <w:r w:rsidR="00E21E9E">
        <w:rPr>
          <w:lang w:eastAsia="ko-KR"/>
        </w:rPr>
        <w:t xml:space="preserve"> </w:t>
      </w:r>
      <w:r w:rsidR="00E21E9E" w:rsidRPr="00E21E9E">
        <w:rPr>
          <w:lang w:eastAsia="ko-KR"/>
        </w:rPr>
        <w:t>Revised WID: Artificial Intelligence (AI)/Machine Learning (ML) for NR Air Interface</w:t>
      </w:r>
    </w:p>
    <w:p w14:paraId="28D858C2" w14:textId="38F74330" w:rsidR="00D47DBD" w:rsidRDefault="00D47DBD" w:rsidP="009F315F">
      <w:pPr>
        <w:rPr>
          <w:lang w:eastAsia="ko-KR"/>
        </w:rPr>
      </w:pPr>
      <w:r>
        <w:rPr>
          <w:lang w:eastAsia="ko-KR"/>
        </w:rPr>
        <w:t>[4]</w:t>
      </w:r>
      <w:r>
        <w:rPr>
          <w:lang w:eastAsia="ko-KR"/>
        </w:rPr>
        <w:tab/>
      </w:r>
      <w:r>
        <w:rPr>
          <w:lang w:eastAsia="ko-KR"/>
        </w:rPr>
        <w:tab/>
      </w:r>
      <w:r>
        <w:rPr>
          <w:lang w:eastAsia="ko-KR"/>
        </w:rPr>
        <w:tab/>
      </w:r>
      <w:r>
        <w:rPr>
          <w:lang w:eastAsia="ko-KR"/>
        </w:rPr>
        <w:tab/>
        <w:t>RAN2#129 meeting minutes</w:t>
      </w:r>
    </w:p>
    <w:p w14:paraId="3A9A0B89" w14:textId="497EC0C3" w:rsidR="007C5EB1" w:rsidRDefault="007C5EB1" w:rsidP="007C5EB1">
      <w:pPr>
        <w:rPr>
          <w:lang w:eastAsia="ko-KR"/>
        </w:rPr>
      </w:pPr>
      <w:r>
        <w:rPr>
          <w:lang w:eastAsia="ko-KR"/>
        </w:rPr>
        <w:t>[5]</w:t>
      </w:r>
      <w:r>
        <w:rPr>
          <w:lang w:eastAsia="ko-KR"/>
        </w:rPr>
        <w:tab/>
      </w:r>
      <w:r>
        <w:rPr>
          <w:lang w:eastAsia="ko-KR"/>
        </w:rPr>
        <w:tab/>
      </w:r>
      <w:r>
        <w:rPr>
          <w:lang w:eastAsia="ko-KR"/>
        </w:rPr>
        <w:tab/>
      </w:r>
      <w:r>
        <w:rPr>
          <w:lang w:eastAsia="ko-KR"/>
        </w:rPr>
        <w:tab/>
        <w:t>RAN2#129bis meeting minutes</w:t>
      </w:r>
    </w:p>
    <w:p w14:paraId="1B021987" w14:textId="77777777" w:rsidR="007C5EB1" w:rsidRDefault="007C5EB1" w:rsidP="009F315F">
      <w:pPr>
        <w:rPr>
          <w:lang w:eastAsia="ko-KR"/>
        </w:rPr>
      </w:pPr>
    </w:p>
    <w:p w14:paraId="6244BA76" w14:textId="2A6527F0" w:rsidR="00500110" w:rsidRPr="00FD2A35" w:rsidRDefault="00500110" w:rsidP="00F91BB5">
      <w:pPr>
        <w:rPr>
          <w:lang w:val="en-US"/>
        </w:rPr>
      </w:pPr>
    </w:p>
    <w:sectPr w:rsidR="00500110" w:rsidRPr="00FD2A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9E8E7" w14:textId="77777777" w:rsidR="00FB1E10" w:rsidRDefault="00FB1E10">
      <w:r>
        <w:separator/>
      </w:r>
    </w:p>
  </w:endnote>
  <w:endnote w:type="continuationSeparator" w:id="0">
    <w:p w14:paraId="43938988" w14:textId="77777777" w:rsidR="00FB1E10" w:rsidRDefault="00FB1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0B5AB" w14:textId="77777777" w:rsidR="00FB1E10" w:rsidRDefault="00FB1E10">
      <w:r>
        <w:separator/>
      </w:r>
    </w:p>
  </w:footnote>
  <w:footnote w:type="continuationSeparator" w:id="0">
    <w:p w14:paraId="06F924AB" w14:textId="77777777" w:rsidR="00FB1E10" w:rsidRDefault="00FB1E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A7DBB"/>
    <w:multiLevelType w:val="hybridMultilevel"/>
    <w:tmpl w:val="8F82E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8546032"/>
    <w:multiLevelType w:val="hybridMultilevel"/>
    <w:tmpl w:val="4DD2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53C18"/>
    <w:multiLevelType w:val="hybridMultilevel"/>
    <w:tmpl w:val="241CC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F23839"/>
    <w:multiLevelType w:val="hybridMultilevel"/>
    <w:tmpl w:val="2E26B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991A9F"/>
    <w:multiLevelType w:val="hybridMultilevel"/>
    <w:tmpl w:val="FEEC3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213BAC"/>
    <w:multiLevelType w:val="hybridMultilevel"/>
    <w:tmpl w:val="F8C68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9855C1"/>
    <w:multiLevelType w:val="hybridMultilevel"/>
    <w:tmpl w:val="3FA05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4" w15:restartNumberingAfterBreak="0">
    <w:nsid w:val="71D36DA0"/>
    <w:multiLevelType w:val="hybridMultilevel"/>
    <w:tmpl w:val="E09C5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6781032">
    <w:abstractNumId w:val="0"/>
  </w:num>
  <w:num w:numId="2" w16cid:durableId="821431081">
    <w:abstractNumId w:val="13"/>
  </w:num>
  <w:num w:numId="3" w16cid:durableId="2117361261">
    <w:abstractNumId w:val="8"/>
  </w:num>
  <w:num w:numId="4" w16cid:durableId="1774083706">
    <w:abstractNumId w:val="15"/>
  </w:num>
  <w:num w:numId="5" w16cid:durableId="398134858">
    <w:abstractNumId w:val="3"/>
  </w:num>
  <w:num w:numId="6" w16cid:durableId="1318075467">
    <w:abstractNumId w:val="11"/>
  </w:num>
  <w:num w:numId="7" w16cid:durableId="328337314">
    <w:abstractNumId w:val="10"/>
  </w:num>
  <w:num w:numId="8" w16cid:durableId="1048653347">
    <w:abstractNumId w:val="4"/>
  </w:num>
  <w:num w:numId="9" w16cid:durableId="723984932">
    <w:abstractNumId w:val="14"/>
  </w:num>
  <w:num w:numId="10" w16cid:durableId="715085067">
    <w:abstractNumId w:val="5"/>
  </w:num>
  <w:num w:numId="11" w16cid:durableId="1191600748">
    <w:abstractNumId w:val="9"/>
  </w:num>
  <w:num w:numId="12" w16cid:durableId="225992431">
    <w:abstractNumId w:val="2"/>
  </w:num>
  <w:num w:numId="13" w16cid:durableId="282078831">
    <w:abstractNumId w:val="1"/>
  </w:num>
  <w:num w:numId="14" w16cid:durableId="1586458092">
    <w:abstractNumId w:val="6"/>
  </w:num>
  <w:num w:numId="15" w16cid:durableId="1649939512">
    <w:abstractNumId w:val="12"/>
  </w:num>
  <w:num w:numId="16" w16cid:durableId="119126513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C8"/>
    <w:rsid w:val="000043C3"/>
    <w:rsid w:val="00004AFD"/>
    <w:rsid w:val="00004B93"/>
    <w:rsid w:val="000055EE"/>
    <w:rsid w:val="000060A4"/>
    <w:rsid w:val="00010655"/>
    <w:rsid w:val="00010B89"/>
    <w:rsid w:val="000132BF"/>
    <w:rsid w:val="0001481B"/>
    <w:rsid w:val="000208C5"/>
    <w:rsid w:val="00023750"/>
    <w:rsid w:val="00024DF3"/>
    <w:rsid w:val="00024E24"/>
    <w:rsid w:val="000309EC"/>
    <w:rsid w:val="00031196"/>
    <w:rsid w:val="00033397"/>
    <w:rsid w:val="0003671B"/>
    <w:rsid w:val="00040095"/>
    <w:rsid w:val="00041964"/>
    <w:rsid w:val="00041CF5"/>
    <w:rsid w:val="000421E1"/>
    <w:rsid w:val="00044CFF"/>
    <w:rsid w:val="0004737E"/>
    <w:rsid w:val="0005006C"/>
    <w:rsid w:val="00051606"/>
    <w:rsid w:val="00051834"/>
    <w:rsid w:val="00054A22"/>
    <w:rsid w:val="00055C4A"/>
    <w:rsid w:val="00062023"/>
    <w:rsid w:val="00063EA4"/>
    <w:rsid w:val="000655A6"/>
    <w:rsid w:val="0006627D"/>
    <w:rsid w:val="0007052A"/>
    <w:rsid w:val="000712B5"/>
    <w:rsid w:val="000715A9"/>
    <w:rsid w:val="00071677"/>
    <w:rsid w:val="00074B66"/>
    <w:rsid w:val="00075F60"/>
    <w:rsid w:val="00077782"/>
    <w:rsid w:val="00080512"/>
    <w:rsid w:val="0008121B"/>
    <w:rsid w:val="00082B33"/>
    <w:rsid w:val="00085157"/>
    <w:rsid w:val="000872A4"/>
    <w:rsid w:val="00087E09"/>
    <w:rsid w:val="00093427"/>
    <w:rsid w:val="00097203"/>
    <w:rsid w:val="00097263"/>
    <w:rsid w:val="0009755D"/>
    <w:rsid w:val="000A365D"/>
    <w:rsid w:val="000A7B22"/>
    <w:rsid w:val="000B0981"/>
    <w:rsid w:val="000B2CFA"/>
    <w:rsid w:val="000C2196"/>
    <w:rsid w:val="000C47C3"/>
    <w:rsid w:val="000C50DC"/>
    <w:rsid w:val="000C512C"/>
    <w:rsid w:val="000D194A"/>
    <w:rsid w:val="000D3EC6"/>
    <w:rsid w:val="000D582E"/>
    <w:rsid w:val="000D58AB"/>
    <w:rsid w:val="000D7ABF"/>
    <w:rsid w:val="000D7B98"/>
    <w:rsid w:val="000E0B50"/>
    <w:rsid w:val="000E1AFC"/>
    <w:rsid w:val="000E1DF5"/>
    <w:rsid w:val="000E44B6"/>
    <w:rsid w:val="000E63A7"/>
    <w:rsid w:val="000E723A"/>
    <w:rsid w:val="000F6DF7"/>
    <w:rsid w:val="000F7392"/>
    <w:rsid w:val="00100D4B"/>
    <w:rsid w:val="00104457"/>
    <w:rsid w:val="00104BC6"/>
    <w:rsid w:val="001061CB"/>
    <w:rsid w:val="00107C38"/>
    <w:rsid w:val="00113B6F"/>
    <w:rsid w:val="00114BBF"/>
    <w:rsid w:val="00117178"/>
    <w:rsid w:val="00117416"/>
    <w:rsid w:val="00125A00"/>
    <w:rsid w:val="00130174"/>
    <w:rsid w:val="00131FFF"/>
    <w:rsid w:val="00133525"/>
    <w:rsid w:val="0013608F"/>
    <w:rsid w:val="001378F3"/>
    <w:rsid w:val="001420AB"/>
    <w:rsid w:val="00145608"/>
    <w:rsid w:val="00145961"/>
    <w:rsid w:val="00147ECE"/>
    <w:rsid w:val="001509BB"/>
    <w:rsid w:val="00151156"/>
    <w:rsid w:val="00154248"/>
    <w:rsid w:val="00155C92"/>
    <w:rsid w:val="001606BD"/>
    <w:rsid w:val="00160F3D"/>
    <w:rsid w:val="0016132D"/>
    <w:rsid w:val="001644D8"/>
    <w:rsid w:val="00166010"/>
    <w:rsid w:val="0017007C"/>
    <w:rsid w:val="00173532"/>
    <w:rsid w:val="00173B8C"/>
    <w:rsid w:val="0018138E"/>
    <w:rsid w:val="0019189A"/>
    <w:rsid w:val="00193066"/>
    <w:rsid w:val="001933C5"/>
    <w:rsid w:val="0019410B"/>
    <w:rsid w:val="00196362"/>
    <w:rsid w:val="001A2850"/>
    <w:rsid w:val="001A4326"/>
    <w:rsid w:val="001A4C42"/>
    <w:rsid w:val="001A59BE"/>
    <w:rsid w:val="001A5BAB"/>
    <w:rsid w:val="001A6387"/>
    <w:rsid w:val="001A72FB"/>
    <w:rsid w:val="001B0409"/>
    <w:rsid w:val="001B088F"/>
    <w:rsid w:val="001B3D02"/>
    <w:rsid w:val="001B6DD7"/>
    <w:rsid w:val="001B6E2B"/>
    <w:rsid w:val="001C21C3"/>
    <w:rsid w:val="001C48E5"/>
    <w:rsid w:val="001C63E5"/>
    <w:rsid w:val="001C6BD1"/>
    <w:rsid w:val="001C6ECB"/>
    <w:rsid w:val="001C7007"/>
    <w:rsid w:val="001D02C2"/>
    <w:rsid w:val="001D3AF3"/>
    <w:rsid w:val="001D56C9"/>
    <w:rsid w:val="001D7B1F"/>
    <w:rsid w:val="001E2944"/>
    <w:rsid w:val="001E3DF0"/>
    <w:rsid w:val="001E69EE"/>
    <w:rsid w:val="001F03E0"/>
    <w:rsid w:val="001F0590"/>
    <w:rsid w:val="001F0AFF"/>
    <w:rsid w:val="001F0C1D"/>
    <w:rsid w:val="001F1132"/>
    <w:rsid w:val="001F168B"/>
    <w:rsid w:val="001F532E"/>
    <w:rsid w:val="002007B5"/>
    <w:rsid w:val="00200F8E"/>
    <w:rsid w:val="00201C11"/>
    <w:rsid w:val="002027AD"/>
    <w:rsid w:val="00205A11"/>
    <w:rsid w:val="00210BCD"/>
    <w:rsid w:val="002112AE"/>
    <w:rsid w:val="00216E68"/>
    <w:rsid w:val="00221BEB"/>
    <w:rsid w:val="00224739"/>
    <w:rsid w:val="002347A2"/>
    <w:rsid w:val="002347D9"/>
    <w:rsid w:val="002369B7"/>
    <w:rsid w:val="00241F2F"/>
    <w:rsid w:val="00242D80"/>
    <w:rsid w:val="00244CBC"/>
    <w:rsid w:val="00244ED3"/>
    <w:rsid w:val="00245165"/>
    <w:rsid w:val="00246AFE"/>
    <w:rsid w:val="00247926"/>
    <w:rsid w:val="002508FA"/>
    <w:rsid w:val="00254AB3"/>
    <w:rsid w:val="00256F8A"/>
    <w:rsid w:val="0026273A"/>
    <w:rsid w:val="00263BE2"/>
    <w:rsid w:val="0026501B"/>
    <w:rsid w:val="002675F0"/>
    <w:rsid w:val="00273722"/>
    <w:rsid w:val="00276EE4"/>
    <w:rsid w:val="002772D3"/>
    <w:rsid w:val="00277FB3"/>
    <w:rsid w:val="002813DB"/>
    <w:rsid w:val="002824BD"/>
    <w:rsid w:val="00285E21"/>
    <w:rsid w:val="0028623A"/>
    <w:rsid w:val="00287B51"/>
    <w:rsid w:val="00290222"/>
    <w:rsid w:val="00293029"/>
    <w:rsid w:val="002938E5"/>
    <w:rsid w:val="00293C86"/>
    <w:rsid w:val="00294314"/>
    <w:rsid w:val="00295C21"/>
    <w:rsid w:val="00296F91"/>
    <w:rsid w:val="002A0190"/>
    <w:rsid w:val="002A1440"/>
    <w:rsid w:val="002A2BA0"/>
    <w:rsid w:val="002A6F58"/>
    <w:rsid w:val="002A7E47"/>
    <w:rsid w:val="002B03E4"/>
    <w:rsid w:val="002B5912"/>
    <w:rsid w:val="002B6339"/>
    <w:rsid w:val="002C196A"/>
    <w:rsid w:val="002C2D23"/>
    <w:rsid w:val="002C35D2"/>
    <w:rsid w:val="002C4F55"/>
    <w:rsid w:val="002C7271"/>
    <w:rsid w:val="002C7C19"/>
    <w:rsid w:val="002D0162"/>
    <w:rsid w:val="002D1A04"/>
    <w:rsid w:val="002D2104"/>
    <w:rsid w:val="002D3214"/>
    <w:rsid w:val="002D3515"/>
    <w:rsid w:val="002D6B85"/>
    <w:rsid w:val="002D7AE3"/>
    <w:rsid w:val="002E00EE"/>
    <w:rsid w:val="002E21E5"/>
    <w:rsid w:val="002E35FA"/>
    <w:rsid w:val="002E6A1E"/>
    <w:rsid w:val="002F3DB6"/>
    <w:rsid w:val="002F41D1"/>
    <w:rsid w:val="002F4B06"/>
    <w:rsid w:val="002F5F72"/>
    <w:rsid w:val="00303705"/>
    <w:rsid w:val="0030498E"/>
    <w:rsid w:val="00313F1B"/>
    <w:rsid w:val="003172DC"/>
    <w:rsid w:val="00324AD9"/>
    <w:rsid w:val="00326DFF"/>
    <w:rsid w:val="00326E8B"/>
    <w:rsid w:val="003275A6"/>
    <w:rsid w:val="00331E92"/>
    <w:rsid w:val="00333023"/>
    <w:rsid w:val="003331C6"/>
    <w:rsid w:val="00334B26"/>
    <w:rsid w:val="00335C07"/>
    <w:rsid w:val="003370CD"/>
    <w:rsid w:val="00340D69"/>
    <w:rsid w:val="00343680"/>
    <w:rsid w:val="003448DD"/>
    <w:rsid w:val="00344903"/>
    <w:rsid w:val="00345808"/>
    <w:rsid w:val="00346A74"/>
    <w:rsid w:val="003501FB"/>
    <w:rsid w:val="003511B1"/>
    <w:rsid w:val="00352079"/>
    <w:rsid w:val="00353439"/>
    <w:rsid w:val="0035462D"/>
    <w:rsid w:val="00355972"/>
    <w:rsid w:val="0036397E"/>
    <w:rsid w:val="00366962"/>
    <w:rsid w:val="00372C8F"/>
    <w:rsid w:val="00373B3B"/>
    <w:rsid w:val="003765B8"/>
    <w:rsid w:val="0038169C"/>
    <w:rsid w:val="00381E10"/>
    <w:rsid w:val="003854BE"/>
    <w:rsid w:val="00385AA4"/>
    <w:rsid w:val="00386301"/>
    <w:rsid w:val="00396E1F"/>
    <w:rsid w:val="00396F2A"/>
    <w:rsid w:val="00396F92"/>
    <w:rsid w:val="0039762A"/>
    <w:rsid w:val="003A0483"/>
    <w:rsid w:val="003A1FCE"/>
    <w:rsid w:val="003A2259"/>
    <w:rsid w:val="003A4582"/>
    <w:rsid w:val="003A4ACA"/>
    <w:rsid w:val="003A6D7F"/>
    <w:rsid w:val="003A7B33"/>
    <w:rsid w:val="003B0015"/>
    <w:rsid w:val="003B10E8"/>
    <w:rsid w:val="003B5DF7"/>
    <w:rsid w:val="003B6200"/>
    <w:rsid w:val="003B6758"/>
    <w:rsid w:val="003B6D40"/>
    <w:rsid w:val="003C3971"/>
    <w:rsid w:val="003C564B"/>
    <w:rsid w:val="003C6949"/>
    <w:rsid w:val="003D1FE2"/>
    <w:rsid w:val="003D424E"/>
    <w:rsid w:val="003D526D"/>
    <w:rsid w:val="003D7776"/>
    <w:rsid w:val="003D7AA8"/>
    <w:rsid w:val="003D7B4F"/>
    <w:rsid w:val="003E238E"/>
    <w:rsid w:val="003E31FD"/>
    <w:rsid w:val="003E43E3"/>
    <w:rsid w:val="003E4B0A"/>
    <w:rsid w:val="003E4DE1"/>
    <w:rsid w:val="003E5346"/>
    <w:rsid w:val="003E7753"/>
    <w:rsid w:val="003F3AD6"/>
    <w:rsid w:val="003F3C0E"/>
    <w:rsid w:val="003F65AF"/>
    <w:rsid w:val="00407B61"/>
    <w:rsid w:val="00410618"/>
    <w:rsid w:val="0041564C"/>
    <w:rsid w:val="00420BDA"/>
    <w:rsid w:val="00422A19"/>
    <w:rsid w:val="00423334"/>
    <w:rsid w:val="00423702"/>
    <w:rsid w:val="004239B4"/>
    <w:rsid w:val="00423FA6"/>
    <w:rsid w:val="00425B55"/>
    <w:rsid w:val="004304E7"/>
    <w:rsid w:val="004337D3"/>
    <w:rsid w:val="004345EC"/>
    <w:rsid w:val="00440D78"/>
    <w:rsid w:val="0044296A"/>
    <w:rsid w:val="00444BA7"/>
    <w:rsid w:val="00445F9D"/>
    <w:rsid w:val="00447117"/>
    <w:rsid w:val="00452B04"/>
    <w:rsid w:val="00452F63"/>
    <w:rsid w:val="00455227"/>
    <w:rsid w:val="0045626A"/>
    <w:rsid w:val="00460CF7"/>
    <w:rsid w:val="00461758"/>
    <w:rsid w:val="0046281F"/>
    <w:rsid w:val="00462D23"/>
    <w:rsid w:val="00462D8B"/>
    <w:rsid w:val="00465CB5"/>
    <w:rsid w:val="0046603B"/>
    <w:rsid w:val="00471E5F"/>
    <w:rsid w:val="0047379C"/>
    <w:rsid w:val="00475C60"/>
    <w:rsid w:val="00475C62"/>
    <w:rsid w:val="00476CE3"/>
    <w:rsid w:val="00477C70"/>
    <w:rsid w:val="004811E3"/>
    <w:rsid w:val="004826A9"/>
    <w:rsid w:val="0048579F"/>
    <w:rsid w:val="0048586A"/>
    <w:rsid w:val="0048614B"/>
    <w:rsid w:val="00487685"/>
    <w:rsid w:val="00493055"/>
    <w:rsid w:val="004930FF"/>
    <w:rsid w:val="0049320B"/>
    <w:rsid w:val="004939C9"/>
    <w:rsid w:val="004947C3"/>
    <w:rsid w:val="00497B1A"/>
    <w:rsid w:val="00497EFB"/>
    <w:rsid w:val="004A0FC8"/>
    <w:rsid w:val="004A138D"/>
    <w:rsid w:val="004A13C7"/>
    <w:rsid w:val="004A3A3F"/>
    <w:rsid w:val="004A4C1D"/>
    <w:rsid w:val="004B0539"/>
    <w:rsid w:val="004B18E2"/>
    <w:rsid w:val="004B25DB"/>
    <w:rsid w:val="004B4F36"/>
    <w:rsid w:val="004B5EC9"/>
    <w:rsid w:val="004B722E"/>
    <w:rsid w:val="004B7A6C"/>
    <w:rsid w:val="004C1236"/>
    <w:rsid w:val="004C1601"/>
    <w:rsid w:val="004C56DA"/>
    <w:rsid w:val="004D3578"/>
    <w:rsid w:val="004D5AC2"/>
    <w:rsid w:val="004D6DA4"/>
    <w:rsid w:val="004E039D"/>
    <w:rsid w:val="004E213A"/>
    <w:rsid w:val="004E26A2"/>
    <w:rsid w:val="004E27D4"/>
    <w:rsid w:val="004E350F"/>
    <w:rsid w:val="004E4952"/>
    <w:rsid w:val="004E681F"/>
    <w:rsid w:val="004E6EB4"/>
    <w:rsid w:val="004F005C"/>
    <w:rsid w:val="004F0988"/>
    <w:rsid w:val="004F2C96"/>
    <w:rsid w:val="004F3340"/>
    <w:rsid w:val="004F391C"/>
    <w:rsid w:val="004F3E3D"/>
    <w:rsid w:val="004F4207"/>
    <w:rsid w:val="004F46CE"/>
    <w:rsid w:val="004F4A78"/>
    <w:rsid w:val="004F4FC9"/>
    <w:rsid w:val="004F552B"/>
    <w:rsid w:val="004F61B0"/>
    <w:rsid w:val="00500110"/>
    <w:rsid w:val="00502E07"/>
    <w:rsid w:val="00503ED8"/>
    <w:rsid w:val="005043AA"/>
    <w:rsid w:val="00504621"/>
    <w:rsid w:val="00505113"/>
    <w:rsid w:val="00507559"/>
    <w:rsid w:val="0051077F"/>
    <w:rsid w:val="00511E04"/>
    <w:rsid w:val="00513AC9"/>
    <w:rsid w:val="00514E53"/>
    <w:rsid w:val="00516291"/>
    <w:rsid w:val="00517558"/>
    <w:rsid w:val="005214DC"/>
    <w:rsid w:val="00526A07"/>
    <w:rsid w:val="0053388B"/>
    <w:rsid w:val="00534533"/>
    <w:rsid w:val="00534A81"/>
    <w:rsid w:val="00535773"/>
    <w:rsid w:val="00536A0C"/>
    <w:rsid w:val="00537627"/>
    <w:rsid w:val="005400C0"/>
    <w:rsid w:val="0054061A"/>
    <w:rsid w:val="00543E6C"/>
    <w:rsid w:val="00546259"/>
    <w:rsid w:val="00547BBA"/>
    <w:rsid w:val="005510CB"/>
    <w:rsid w:val="00553C1C"/>
    <w:rsid w:val="00555A5C"/>
    <w:rsid w:val="00560C1A"/>
    <w:rsid w:val="00562B5D"/>
    <w:rsid w:val="00565087"/>
    <w:rsid w:val="005668CB"/>
    <w:rsid w:val="00567E21"/>
    <w:rsid w:val="00570E9D"/>
    <w:rsid w:val="005724C2"/>
    <w:rsid w:val="00572E14"/>
    <w:rsid w:val="00573800"/>
    <w:rsid w:val="00574F89"/>
    <w:rsid w:val="00575751"/>
    <w:rsid w:val="00580133"/>
    <w:rsid w:val="00583ADE"/>
    <w:rsid w:val="00584261"/>
    <w:rsid w:val="00584A7F"/>
    <w:rsid w:val="00585E07"/>
    <w:rsid w:val="005876C4"/>
    <w:rsid w:val="005913FB"/>
    <w:rsid w:val="005914AB"/>
    <w:rsid w:val="00594843"/>
    <w:rsid w:val="005967AC"/>
    <w:rsid w:val="00597089"/>
    <w:rsid w:val="005973BE"/>
    <w:rsid w:val="005978D1"/>
    <w:rsid w:val="005A0AB6"/>
    <w:rsid w:val="005A564A"/>
    <w:rsid w:val="005A5986"/>
    <w:rsid w:val="005A79DF"/>
    <w:rsid w:val="005B0515"/>
    <w:rsid w:val="005B42A1"/>
    <w:rsid w:val="005B4882"/>
    <w:rsid w:val="005B49B8"/>
    <w:rsid w:val="005B5C5B"/>
    <w:rsid w:val="005C59F9"/>
    <w:rsid w:val="005C72EA"/>
    <w:rsid w:val="005D1269"/>
    <w:rsid w:val="005D2E01"/>
    <w:rsid w:val="005D315E"/>
    <w:rsid w:val="005D66A6"/>
    <w:rsid w:val="005D6A1F"/>
    <w:rsid w:val="005D7526"/>
    <w:rsid w:val="005E2040"/>
    <w:rsid w:val="005E2769"/>
    <w:rsid w:val="005E352F"/>
    <w:rsid w:val="005E40CA"/>
    <w:rsid w:val="005E5287"/>
    <w:rsid w:val="005E69AE"/>
    <w:rsid w:val="005E78E4"/>
    <w:rsid w:val="005F2C8C"/>
    <w:rsid w:val="005F33AB"/>
    <w:rsid w:val="005F4862"/>
    <w:rsid w:val="00600A5F"/>
    <w:rsid w:val="00601946"/>
    <w:rsid w:val="00602AEA"/>
    <w:rsid w:val="0060440C"/>
    <w:rsid w:val="00607E3C"/>
    <w:rsid w:val="0061006B"/>
    <w:rsid w:val="00614462"/>
    <w:rsid w:val="00614FDF"/>
    <w:rsid w:val="006150D4"/>
    <w:rsid w:val="0061523D"/>
    <w:rsid w:val="00617B00"/>
    <w:rsid w:val="00620B70"/>
    <w:rsid w:val="00623BA4"/>
    <w:rsid w:val="006246A7"/>
    <w:rsid w:val="0062498E"/>
    <w:rsid w:val="0062595A"/>
    <w:rsid w:val="00625F5A"/>
    <w:rsid w:val="006267F4"/>
    <w:rsid w:val="00627C37"/>
    <w:rsid w:val="00634D24"/>
    <w:rsid w:val="00634EF7"/>
    <w:rsid w:val="0063543D"/>
    <w:rsid w:val="00642064"/>
    <w:rsid w:val="00642550"/>
    <w:rsid w:val="00646ACB"/>
    <w:rsid w:val="00647114"/>
    <w:rsid w:val="00654768"/>
    <w:rsid w:val="00654806"/>
    <w:rsid w:val="00654C8F"/>
    <w:rsid w:val="00654E0E"/>
    <w:rsid w:val="00657F90"/>
    <w:rsid w:val="006617A3"/>
    <w:rsid w:val="00661921"/>
    <w:rsid w:val="006621EE"/>
    <w:rsid w:val="006659CB"/>
    <w:rsid w:val="00666C51"/>
    <w:rsid w:val="0067044C"/>
    <w:rsid w:val="0067359C"/>
    <w:rsid w:val="006738D3"/>
    <w:rsid w:val="00673DF3"/>
    <w:rsid w:val="00676E3E"/>
    <w:rsid w:val="006774C8"/>
    <w:rsid w:val="00682A9A"/>
    <w:rsid w:val="00692656"/>
    <w:rsid w:val="006960B6"/>
    <w:rsid w:val="006A2207"/>
    <w:rsid w:val="006A2A85"/>
    <w:rsid w:val="006A323F"/>
    <w:rsid w:val="006A763F"/>
    <w:rsid w:val="006B0318"/>
    <w:rsid w:val="006B0443"/>
    <w:rsid w:val="006B0847"/>
    <w:rsid w:val="006B1095"/>
    <w:rsid w:val="006B18DD"/>
    <w:rsid w:val="006B2D70"/>
    <w:rsid w:val="006B30D0"/>
    <w:rsid w:val="006B4085"/>
    <w:rsid w:val="006B48A5"/>
    <w:rsid w:val="006B599E"/>
    <w:rsid w:val="006B6D10"/>
    <w:rsid w:val="006B740C"/>
    <w:rsid w:val="006C15D4"/>
    <w:rsid w:val="006C328A"/>
    <w:rsid w:val="006C3D95"/>
    <w:rsid w:val="006C5DC0"/>
    <w:rsid w:val="006C6874"/>
    <w:rsid w:val="006D3BF7"/>
    <w:rsid w:val="006D4927"/>
    <w:rsid w:val="006D71F6"/>
    <w:rsid w:val="006E0CF5"/>
    <w:rsid w:val="006E290D"/>
    <w:rsid w:val="006E3AD6"/>
    <w:rsid w:val="006E434B"/>
    <w:rsid w:val="006E5C86"/>
    <w:rsid w:val="006E5D4D"/>
    <w:rsid w:val="006E6253"/>
    <w:rsid w:val="006F2138"/>
    <w:rsid w:val="006F4897"/>
    <w:rsid w:val="006F691D"/>
    <w:rsid w:val="006F729C"/>
    <w:rsid w:val="00702CE9"/>
    <w:rsid w:val="0070316F"/>
    <w:rsid w:val="00703AB4"/>
    <w:rsid w:val="00706A3D"/>
    <w:rsid w:val="00706C65"/>
    <w:rsid w:val="00707124"/>
    <w:rsid w:val="00713C44"/>
    <w:rsid w:val="00713D99"/>
    <w:rsid w:val="00714A88"/>
    <w:rsid w:val="007164E2"/>
    <w:rsid w:val="00720CFE"/>
    <w:rsid w:val="00720DA8"/>
    <w:rsid w:val="007210AF"/>
    <w:rsid w:val="00721FC2"/>
    <w:rsid w:val="00722EE0"/>
    <w:rsid w:val="007248B7"/>
    <w:rsid w:val="007256EA"/>
    <w:rsid w:val="00730341"/>
    <w:rsid w:val="00730F98"/>
    <w:rsid w:val="0073122F"/>
    <w:rsid w:val="00733982"/>
    <w:rsid w:val="00734A5B"/>
    <w:rsid w:val="0074026F"/>
    <w:rsid w:val="00741E3D"/>
    <w:rsid w:val="007429F6"/>
    <w:rsid w:val="00743BDB"/>
    <w:rsid w:val="00744B1D"/>
    <w:rsid w:val="00744E76"/>
    <w:rsid w:val="00752198"/>
    <w:rsid w:val="007521D9"/>
    <w:rsid w:val="00753881"/>
    <w:rsid w:val="0075553A"/>
    <w:rsid w:val="00756226"/>
    <w:rsid w:val="007577DD"/>
    <w:rsid w:val="00760092"/>
    <w:rsid w:val="007612D2"/>
    <w:rsid w:val="007613A4"/>
    <w:rsid w:val="00763DF1"/>
    <w:rsid w:val="00765DB0"/>
    <w:rsid w:val="00767BD9"/>
    <w:rsid w:val="007713D4"/>
    <w:rsid w:val="00771833"/>
    <w:rsid w:val="00774DA4"/>
    <w:rsid w:val="00774EA1"/>
    <w:rsid w:val="00776039"/>
    <w:rsid w:val="00780CB6"/>
    <w:rsid w:val="00781F0F"/>
    <w:rsid w:val="0078318F"/>
    <w:rsid w:val="00785051"/>
    <w:rsid w:val="00787C81"/>
    <w:rsid w:val="00791558"/>
    <w:rsid w:val="00794056"/>
    <w:rsid w:val="00797086"/>
    <w:rsid w:val="007A1F6D"/>
    <w:rsid w:val="007A2B61"/>
    <w:rsid w:val="007A3410"/>
    <w:rsid w:val="007A3C7D"/>
    <w:rsid w:val="007A6CA7"/>
    <w:rsid w:val="007B1526"/>
    <w:rsid w:val="007B31AF"/>
    <w:rsid w:val="007B5FFF"/>
    <w:rsid w:val="007B600E"/>
    <w:rsid w:val="007C14FD"/>
    <w:rsid w:val="007C4211"/>
    <w:rsid w:val="007C584C"/>
    <w:rsid w:val="007C5EB1"/>
    <w:rsid w:val="007C7A59"/>
    <w:rsid w:val="007D06C4"/>
    <w:rsid w:val="007D2EA9"/>
    <w:rsid w:val="007D440F"/>
    <w:rsid w:val="007D4611"/>
    <w:rsid w:val="007D4791"/>
    <w:rsid w:val="007D62C7"/>
    <w:rsid w:val="007E184A"/>
    <w:rsid w:val="007E5DDC"/>
    <w:rsid w:val="007F04B3"/>
    <w:rsid w:val="007F04F3"/>
    <w:rsid w:val="007F0E50"/>
    <w:rsid w:val="007F0F4A"/>
    <w:rsid w:val="007F1067"/>
    <w:rsid w:val="00801997"/>
    <w:rsid w:val="00801F83"/>
    <w:rsid w:val="00802649"/>
    <w:rsid w:val="008028A4"/>
    <w:rsid w:val="00803196"/>
    <w:rsid w:val="00806114"/>
    <w:rsid w:val="00806C56"/>
    <w:rsid w:val="0081122F"/>
    <w:rsid w:val="00811A5E"/>
    <w:rsid w:val="00813071"/>
    <w:rsid w:val="0081484C"/>
    <w:rsid w:val="00815FF9"/>
    <w:rsid w:val="00820605"/>
    <w:rsid w:val="00820B25"/>
    <w:rsid w:val="0082147A"/>
    <w:rsid w:val="00821E31"/>
    <w:rsid w:val="0082307B"/>
    <w:rsid w:val="008272DD"/>
    <w:rsid w:val="00830747"/>
    <w:rsid w:val="00832CF7"/>
    <w:rsid w:val="00835F9B"/>
    <w:rsid w:val="00836DC2"/>
    <w:rsid w:val="0084242B"/>
    <w:rsid w:val="00846F18"/>
    <w:rsid w:val="00852524"/>
    <w:rsid w:val="00855398"/>
    <w:rsid w:val="00857745"/>
    <w:rsid w:val="00863FA5"/>
    <w:rsid w:val="00866EDF"/>
    <w:rsid w:val="00866F59"/>
    <w:rsid w:val="00871376"/>
    <w:rsid w:val="00872100"/>
    <w:rsid w:val="00872B25"/>
    <w:rsid w:val="00872F4A"/>
    <w:rsid w:val="008730C8"/>
    <w:rsid w:val="008768CA"/>
    <w:rsid w:val="008771EE"/>
    <w:rsid w:val="0087760F"/>
    <w:rsid w:val="008807D8"/>
    <w:rsid w:val="00882458"/>
    <w:rsid w:val="00883CDF"/>
    <w:rsid w:val="00885E96"/>
    <w:rsid w:val="0088743A"/>
    <w:rsid w:val="008905F5"/>
    <w:rsid w:val="00891D12"/>
    <w:rsid w:val="00895C3A"/>
    <w:rsid w:val="008A0585"/>
    <w:rsid w:val="008A177D"/>
    <w:rsid w:val="008A23EC"/>
    <w:rsid w:val="008A26A9"/>
    <w:rsid w:val="008A5709"/>
    <w:rsid w:val="008A7428"/>
    <w:rsid w:val="008A7581"/>
    <w:rsid w:val="008B78E7"/>
    <w:rsid w:val="008C0100"/>
    <w:rsid w:val="008C08A4"/>
    <w:rsid w:val="008C1501"/>
    <w:rsid w:val="008C1D5E"/>
    <w:rsid w:val="008C384C"/>
    <w:rsid w:val="008C3D3E"/>
    <w:rsid w:val="008C499C"/>
    <w:rsid w:val="008C4EBF"/>
    <w:rsid w:val="008D0A9B"/>
    <w:rsid w:val="008D27DD"/>
    <w:rsid w:val="008D51EA"/>
    <w:rsid w:val="008D57AB"/>
    <w:rsid w:val="008D5A1E"/>
    <w:rsid w:val="008D6CEC"/>
    <w:rsid w:val="008D70D0"/>
    <w:rsid w:val="008D71B4"/>
    <w:rsid w:val="008D77C5"/>
    <w:rsid w:val="008E1810"/>
    <w:rsid w:val="008E2A85"/>
    <w:rsid w:val="008E46F9"/>
    <w:rsid w:val="008E71F1"/>
    <w:rsid w:val="008E7455"/>
    <w:rsid w:val="008E7986"/>
    <w:rsid w:val="008F0A90"/>
    <w:rsid w:val="008F1588"/>
    <w:rsid w:val="008F32C2"/>
    <w:rsid w:val="008F5733"/>
    <w:rsid w:val="008F71F2"/>
    <w:rsid w:val="0090271F"/>
    <w:rsid w:val="00902E23"/>
    <w:rsid w:val="009051EC"/>
    <w:rsid w:val="00905EC8"/>
    <w:rsid w:val="00906AD7"/>
    <w:rsid w:val="00910E77"/>
    <w:rsid w:val="009114D7"/>
    <w:rsid w:val="0091348E"/>
    <w:rsid w:val="00913853"/>
    <w:rsid w:val="00914651"/>
    <w:rsid w:val="00917CCB"/>
    <w:rsid w:val="009201D0"/>
    <w:rsid w:val="009205BE"/>
    <w:rsid w:val="009211D9"/>
    <w:rsid w:val="00921A92"/>
    <w:rsid w:val="009225BE"/>
    <w:rsid w:val="00924911"/>
    <w:rsid w:val="00926D4B"/>
    <w:rsid w:val="00931F36"/>
    <w:rsid w:val="00932699"/>
    <w:rsid w:val="009332B0"/>
    <w:rsid w:val="009410D1"/>
    <w:rsid w:val="00942EC2"/>
    <w:rsid w:val="00944557"/>
    <w:rsid w:val="00955506"/>
    <w:rsid w:val="00955F6A"/>
    <w:rsid w:val="00956D54"/>
    <w:rsid w:val="009575A3"/>
    <w:rsid w:val="009600C0"/>
    <w:rsid w:val="00960814"/>
    <w:rsid w:val="00961ADE"/>
    <w:rsid w:val="009623E5"/>
    <w:rsid w:val="009639D4"/>
    <w:rsid w:val="0096410F"/>
    <w:rsid w:val="0096691B"/>
    <w:rsid w:val="00966EC3"/>
    <w:rsid w:val="00971A26"/>
    <w:rsid w:val="00975D3F"/>
    <w:rsid w:val="00977B40"/>
    <w:rsid w:val="00977E47"/>
    <w:rsid w:val="00980BE6"/>
    <w:rsid w:val="00982AF7"/>
    <w:rsid w:val="009840A0"/>
    <w:rsid w:val="00987515"/>
    <w:rsid w:val="0099057C"/>
    <w:rsid w:val="00992A6D"/>
    <w:rsid w:val="00993D7F"/>
    <w:rsid w:val="009968FA"/>
    <w:rsid w:val="009969BE"/>
    <w:rsid w:val="00997281"/>
    <w:rsid w:val="0099773F"/>
    <w:rsid w:val="00997C9A"/>
    <w:rsid w:val="009A1D13"/>
    <w:rsid w:val="009A386D"/>
    <w:rsid w:val="009A3FCF"/>
    <w:rsid w:val="009B2577"/>
    <w:rsid w:val="009B2B54"/>
    <w:rsid w:val="009B4388"/>
    <w:rsid w:val="009B4886"/>
    <w:rsid w:val="009B5334"/>
    <w:rsid w:val="009B53A1"/>
    <w:rsid w:val="009B68D8"/>
    <w:rsid w:val="009B76A1"/>
    <w:rsid w:val="009C1080"/>
    <w:rsid w:val="009C1D9E"/>
    <w:rsid w:val="009C25EE"/>
    <w:rsid w:val="009C5BDC"/>
    <w:rsid w:val="009C72E6"/>
    <w:rsid w:val="009D2F7E"/>
    <w:rsid w:val="009D50B7"/>
    <w:rsid w:val="009D6138"/>
    <w:rsid w:val="009D798C"/>
    <w:rsid w:val="009E3D94"/>
    <w:rsid w:val="009E3E0A"/>
    <w:rsid w:val="009E6B92"/>
    <w:rsid w:val="009E777F"/>
    <w:rsid w:val="009F24AA"/>
    <w:rsid w:val="009F315F"/>
    <w:rsid w:val="009F37B7"/>
    <w:rsid w:val="009F5E43"/>
    <w:rsid w:val="009F6881"/>
    <w:rsid w:val="009F6F20"/>
    <w:rsid w:val="00A037C9"/>
    <w:rsid w:val="00A05C7E"/>
    <w:rsid w:val="00A10F02"/>
    <w:rsid w:val="00A110C7"/>
    <w:rsid w:val="00A11872"/>
    <w:rsid w:val="00A13BC0"/>
    <w:rsid w:val="00A13ECB"/>
    <w:rsid w:val="00A15EFF"/>
    <w:rsid w:val="00A164B4"/>
    <w:rsid w:val="00A217E9"/>
    <w:rsid w:val="00A2395C"/>
    <w:rsid w:val="00A2397C"/>
    <w:rsid w:val="00A2426E"/>
    <w:rsid w:val="00A24351"/>
    <w:rsid w:val="00A243FD"/>
    <w:rsid w:val="00A25EA5"/>
    <w:rsid w:val="00A264BB"/>
    <w:rsid w:val="00A26956"/>
    <w:rsid w:val="00A32F7C"/>
    <w:rsid w:val="00A33F1C"/>
    <w:rsid w:val="00A3449C"/>
    <w:rsid w:val="00A34800"/>
    <w:rsid w:val="00A36240"/>
    <w:rsid w:val="00A37078"/>
    <w:rsid w:val="00A4031D"/>
    <w:rsid w:val="00A41046"/>
    <w:rsid w:val="00A423F4"/>
    <w:rsid w:val="00A453A3"/>
    <w:rsid w:val="00A46B82"/>
    <w:rsid w:val="00A51A6B"/>
    <w:rsid w:val="00A53309"/>
    <w:rsid w:val="00A53724"/>
    <w:rsid w:val="00A558BE"/>
    <w:rsid w:val="00A63F2B"/>
    <w:rsid w:val="00A640B4"/>
    <w:rsid w:val="00A64757"/>
    <w:rsid w:val="00A66CD1"/>
    <w:rsid w:val="00A7029D"/>
    <w:rsid w:val="00A71A9C"/>
    <w:rsid w:val="00A73129"/>
    <w:rsid w:val="00A73BCE"/>
    <w:rsid w:val="00A73D51"/>
    <w:rsid w:val="00A749EB"/>
    <w:rsid w:val="00A74EF9"/>
    <w:rsid w:val="00A75A83"/>
    <w:rsid w:val="00A76754"/>
    <w:rsid w:val="00A80090"/>
    <w:rsid w:val="00A807DA"/>
    <w:rsid w:val="00A82346"/>
    <w:rsid w:val="00A84B5A"/>
    <w:rsid w:val="00A862D7"/>
    <w:rsid w:val="00A86B86"/>
    <w:rsid w:val="00A86CBC"/>
    <w:rsid w:val="00A91111"/>
    <w:rsid w:val="00A9269A"/>
    <w:rsid w:val="00A92BA1"/>
    <w:rsid w:val="00A93484"/>
    <w:rsid w:val="00A93DB8"/>
    <w:rsid w:val="00A9478D"/>
    <w:rsid w:val="00A95E22"/>
    <w:rsid w:val="00A96ECD"/>
    <w:rsid w:val="00AA32B3"/>
    <w:rsid w:val="00AA37A2"/>
    <w:rsid w:val="00AA71AC"/>
    <w:rsid w:val="00AA7C09"/>
    <w:rsid w:val="00AB1C53"/>
    <w:rsid w:val="00AB408F"/>
    <w:rsid w:val="00AB4440"/>
    <w:rsid w:val="00AB49D8"/>
    <w:rsid w:val="00AB510A"/>
    <w:rsid w:val="00AB5170"/>
    <w:rsid w:val="00AB7326"/>
    <w:rsid w:val="00AC5939"/>
    <w:rsid w:val="00AC5B40"/>
    <w:rsid w:val="00AC6BC6"/>
    <w:rsid w:val="00AC6F4A"/>
    <w:rsid w:val="00AC7141"/>
    <w:rsid w:val="00AD1FDE"/>
    <w:rsid w:val="00AD330E"/>
    <w:rsid w:val="00AD563A"/>
    <w:rsid w:val="00AD76A2"/>
    <w:rsid w:val="00AD7C3E"/>
    <w:rsid w:val="00AE0C7C"/>
    <w:rsid w:val="00AE0E06"/>
    <w:rsid w:val="00AE109A"/>
    <w:rsid w:val="00AE3403"/>
    <w:rsid w:val="00AE3797"/>
    <w:rsid w:val="00AE44FD"/>
    <w:rsid w:val="00AE4A5E"/>
    <w:rsid w:val="00AE6715"/>
    <w:rsid w:val="00AF0CA7"/>
    <w:rsid w:val="00AF63C0"/>
    <w:rsid w:val="00B00100"/>
    <w:rsid w:val="00B00A85"/>
    <w:rsid w:val="00B026DC"/>
    <w:rsid w:val="00B03B5E"/>
    <w:rsid w:val="00B102B6"/>
    <w:rsid w:val="00B15449"/>
    <w:rsid w:val="00B16031"/>
    <w:rsid w:val="00B160C0"/>
    <w:rsid w:val="00B206FD"/>
    <w:rsid w:val="00B21248"/>
    <w:rsid w:val="00B22969"/>
    <w:rsid w:val="00B22F4F"/>
    <w:rsid w:val="00B23DD2"/>
    <w:rsid w:val="00B25D15"/>
    <w:rsid w:val="00B27A39"/>
    <w:rsid w:val="00B31C91"/>
    <w:rsid w:val="00B3207E"/>
    <w:rsid w:val="00B35B32"/>
    <w:rsid w:val="00B35DBA"/>
    <w:rsid w:val="00B35F32"/>
    <w:rsid w:val="00B379AE"/>
    <w:rsid w:val="00B37EB8"/>
    <w:rsid w:val="00B4192D"/>
    <w:rsid w:val="00B41EBD"/>
    <w:rsid w:val="00B42B14"/>
    <w:rsid w:val="00B50B42"/>
    <w:rsid w:val="00B615CD"/>
    <w:rsid w:val="00B64A15"/>
    <w:rsid w:val="00B64F8E"/>
    <w:rsid w:val="00B65BC4"/>
    <w:rsid w:val="00B7177B"/>
    <w:rsid w:val="00B73EB1"/>
    <w:rsid w:val="00B76F5E"/>
    <w:rsid w:val="00B80010"/>
    <w:rsid w:val="00B80F14"/>
    <w:rsid w:val="00B83B8A"/>
    <w:rsid w:val="00B842C6"/>
    <w:rsid w:val="00B8506D"/>
    <w:rsid w:val="00B8639C"/>
    <w:rsid w:val="00B87183"/>
    <w:rsid w:val="00B87DCA"/>
    <w:rsid w:val="00B92FCB"/>
    <w:rsid w:val="00B93086"/>
    <w:rsid w:val="00B93BE6"/>
    <w:rsid w:val="00B96FE0"/>
    <w:rsid w:val="00BA125D"/>
    <w:rsid w:val="00BA13D4"/>
    <w:rsid w:val="00BA19ED"/>
    <w:rsid w:val="00BA1D06"/>
    <w:rsid w:val="00BA300B"/>
    <w:rsid w:val="00BA428E"/>
    <w:rsid w:val="00BA4B8D"/>
    <w:rsid w:val="00BA5ADB"/>
    <w:rsid w:val="00BA65C8"/>
    <w:rsid w:val="00BA6B22"/>
    <w:rsid w:val="00BA76D8"/>
    <w:rsid w:val="00BB08E8"/>
    <w:rsid w:val="00BB132C"/>
    <w:rsid w:val="00BB2B87"/>
    <w:rsid w:val="00BB3F2C"/>
    <w:rsid w:val="00BB452B"/>
    <w:rsid w:val="00BB5D37"/>
    <w:rsid w:val="00BC0F7D"/>
    <w:rsid w:val="00BC1572"/>
    <w:rsid w:val="00BC1BE5"/>
    <w:rsid w:val="00BC21EF"/>
    <w:rsid w:val="00BC29C3"/>
    <w:rsid w:val="00BD1396"/>
    <w:rsid w:val="00BD24DE"/>
    <w:rsid w:val="00BD2CFF"/>
    <w:rsid w:val="00BD300D"/>
    <w:rsid w:val="00BD30DE"/>
    <w:rsid w:val="00BD639F"/>
    <w:rsid w:val="00BD7F8B"/>
    <w:rsid w:val="00BE3255"/>
    <w:rsid w:val="00BE35DB"/>
    <w:rsid w:val="00BE6387"/>
    <w:rsid w:val="00BF128E"/>
    <w:rsid w:val="00BF4580"/>
    <w:rsid w:val="00C00D87"/>
    <w:rsid w:val="00C02A38"/>
    <w:rsid w:val="00C04097"/>
    <w:rsid w:val="00C043A4"/>
    <w:rsid w:val="00C0454F"/>
    <w:rsid w:val="00C05610"/>
    <w:rsid w:val="00C060EE"/>
    <w:rsid w:val="00C10C76"/>
    <w:rsid w:val="00C120EB"/>
    <w:rsid w:val="00C1496A"/>
    <w:rsid w:val="00C15754"/>
    <w:rsid w:val="00C17253"/>
    <w:rsid w:val="00C20C9A"/>
    <w:rsid w:val="00C21E56"/>
    <w:rsid w:val="00C23895"/>
    <w:rsid w:val="00C24732"/>
    <w:rsid w:val="00C24FCA"/>
    <w:rsid w:val="00C32093"/>
    <w:rsid w:val="00C33079"/>
    <w:rsid w:val="00C347DF"/>
    <w:rsid w:val="00C35A42"/>
    <w:rsid w:val="00C40A3F"/>
    <w:rsid w:val="00C42670"/>
    <w:rsid w:val="00C432B6"/>
    <w:rsid w:val="00C43CC6"/>
    <w:rsid w:val="00C45231"/>
    <w:rsid w:val="00C4759C"/>
    <w:rsid w:val="00C52006"/>
    <w:rsid w:val="00C56D74"/>
    <w:rsid w:val="00C600DD"/>
    <w:rsid w:val="00C61CAA"/>
    <w:rsid w:val="00C645F2"/>
    <w:rsid w:val="00C6640A"/>
    <w:rsid w:val="00C66C05"/>
    <w:rsid w:val="00C70A7D"/>
    <w:rsid w:val="00C72833"/>
    <w:rsid w:val="00C7752D"/>
    <w:rsid w:val="00C77BE7"/>
    <w:rsid w:val="00C80F1D"/>
    <w:rsid w:val="00C812DD"/>
    <w:rsid w:val="00C832B0"/>
    <w:rsid w:val="00C9010C"/>
    <w:rsid w:val="00C9316A"/>
    <w:rsid w:val="00C93F40"/>
    <w:rsid w:val="00C952CA"/>
    <w:rsid w:val="00C952D6"/>
    <w:rsid w:val="00CA0C61"/>
    <w:rsid w:val="00CA2F63"/>
    <w:rsid w:val="00CA3D0C"/>
    <w:rsid w:val="00CA5F2C"/>
    <w:rsid w:val="00CB2D97"/>
    <w:rsid w:val="00CB4809"/>
    <w:rsid w:val="00CB52EC"/>
    <w:rsid w:val="00CB605A"/>
    <w:rsid w:val="00CB6866"/>
    <w:rsid w:val="00CC14CB"/>
    <w:rsid w:val="00CC1793"/>
    <w:rsid w:val="00CC2F99"/>
    <w:rsid w:val="00CD0B3F"/>
    <w:rsid w:val="00CD20BD"/>
    <w:rsid w:val="00CD216D"/>
    <w:rsid w:val="00CD347F"/>
    <w:rsid w:val="00CD417D"/>
    <w:rsid w:val="00CD6A22"/>
    <w:rsid w:val="00CF07ED"/>
    <w:rsid w:val="00CF20E3"/>
    <w:rsid w:val="00CF3390"/>
    <w:rsid w:val="00CF3C5A"/>
    <w:rsid w:val="00CF4156"/>
    <w:rsid w:val="00CF53C3"/>
    <w:rsid w:val="00CF678C"/>
    <w:rsid w:val="00CF686F"/>
    <w:rsid w:val="00D0150F"/>
    <w:rsid w:val="00D02105"/>
    <w:rsid w:val="00D07EE8"/>
    <w:rsid w:val="00D1400C"/>
    <w:rsid w:val="00D211AC"/>
    <w:rsid w:val="00D212FB"/>
    <w:rsid w:val="00D22AFA"/>
    <w:rsid w:val="00D259BA"/>
    <w:rsid w:val="00D26579"/>
    <w:rsid w:val="00D27771"/>
    <w:rsid w:val="00D27B17"/>
    <w:rsid w:val="00D27D8E"/>
    <w:rsid w:val="00D309CC"/>
    <w:rsid w:val="00D31221"/>
    <w:rsid w:val="00D31650"/>
    <w:rsid w:val="00D340AD"/>
    <w:rsid w:val="00D368C5"/>
    <w:rsid w:val="00D43140"/>
    <w:rsid w:val="00D432BB"/>
    <w:rsid w:val="00D4461B"/>
    <w:rsid w:val="00D46431"/>
    <w:rsid w:val="00D46ACE"/>
    <w:rsid w:val="00D47DBD"/>
    <w:rsid w:val="00D51006"/>
    <w:rsid w:val="00D5160E"/>
    <w:rsid w:val="00D51A15"/>
    <w:rsid w:val="00D53175"/>
    <w:rsid w:val="00D56284"/>
    <w:rsid w:val="00D56505"/>
    <w:rsid w:val="00D56A52"/>
    <w:rsid w:val="00D5712F"/>
    <w:rsid w:val="00D57972"/>
    <w:rsid w:val="00D616F7"/>
    <w:rsid w:val="00D6178A"/>
    <w:rsid w:val="00D62126"/>
    <w:rsid w:val="00D62760"/>
    <w:rsid w:val="00D629AD"/>
    <w:rsid w:val="00D63FE7"/>
    <w:rsid w:val="00D648AF"/>
    <w:rsid w:val="00D65231"/>
    <w:rsid w:val="00D654C6"/>
    <w:rsid w:val="00D669C8"/>
    <w:rsid w:val="00D675A9"/>
    <w:rsid w:val="00D738D6"/>
    <w:rsid w:val="00D755EB"/>
    <w:rsid w:val="00D75F67"/>
    <w:rsid w:val="00D765EC"/>
    <w:rsid w:val="00D81210"/>
    <w:rsid w:val="00D82070"/>
    <w:rsid w:val="00D8536E"/>
    <w:rsid w:val="00D85C9F"/>
    <w:rsid w:val="00D86322"/>
    <w:rsid w:val="00D87E00"/>
    <w:rsid w:val="00D9134D"/>
    <w:rsid w:val="00D914C3"/>
    <w:rsid w:val="00D91A37"/>
    <w:rsid w:val="00D92158"/>
    <w:rsid w:val="00D92226"/>
    <w:rsid w:val="00D926E9"/>
    <w:rsid w:val="00D928B9"/>
    <w:rsid w:val="00D92C48"/>
    <w:rsid w:val="00D9409B"/>
    <w:rsid w:val="00D94E16"/>
    <w:rsid w:val="00D94FD2"/>
    <w:rsid w:val="00D95F83"/>
    <w:rsid w:val="00D9676D"/>
    <w:rsid w:val="00D96F4E"/>
    <w:rsid w:val="00DA35A9"/>
    <w:rsid w:val="00DA495E"/>
    <w:rsid w:val="00DA7A03"/>
    <w:rsid w:val="00DB0119"/>
    <w:rsid w:val="00DB0B7F"/>
    <w:rsid w:val="00DB1818"/>
    <w:rsid w:val="00DB4A58"/>
    <w:rsid w:val="00DB5A6B"/>
    <w:rsid w:val="00DB5FE6"/>
    <w:rsid w:val="00DC06ED"/>
    <w:rsid w:val="00DC0F04"/>
    <w:rsid w:val="00DC309B"/>
    <w:rsid w:val="00DC4DA2"/>
    <w:rsid w:val="00DD1A10"/>
    <w:rsid w:val="00DD2A8A"/>
    <w:rsid w:val="00DD3B12"/>
    <w:rsid w:val="00DD4C17"/>
    <w:rsid w:val="00DD4D0B"/>
    <w:rsid w:val="00DD71A6"/>
    <w:rsid w:val="00DE0128"/>
    <w:rsid w:val="00DE5973"/>
    <w:rsid w:val="00DE7112"/>
    <w:rsid w:val="00DE7AFB"/>
    <w:rsid w:val="00DF000A"/>
    <w:rsid w:val="00DF1B9B"/>
    <w:rsid w:val="00DF2B1F"/>
    <w:rsid w:val="00DF3112"/>
    <w:rsid w:val="00DF434F"/>
    <w:rsid w:val="00DF6189"/>
    <w:rsid w:val="00DF62CD"/>
    <w:rsid w:val="00DF7A12"/>
    <w:rsid w:val="00E003A3"/>
    <w:rsid w:val="00E010BC"/>
    <w:rsid w:val="00E01EDB"/>
    <w:rsid w:val="00E04DD7"/>
    <w:rsid w:val="00E04F16"/>
    <w:rsid w:val="00E05DA6"/>
    <w:rsid w:val="00E1167F"/>
    <w:rsid w:val="00E14F1D"/>
    <w:rsid w:val="00E153AB"/>
    <w:rsid w:val="00E16509"/>
    <w:rsid w:val="00E16A27"/>
    <w:rsid w:val="00E20620"/>
    <w:rsid w:val="00E20951"/>
    <w:rsid w:val="00E214B7"/>
    <w:rsid w:val="00E218C2"/>
    <w:rsid w:val="00E21E9E"/>
    <w:rsid w:val="00E22E7B"/>
    <w:rsid w:val="00E27187"/>
    <w:rsid w:val="00E271FD"/>
    <w:rsid w:val="00E30929"/>
    <w:rsid w:val="00E31A5E"/>
    <w:rsid w:val="00E33499"/>
    <w:rsid w:val="00E33B6A"/>
    <w:rsid w:val="00E344B9"/>
    <w:rsid w:val="00E34C02"/>
    <w:rsid w:val="00E40260"/>
    <w:rsid w:val="00E40D2B"/>
    <w:rsid w:val="00E41DF1"/>
    <w:rsid w:val="00E420AD"/>
    <w:rsid w:val="00E44582"/>
    <w:rsid w:val="00E44EF0"/>
    <w:rsid w:val="00E476A0"/>
    <w:rsid w:val="00E50039"/>
    <w:rsid w:val="00E51522"/>
    <w:rsid w:val="00E52814"/>
    <w:rsid w:val="00E609FC"/>
    <w:rsid w:val="00E60A57"/>
    <w:rsid w:val="00E62C38"/>
    <w:rsid w:val="00E62E29"/>
    <w:rsid w:val="00E649A9"/>
    <w:rsid w:val="00E6516F"/>
    <w:rsid w:val="00E65E13"/>
    <w:rsid w:val="00E664B2"/>
    <w:rsid w:val="00E71B45"/>
    <w:rsid w:val="00E72324"/>
    <w:rsid w:val="00E72ABE"/>
    <w:rsid w:val="00E74D99"/>
    <w:rsid w:val="00E75D3C"/>
    <w:rsid w:val="00E77645"/>
    <w:rsid w:val="00E777FD"/>
    <w:rsid w:val="00E8127C"/>
    <w:rsid w:val="00E83104"/>
    <w:rsid w:val="00E9012C"/>
    <w:rsid w:val="00E9103C"/>
    <w:rsid w:val="00E94AD7"/>
    <w:rsid w:val="00E94FF3"/>
    <w:rsid w:val="00E96A8E"/>
    <w:rsid w:val="00EA11F2"/>
    <w:rsid w:val="00EA1665"/>
    <w:rsid w:val="00EA1922"/>
    <w:rsid w:val="00EA3004"/>
    <w:rsid w:val="00EA3416"/>
    <w:rsid w:val="00EA4B7E"/>
    <w:rsid w:val="00EA59CA"/>
    <w:rsid w:val="00EA6789"/>
    <w:rsid w:val="00EA6F9B"/>
    <w:rsid w:val="00EA7DCC"/>
    <w:rsid w:val="00EB0BB2"/>
    <w:rsid w:val="00EB369C"/>
    <w:rsid w:val="00EB55B7"/>
    <w:rsid w:val="00EC0292"/>
    <w:rsid w:val="00EC4A25"/>
    <w:rsid w:val="00EC55C0"/>
    <w:rsid w:val="00EC5B39"/>
    <w:rsid w:val="00ED26CB"/>
    <w:rsid w:val="00ED40DE"/>
    <w:rsid w:val="00ED461B"/>
    <w:rsid w:val="00ED6A47"/>
    <w:rsid w:val="00EE0817"/>
    <w:rsid w:val="00EE10B7"/>
    <w:rsid w:val="00EE141E"/>
    <w:rsid w:val="00EE1C1B"/>
    <w:rsid w:val="00EE48CD"/>
    <w:rsid w:val="00EE5AA7"/>
    <w:rsid w:val="00EF29F1"/>
    <w:rsid w:val="00EF5E69"/>
    <w:rsid w:val="00EF7451"/>
    <w:rsid w:val="00EF7BF5"/>
    <w:rsid w:val="00F025A2"/>
    <w:rsid w:val="00F04712"/>
    <w:rsid w:val="00F07C12"/>
    <w:rsid w:val="00F1763F"/>
    <w:rsid w:val="00F21311"/>
    <w:rsid w:val="00F22EC7"/>
    <w:rsid w:val="00F24920"/>
    <w:rsid w:val="00F262F6"/>
    <w:rsid w:val="00F26FCF"/>
    <w:rsid w:val="00F2776D"/>
    <w:rsid w:val="00F31384"/>
    <w:rsid w:val="00F325C8"/>
    <w:rsid w:val="00F3404A"/>
    <w:rsid w:val="00F35359"/>
    <w:rsid w:val="00F41962"/>
    <w:rsid w:val="00F43C54"/>
    <w:rsid w:val="00F44423"/>
    <w:rsid w:val="00F453AF"/>
    <w:rsid w:val="00F45F18"/>
    <w:rsid w:val="00F501B8"/>
    <w:rsid w:val="00F507C1"/>
    <w:rsid w:val="00F516AF"/>
    <w:rsid w:val="00F62AEB"/>
    <w:rsid w:val="00F62CE9"/>
    <w:rsid w:val="00F650CA"/>
    <w:rsid w:val="00F653B8"/>
    <w:rsid w:val="00F65AD8"/>
    <w:rsid w:val="00F65EC6"/>
    <w:rsid w:val="00F70647"/>
    <w:rsid w:val="00F70AE8"/>
    <w:rsid w:val="00F712B9"/>
    <w:rsid w:val="00F7142D"/>
    <w:rsid w:val="00F72696"/>
    <w:rsid w:val="00F73E0F"/>
    <w:rsid w:val="00F7437C"/>
    <w:rsid w:val="00F768E8"/>
    <w:rsid w:val="00F76A1C"/>
    <w:rsid w:val="00F778FF"/>
    <w:rsid w:val="00F81C7D"/>
    <w:rsid w:val="00F82350"/>
    <w:rsid w:val="00F8237D"/>
    <w:rsid w:val="00F85FAE"/>
    <w:rsid w:val="00F86365"/>
    <w:rsid w:val="00F86782"/>
    <w:rsid w:val="00F867A9"/>
    <w:rsid w:val="00F86A50"/>
    <w:rsid w:val="00F87D5B"/>
    <w:rsid w:val="00F914BD"/>
    <w:rsid w:val="00F91698"/>
    <w:rsid w:val="00F91BB5"/>
    <w:rsid w:val="00F92350"/>
    <w:rsid w:val="00F93150"/>
    <w:rsid w:val="00F9325D"/>
    <w:rsid w:val="00F937F5"/>
    <w:rsid w:val="00F97AFD"/>
    <w:rsid w:val="00F97B58"/>
    <w:rsid w:val="00F97C44"/>
    <w:rsid w:val="00FA02E0"/>
    <w:rsid w:val="00FA1266"/>
    <w:rsid w:val="00FA1E16"/>
    <w:rsid w:val="00FA2149"/>
    <w:rsid w:val="00FA2A9C"/>
    <w:rsid w:val="00FA531C"/>
    <w:rsid w:val="00FA62EC"/>
    <w:rsid w:val="00FB12F9"/>
    <w:rsid w:val="00FB1E10"/>
    <w:rsid w:val="00FB240F"/>
    <w:rsid w:val="00FB4F95"/>
    <w:rsid w:val="00FC1192"/>
    <w:rsid w:val="00FC79E6"/>
    <w:rsid w:val="00FD1E47"/>
    <w:rsid w:val="00FD2958"/>
    <w:rsid w:val="00FD2A35"/>
    <w:rsid w:val="00FD46C6"/>
    <w:rsid w:val="00FD5176"/>
    <w:rsid w:val="00FE3076"/>
    <w:rsid w:val="00FE44D7"/>
    <w:rsid w:val="00FE5478"/>
    <w:rsid w:val="00FF0630"/>
    <w:rsid w:val="00FF4DD2"/>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99"/>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rsid w:val="00E41D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4105825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115024103">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2651098">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087812">
      <w:bodyDiv w:val="1"/>
      <w:marLeft w:val="0"/>
      <w:marRight w:val="0"/>
      <w:marTop w:val="0"/>
      <w:marBottom w:val="0"/>
      <w:divBdr>
        <w:top w:val="none" w:sz="0" w:space="0" w:color="auto"/>
        <w:left w:val="none" w:sz="0" w:space="0" w:color="auto"/>
        <w:bottom w:val="none" w:sz="0" w:space="0" w:color="auto"/>
        <w:right w:val="none" w:sz="0" w:space="0" w:color="auto"/>
      </w:divBdr>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42838278">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1994335441">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187</TotalTime>
  <Pages>6</Pages>
  <Words>2633</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cp:lastModifiedBy>
  <cp:revision>246</cp:revision>
  <cp:lastPrinted>2019-02-25T14:05:00Z</cp:lastPrinted>
  <dcterms:created xsi:type="dcterms:W3CDTF">2025-03-19T07:22:00Z</dcterms:created>
  <dcterms:modified xsi:type="dcterms:W3CDTF">2025-05-08T22:46:00Z</dcterms:modified>
  <cp:category/>
</cp:coreProperties>
</file>