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宋体" w:cs="Times New Roman"/>
          <w:b/>
          <w:sz w:val="24"/>
          <w:szCs w:val="24"/>
          <w:lang w:val="en-US" w:eastAsia="zh-CN" w:bidi="ar-SA"/>
        </w:rPr>
        <w:t xml:space="preserve">29b                              R2-2502427 </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Wuhan, China, Apr.7th – 11st, 2025</w:t>
      </w:r>
      <w:bookmarkStart w:id="7" w:name="_GoBack"/>
      <w:bookmarkEnd w:id="7"/>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8.9.3</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uplink capacity enhancement</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lang w:val="en-US"/>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last RAN2#129 </w:t>
      </w:r>
      <w:r>
        <w:rPr>
          <w:rFonts w:hint="eastAsia" w:ascii="Arial" w:hAnsi="Arial" w:cs="Arial" w:eastAsiaTheme="minorEastAsia"/>
          <w:szCs w:val="20"/>
          <w:lang w:val="en-GB" w:eastAsia="zh-CN"/>
        </w:rPr>
        <w:t xml:space="preserve">meeting, </w:t>
      </w:r>
      <w:r>
        <w:rPr>
          <w:rFonts w:hint="eastAsia" w:ascii="Arial" w:hAnsi="Arial" w:cs="Arial" w:eastAsiaTheme="minorEastAsia"/>
          <w:szCs w:val="20"/>
          <w:lang w:val="en-US" w:eastAsia="zh-CN"/>
        </w:rPr>
        <w:t>the uplink capacity enhancement for IoT-NTN was discussed, and 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r>
        <w:rPr>
          <w:rFonts w:hint="eastAsia" w:ascii="Arial" w:hAnsi="Arial" w:cs="Arial" w:eastAsiaTheme="minorEastAsia"/>
          <w:szCs w:val="20"/>
          <w:lang w:val="en-GB" w:eastAsia="zh-CN"/>
        </w:rPr>
        <w:t xml:space="preserve"> </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Agreements:</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1.</w:t>
      </w:r>
      <w:r>
        <w:rPr>
          <w:rFonts w:ascii="Arial" w:hAnsi="Arial" w:eastAsia="Times New Roman" w:cs="Times New Roman"/>
          <w:lang w:val="en-GB" w:eastAsia="ja-JP" w:bidi="ar-SA"/>
        </w:rPr>
        <w:tab/>
      </w:r>
      <w:r>
        <w:rPr>
          <w:rFonts w:ascii="Arial" w:hAnsi="Arial" w:eastAsia="Times New Roman" w:cs="Times New Roman"/>
          <w:lang w:val="en-GB" w:eastAsia="ja-JP" w:bidi="ar-SA"/>
        </w:rPr>
        <w:t xml:space="preserve">It is FFS if separate CB-msg3 resources would be needed for CB-msg-3 using OCC or if the same CB-msg3 resources could be used </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2.</w:t>
      </w:r>
      <w:r>
        <w:rPr>
          <w:rFonts w:ascii="Arial" w:hAnsi="Arial" w:eastAsia="Times New Roman" w:cs="Times New Roman"/>
          <w:lang w:val="en-GB" w:eastAsia="ja-JP" w:bidi="ar-SA"/>
        </w:rPr>
        <w:tab/>
      </w:r>
      <w:r>
        <w:rPr>
          <w:rFonts w:ascii="Arial" w:hAnsi="Arial" w:eastAsia="Times New Roman" w:cs="Times New Roman"/>
          <w:lang w:val="en-GB" w:eastAsia="ja-JP" w:bidi="ar-SA"/>
        </w:rPr>
        <w:t>RAN2 assumes that one possibility to take power imbalance under control is to define RSRP ranges that need to be respected to transmit CB-msg3 using OCC</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3.</w:t>
      </w:r>
      <w:r>
        <w:rPr>
          <w:rFonts w:ascii="Arial" w:hAnsi="Arial" w:eastAsia="Times New Roman" w:cs="Times New Roman"/>
          <w:lang w:val="en-GB" w:eastAsia="ja-JP" w:bidi="ar-SA"/>
        </w:rPr>
        <w:tab/>
      </w:r>
      <w:r>
        <w:rPr>
          <w:rFonts w:ascii="Arial" w:hAnsi="Arial" w:eastAsia="Times New Roman" w:cs="Times New Roman"/>
          <w:lang w:val="en-GB" w:eastAsia="ja-JP" w:bidi="ar-SA"/>
        </w:rPr>
        <w:t>RAN2 assumes that at least the following will be part of the shared resources configuration for CB-msg3 (FFS on other aspects)</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ab/>
      </w:r>
      <w:r>
        <w:rPr>
          <w:rFonts w:ascii="Arial" w:hAnsi="Arial" w:eastAsia="Times New Roman" w:cs="Times New Roman"/>
          <w:lang w:val="en-GB" w:eastAsia="ja-JP" w:bidi="ar-SA"/>
        </w:rPr>
        <w:t>-</w:t>
      </w:r>
      <w:r>
        <w:rPr>
          <w:rFonts w:ascii="Arial" w:hAnsi="Arial" w:eastAsia="Times New Roman" w:cs="Times New Roman"/>
          <w:lang w:val="en-GB" w:eastAsia="ja-JP" w:bidi="ar-SA"/>
        </w:rPr>
        <w:tab/>
      </w:r>
      <w:r>
        <w:rPr>
          <w:rFonts w:ascii="Arial" w:hAnsi="Arial" w:eastAsia="Times New Roman" w:cs="Times New Roman"/>
          <w:lang w:val="en-GB" w:eastAsia="ja-JP" w:bidi="ar-SA"/>
        </w:rPr>
        <w:t>Time domain resources for (N)PUSCH occasions: periodicity and start time (e.g., start subframe, start SFN)</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ab/>
      </w:r>
      <w:r>
        <w:rPr>
          <w:rFonts w:ascii="Arial" w:hAnsi="Arial" w:eastAsia="Times New Roman" w:cs="Times New Roman"/>
          <w:lang w:val="en-GB" w:eastAsia="ja-JP" w:bidi="ar-SA"/>
        </w:rPr>
        <w:t>-</w:t>
      </w:r>
      <w:r>
        <w:rPr>
          <w:rFonts w:ascii="Arial" w:hAnsi="Arial" w:eastAsia="Times New Roman" w:cs="Times New Roman"/>
          <w:lang w:val="en-GB" w:eastAsia="ja-JP" w:bidi="ar-SA"/>
        </w:rPr>
        <w:tab/>
      </w:r>
      <w:r>
        <w:rPr>
          <w:rFonts w:ascii="Arial" w:hAnsi="Arial" w:eastAsia="Times New Roman" w:cs="Times New Roman"/>
          <w:lang w:val="en-GB" w:eastAsia="ja-JP" w:bidi="ar-SA"/>
        </w:rPr>
        <w:t xml:space="preserve">Frequency domain resources for (N)PUSCH occasions </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ab/>
      </w:r>
      <w:r>
        <w:rPr>
          <w:rFonts w:ascii="Arial" w:hAnsi="Arial" w:eastAsia="Times New Roman" w:cs="Times New Roman"/>
          <w:lang w:val="en-GB" w:eastAsia="ja-JP" w:bidi="ar-SA"/>
        </w:rPr>
        <w:t>-</w:t>
      </w:r>
      <w:r>
        <w:rPr>
          <w:rFonts w:ascii="Arial" w:hAnsi="Arial" w:eastAsia="Times New Roman" w:cs="Times New Roman"/>
          <w:lang w:val="en-GB" w:eastAsia="ja-JP" w:bidi="ar-SA"/>
        </w:rPr>
        <w:tab/>
      </w:r>
      <w:r>
        <w:rPr>
          <w:rFonts w:ascii="Arial" w:hAnsi="Arial" w:eastAsia="Times New Roman" w:cs="Times New Roman"/>
          <w:lang w:val="en-GB" w:eastAsia="ja-JP" w:bidi="ar-SA"/>
        </w:rPr>
        <w:t>repetition number</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ab/>
      </w:r>
      <w:r>
        <w:rPr>
          <w:rFonts w:ascii="Arial" w:hAnsi="Arial" w:eastAsia="Times New Roman" w:cs="Times New Roman"/>
          <w:lang w:val="en-GB" w:eastAsia="ja-JP" w:bidi="ar-SA"/>
        </w:rPr>
        <w:t>-</w:t>
      </w:r>
      <w:r>
        <w:rPr>
          <w:rFonts w:ascii="Arial" w:hAnsi="Arial" w:eastAsia="Times New Roman" w:cs="Times New Roman"/>
          <w:lang w:val="en-GB" w:eastAsia="ja-JP" w:bidi="ar-SA"/>
        </w:rPr>
        <w:tab/>
      </w:r>
      <w:r>
        <w:rPr>
          <w:rFonts w:ascii="Arial" w:hAnsi="Arial" w:eastAsia="Times New Roman" w:cs="Times New Roman"/>
          <w:lang w:val="en-GB" w:eastAsia="ja-JP" w:bidi="ar-SA"/>
        </w:rPr>
        <w:t>(N)PDCCH resource</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ab/>
      </w:r>
      <w:r>
        <w:rPr>
          <w:rFonts w:ascii="Arial" w:hAnsi="Arial" w:eastAsia="Times New Roman" w:cs="Times New Roman"/>
          <w:lang w:val="en-GB" w:eastAsia="ja-JP" w:bidi="ar-SA"/>
        </w:rPr>
        <w:t>-</w:t>
      </w:r>
      <w:r>
        <w:rPr>
          <w:rFonts w:ascii="Arial" w:hAnsi="Arial" w:eastAsia="Times New Roman" w:cs="Times New Roman"/>
          <w:lang w:val="en-GB" w:eastAsia="ja-JP" w:bidi="ar-SA"/>
        </w:rPr>
        <w:tab/>
      </w:r>
      <w:r>
        <w:rPr>
          <w:rFonts w:ascii="Arial" w:hAnsi="Arial" w:eastAsia="Times New Roman" w:cs="Times New Roman"/>
          <w:lang w:val="en-GB" w:eastAsia="ja-JP" w:bidi="ar-SA"/>
        </w:rPr>
        <w:t>MCS</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4.</w:t>
      </w:r>
      <w:r>
        <w:rPr>
          <w:rFonts w:ascii="Arial" w:hAnsi="Arial" w:eastAsia="Times New Roman" w:cs="Times New Roman"/>
          <w:lang w:val="en-GB" w:eastAsia="ja-JP" w:bidi="ar-SA"/>
        </w:rPr>
        <w:tab/>
      </w:r>
      <w:r>
        <w:rPr>
          <w:rFonts w:ascii="Arial" w:hAnsi="Arial" w:eastAsia="Times New Roman" w:cs="Times New Roman"/>
          <w:lang w:val="en-GB" w:eastAsia="ja-JP" w:bidi="ar-SA"/>
        </w:rPr>
        <w:t>For CB-msg3 transmission, for eMTC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5.</w:t>
      </w:r>
      <w:r>
        <w:rPr>
          <w:rFonts w:ascii="Arial" w:hAnsi="Arial" w:eastAsia="Times New Roman" w:cs="Times New Roman"/>
          <w:lang w:val="en-GB" w:eastAsia="ja-JP" w:bidi="ar-SA"/>
        </w:rPr>
        <w:tab/>
      </w:r>
      <w:r>
        <w:rPr>
          <w:rFonts w:ascii="Arial" w:hAnsi="Arial" w:eastAsia="Times New Roman" w:cs="Times New Roman"/>
          <w:lang w:val="en-GB" w:eastAsia="ja-JP" w:bidi="ar-SA"/>
        </w:rPr>
        <w:t>The UE shall at most have one ongoing CB EDT procedure at any time.</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6.</w:t>
      </w:r>
      <w:r>
        <w:rPr>
          <w:rFonts w:ascii="Arial" w:hAnsi="Arial" w:eastAsia="Times New Roman" w:cs="Times New Roman"/>
          <w:lang w:val="en-GB" w:eastAsia="ja-JP" w:bidi="ar-SA"/>
        </w:rPr>
        <w:tab/>
      </w:r>
      <w:r>
        <w:rPr>
          <w:rFonts w:ascii="Arial" w:hAnsi="Arial" w:eastAsia="Times New Roman" w:cs="Times New Roman"/>
          <w:lang w:val="en-GB" w:eastAsia="ja-JP" w:bidi="ar-SA"/>
        </w:rPr>
        <w:t>The CB EDT Config has one minimum RSRP threshold (as agreed in RAN2#128) to use CB EDT.</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7.</w:t>
      </w:r>
      <w:r>
        <w:rPr>
          <w:rFonts w:ascii="Arial" w:hAnsi="Arial" w:eastAsia="Times New Roman" w:cs="Times New Roman"/>
          <w:lang w:val="en-GB" w:eastAsia="ja-JP" w:bidi="ar-SA"/>
        </w:rPr>
        <w:tab/>
      </w:r>
      <w:r>
        <w:rPr>
          <w:rFonts w:ascii="Arial" w:hAnsi="Arial" w:eastAsia="Times New Roman" w:cs="Times New Roman"/>
          <w:lang w:val="en-GB" w:eastAsia="ja-JP" w:bidi="ar-SA"/>
        </w:rPr>
        <w:t>The CB EDT Config has two RSRP thresholds for NB-IoT for the three CE levels.</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8.</w:t>
      </w:r>
      <w:r>
        <w:rPr>
          <w:rFonts w:ascii="Arial" w:hAnsi="Arial" w:eastAsia="Times New Roman" w:cs="Times New Roman"/>
          <w:lang w:val="en-GB" w:eastAsia="ja-JP" w:bidi="ar-SA"/>
        </w:rPr>
        <w:tab/>
      </w:r>
      <w:r>
        <w:rPr>
          <w:rFonts w:ascii="Arial" w:hAnsi="Arial" w:eastAsia="Times New Roman" w:cs="Times New Roman"/>
          <w:lang w:val="en-GB" w:eastAsia="ja-JP" w:bidi="ar-SA"/>
        </w:rPr>
        <w:t>CB EDT Config has three RSRP thresholds for eMTC for the four CE levels.</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7.</w:t>
      </w:r>
      <w:r>
        <w:rPr>
          <w:rFonts w:ascii="Arial" w:hAnsi="Arial" w:eastAsia="Times New Roman" w:cs="Times New Roman"/>
          <w:lang w:val="en-GB" w:eastAsia="ja-JP" w:bidi="ar-SA"/>
        </w:rPr>
        <w:tab/>
      </w:r>
      <w:r>
        <w:rPr>
          <w:rFonts w:ascii="Arial" w:hAnsi="Arial" w:eastAsia="Times New Roman" w:cs="Times New Roman"/>
          <w:lang w:val="en-GB" w:eastAsia="ja-JP" w:bidi="ar-SA"/>
        </w:rPr>
        <w:t>As Signalling design Baseline RAN2 assumes the PUR config and the NPRACH config for shared (N)PUSCH config can be used and some of the parameters can be included in a new CB EDT config.</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8.</w:t>
      </w:r>
      <w:r>
        <w:rPr>
          <w:rFonts w:ascii="Arial" w:hAnsi="Arial" w:eastAsia="Times New Roman" w:cs="Times New Roman"/>
          <w:lang w:val="en-GB" w:eastAsia="ja-JP" w:bidi="ar-SA"/>
        </w:rPr>
        <w:tab/>
      </w:r>
      <w:r>
        <w:rPr>
          <w:rFonts w:ascii="Arial" w:hAnsi="Arial" w:eastAsia="Times New Roman" w:cs="Times New Roman"/>
          <w:lang w:val="en-GB" w:eastAsia="ja-JP" w:bidi="ar-SA"/>
        </w:rPr>
        <w:t>RAN2 consider a new CBEDT-ConfigSIB-NB IE for configuring the CB EDT feature</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 xml:space="preserve">Working assumption: </w:t>
      </w:r>
    </w:p>
    <w:p>
      <w:pPr>
        <w:numPr>
          <w:ilvl w:val="0"/>
          <w:numId w:val="6"/>
        </w:numPr>
        <w:pBdr>
          <w:top w:val="single" w:color="auto" w:sz="4" w:space="1"/>
          <w:left w:val="single" w:color="auto" w:sz="4" w:space="4"/>
          <w:bottom w:val="single" w:color="auto" w:sz="4" w:space="1"/>
          <w:right w:val="single" w:color="auto" w:sz="4" w:space="4"/>
        </w:pBdr>
        <w:tabs>
          <w:tab w:val="left" w:pos="1622"/>
        </w:tabs>
        <w:overflowPunct/>
        <w:autoSpaceDE/>
        <w:autoSpaceDN/>
        <w:adjustRightInd/>
        <w:spacing w:before="0"/>
        <w:ind w:left="1619" w:hanging="360"/>
        <w:textAlignment w:val="auto"/>
        <w:rPr>
          <w:rFonts w:ascii="Arial" w:hAnsi="Arial" w:eastAsia="Times New Roman" w:cs="Times New Roman"/>
          <w:lang w:val="en-GB" w:eastAsia="ja-JP" w:bidi="ar-SA"/>
        </w:rPr>
      </w:pPr>
      <w:r>
        <w:rPr>
          <w:rFonts w:ascii="Arial" w:hAnsi="Arial" w:eastAsia="Times New Roman" w:cs="Times New Roman"/>
          <w:lang w:val="en-GB" w:eastAsia="ja-JP" w:bidi="ar-SA"/>
        </w:rPr>
        <w:t>One CB-MSG4 can target multiple UEs simultaneously (FFS on the details)</w:t>
      </w:r>
    </w:p>
    <w:p>
      <w:pPr>
        <w:numPr>
          <w:ilvl w:val="0"/>
          <w:numId w:val="6"/>
        </w:numPr>
        <w:pBdr>
          <w:top w:val="single" w:color="auto" w:sz="4" w:space="1"/>
          <w:left w:val="single" w:color="auto" w:sz="4" w:space="4"/>
          <w:bottom w:val="single" w:color="auto" w:sz="4" w:space="1"/>
          <w:right w:val="single" w:color="auto" w:sz="4" w:space="4"/>
        </w:pBdr>
        <w:tabs>
          <w:tab w:val="left" w:pos="1622"/>
        </w:tabs>
        <w:overflowPunct/>
        <w:autoSpaceDE/>
        <w:autoSpaceDN/>
        <w:adjustRightInd/>
        <w:spacing w:before="0"/>
        <w:ind w:left="1619" w:hanging="360"/>
        <w:textAlignment w:val="auto"/>
        <w:rPr>
          <w:rFonts w:ascii="Arial" w:hAnsi="Arial" w:eastAsia="Times New Roman" w:cs="Times New Roman"/>
          <w:lang w:val="en-GB" w:eastAsia="ja-JP" w:bidi="ar-SA"/>
        </w:rPr>
      </w:pPr>
      <w:r>
        <w:rPr>
          <w:rFonts w:ascii="Arial" w:hAnsi="Arial" w:eastAsia="Times New Roman" w:cs="Times New Roman"/>
          <w:lang w:val="en-GB" w:eastAsia="ja-JP" w:bidi="ar-SA"/>
        </w:rPr>
        <w:t>For CB-MSG3, the Transmission window is configured by the network with a starting point (e.g. H-SFN offset), a window length, and a window periodicity (window length and periodicity could be the same). For k=1 the window length can be equal to 1: same behaviour as today</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ab/>
      </w:r>
      <w:r>
        <w:rPr>
          <w:rFonts w:ascii="Arial" w:hAnsi="Arial" w:eastAsia="Times New Roman" w:cs="Times New Roman"/>
          <w:lang w:val="en-GB" w:eastAsia="ja-JP" w:bidi="ar-SA"/>
        </w:rPr>
        <w:t xml:space="preserve">The UE first selects the next DSA transmission window and then randomly select K replicasinside the window. </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ab/>
      </w:r>
      <w:r>
        <w:rPr>
          <w:rFonts w:ascii="Arial" w:hAnsi="Arial" w:eastAsia="Times New Roman" w:cs="Times New Roman"/>
          <w:lang w:val="en-GB" w:eastAsia="ja-JP" w:bidi="ar-SA"/>
        </w:rPr>
        <w:t>RAN2 assumes that a pointer solution is not needed in Rel-19</w:t>
      </w: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eastAsia="MS Mincho" w:cs="Arial"/>
          <w:sz w:val="21"/>
          <w:szCs w:val="20"/>
          <w:lang w:eastAsia="zh-CN"/>
        </w:rPr>
      </w:pPr>
      <w:r>
        <w:rPr>
          <w:rFonts w:hint="eastAsia" w:ascii="Arial" w:hAnsi="Arial" w:cs="Arial"/>
          <w:szCs w:val="20"/>
        </w:rPr>
        <w:t xml:space="preserve"> In this contribution, we provide our views on t</w:t>
      </w:r>
      <w:r>
        <w:rPr>
          <w:rFonts w:hint="eastAsia" w:ascii="Arial" w:hAnsi="Arial" w:eastAsia="宋体" w:cs="Arial"/>
          <w:szCs w:val="20"/>
          <w:lang w:val="en-US" w:eastAsia="zh-CN"/>
        </w:rPr>
        <w:t>hes</w:t>
      </w:r>
      <w:r>
        <w:rPr>
          <w:rFonts w:hint="eastAsia" w:ascii="Arial" w:hAnsi="Arial" w:eastAsia="MS Mincho" w:cs="Arial"/>
          <w:sz w:val="21"/>
          <w:szCs w:val="20"/>
          <w:lang w:val="en-US" w:eastAsia="zh-CN"/>
        </w:rPr>
        <w:t>e</w:t>
      </w:r>
      <w:r>
        <w:rPr>
          <w:rFonts w:hint="eastAsia" w:ascii="Arial" w:hAnsi="Arial" w:cs="Arial"/>
          <w:sz w:val="21"/>
          <w:szCs w:val="20"/>
        </w:rPr>
        <w:t xml:space="preserve"> issue</w:t>
      </w:r>
      <w:r>
        <w:rPr>
          <w:rFonts w:hint="eastAsia" w:ascii="Arial" w:hAnsi="Arial" w:eastAsia="MS Mincho" w:cs="Arial"/>
          <w:sz w:val="21"/>
          <w:szCs w:val="20"/>
          <w:lang w:val="en-US" w:eastAsia="zh-CN"/>
        </w:rPr>
        <w:t xml:space="preserve">s </w:t>
      </w:r>
      <w:r>
        <w:rPr>
          <w:rFonts w:hint="eastAsia" w:ascii="Arial" w:hAnsi="Arial" w:cs="Arial"/>
          <w:sz w:val="21"/>
          <w:szCs w:val="20"/>
        </w:rPr>
        <w:t xml:space="preserve">to proceed the </w:t>
      </w:r>
      <w:r>
        <w:rPr>
          <w:rFonts w:hint="eastAsia" w:ascii="Arial" w:hAnsi="Arial" w:eastAsia="MS Mincho" w:cs="Arial"/>
          <w:sz w:val="21"/>
          <w:szCs w:val="20"/>
          <w:lang w:val="en-US" w:eastAsia="zh-CN"/>
        </w:rPr>
        <w:t>work item.</w:t>
      </w:r>
    </w:p>
    <w:p>
      <w:pPr>
        <w:pStyle w:val="2"/>
        <w:keepLines/>
        <w:pBdr>
          <w:top w:val="single" w:color="auto" w:sz="12" w:space="3"/>
        </w:pBdr>
        <w:spacing w:before="240" w:after="180"/>
        <w:ind w:left="425" w:hanging="425"/>
        <w:jc w:val="both"/>
      </w:pPr>
      <w:r>
        <w:t>Discussion</w:t>
      </w:r>
    </w:p>
    <w:p>
      <w:pPr>
        <w:pStyle w:val="3"/>
        <w:bidi w:val="0"/>
        <w:rPr>
          <w:rFonts w:hint="default"/>
          <w:lang w:val="en-US" w:eastAsia="zh-CN"/>
        </w:rPr>
      </w:pPr>
      <w:r>
        <w:rPr>
          <w:rFonts w:hint="eastAsia"/>
          <w:lang w:val="en-US" w:eastAsia="zh-CN"/>
        </w:rPr>
        <w:t xml:space="preserve"> DSA for CB-Msg3</w:t>
      </w:r>
    </w:p>
    <w:p>
      <w:pPr>
        <w:spacing w:before="240" w:line="360" w:lineRule="auto"/>
        <w:rPr>
          <w:rFonts w:hint="eastAsia" w:ascii="Arial" w:hAnsi="Arial" w:eastAsia="宋体" w:cs="Arial"/>
          <w:sz w:val="21"/>
          <w:szCs w:val="20"/>
          <w:lang w:val="en-US" w:eastAsia="zh-CN" w:bidi="ar-SA"/>
        </w:rPr>
      </w:pPr>
      <w:r>
        <w:rPr>
          <w:rFonts w:hint="eastAsia" w:ascii="Arial" w:hAnsi="Arial" w:eastAsia="宋体" w:cs="Arial"/>
          <w:sz w:val="21"/>
          <w:szCs w:val="20"/>
          <w:lang w:val="en-US" w:eastAsia="zh-CN" w:bidi="ar-SA"/>
        </w:rPr>
        <w:t>It has made the agreement that the DSA will be supported, there will be a configurable time window for the UE to select CB-Msg3 occasion to transmit the replicas of the CB-Msg3 and the number of replicas for DSA is configured by the NW. After the UE transmits the replicas of the CB-Msg3, the UE has to monitor the PDCCH addressed by RNTI in a PDCCH monitoring window for contention resolution, the RNTI is derived based on the resource associated to the occasion. As there may be multiple occasion to transmit CB-Msg3 replicas, there maybe a chance that the UE has to monitor multiple RNTI in a period. This may exceed UE</w:t>
      </w:r>
      <w:r>
        <w:rPr>
          <w:rFonts w:hint="default" w:ascii="Arial" w:hAnsi="Arial" w:eastAsia="宋体" w:cs="Arial"/>
          <w:sz w:val="21"/>
          <w:szCs w:val="20"/>
          <w:lang w:val="en-US" w:eastAsia="zh-CN" w:bidi="ar-SA"/>
        </w:rPr>
        <w:t>’</w:t>
      </w:r>
      <w:r>
        <w:rPr>
          <w:rFonts w:hint="eastAsia" w:ascii="Arial" w:hAnsi="Arial" w:eastAsia="宋体" w:cs="Arial"/>
          <w:sz w:val="21"/>
          <w:szCs w:val="20"/>
          <w:lang w:val="en-US" w:eastAsia="zh-CN" w:bidi="ar-SA"/>
        </w:rPr>
        <w:t>s capability or increace the UE</w:t>
      </w:r>
      <w:r>
        <w:rPr>
          <w:rFonts w:hint="default" w:ascii="Arial" w:hAnsi="Arial" w:eastAsia="宋体" w:cs="Arial"/>
          <w:sz w:val="21"/>
          <w:szCs w:val="20"/>
          <w:lang w:val="en-US" w:eastAsia="zh-CN" w:bidi="ar-SA"/>
        </w:rPr>
        <w:t>’</w:t>
      </w:r>
      <w:r>
        <w:rPr>
          <w:rFonts w:hint="eastAsia" w:ascii="Arial" w:hAnsi="Arial" w:eastAsia="宋体" w:cs="Arial"/>
          <w:sz w:val="21"/>
          <w:szCs w:val="20"/>
          <w:lang w:val="en-US" w:eastAsia="zh-CN" w:bidi="ar-SA"/>
        </w:rPr>
        <w:t>s complexity. So it better for the UE to monitor only one RNTI.</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US" w:eastAsia="zh-CN"/>
        </w:rPr>
        <w:t>Proposal 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UE monitors only one RNTI in the </w:t>
      </w:r>
      <w:r>
        <w:rPr>
          <w:rFonts w:hint="eastAsia" w:ascii="Arial" w:hAnsi="Arial" w:eastAsia="宋体" w:cs="Arial"/>
          <w:sz w:val="21"/>
          <w:szCs w:val="20"/>
          <w:lang w:val="en-US" w:eastAsia="zh-CN" w:bidi="ar-SA"/>
        </w:rPr>
        <w:t>PDCCH monitoring window</w:t>
      </w:r>
      <w:r>
        <w:rPr>
          <w:rFonts w:hint="eastAsia" w:ascii="Arial" w:hAnsi="Arial" w:cs="Arial" w:eastAsiaTheme="minorEastAsia"/>
          <w:bCs w:val="0"/>
          <w:sz w:val="20"/>
          <w:szCs w:val="20"/>
          <w:lang w:val="en-US" w:eastAsia="zh-CN"/>
        </w:rPr>
        <w:t>.</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b w:val="0"/>
          <w:bCs w:val="0"/>
          <w:sz w:val="21"/>
          <w:szCs w:val="20"/>
          <w:lang w:val="en-US" w:eastAsia="zh-CN"/>
        </w:rPr>
      </w:pPr>
      <w:r>
        <w:rPr>
          <w:rFonts w:hint="eastAsia" w:ascii="Arial" w:hAnsi="Arial" w:eastAsia="宋体" w:cs="Arial"/>
          <w:b w:val="0"/>
          <w:bCs w:val="0"/>
          <w:sz w:val="21"/>
          <w:szCs w:val="20"/>
          <w:lang w:val="en-US" w:eastAsia="zh-CN"/>
        </w:rPr>
        <w:t>Regarding how the RNTI is derived, there are 2 approaches:</w:t>
      </w:r>
    </w:p>
    <w:p>
      <w:pPr>
        <w:pStyle w:val="94"/>
        <w:keepLines w:val="0"/>
        <w:pageBreakBefore w:val="0"/>
        <w:widowControl w:val="0"/>
        <w:numPr>
          <w:ilvl w:val="-1"/>
          <w:numId w:val="0"/>
        </w:numPr>
        <w:tabs>
          <w:tab w:val="clear" w:pos="1304"/>
        </w:tabs>
        <w:kinsoku/>
        <w:wordWrap/>
        <w:overflowPunct/>
        <w:topLinePunct w:val="0"/>
        <w:autoSpaceDE/>
        <w:autoSpaceDN/>
        <w:bidi w:val="0"/>
        <w:adjustRightInd/>
        <w:snapToGrid/>
        <w:spacing w:before="361" w:beforeLines="100" w:after="0" w:line="360" w:lineRule="auto"/>
        <w:ind w:left="0" w:leftChars="0" w:firstLine="0"/>
        <w:textAlignment w:val="auto"/>
        <w:rPr>
          <w:rFonts w:hint="eastAsia" w:ascii="Arial" w:hAnsi="Arial" w:eastAsia="宋体" w:cs="Arial"/>
          <w:b w:val="0"/>
          <w:bCs w:val="0"/>
          <w:sz w:val="21"/>
          <w:szCs w:val="20"/>
          <w:lang w:val="en-US" w:eastAsia="zh-CN"/>
        </w:rPr>
      </w:pPr>
      <w:r>
        <w:rPr>
          <w:rFonts w:hint="eastAsia" w:ascii="Arial" w:hAnsi="Arial" w:eastAsia="宋体" w:cs="Arial"/>
          <w:b w:val="0"/>
          <w:bCs w:val="0"/>
          <w:sz w:val="21"/>
          <w:szCs w:val="20"/>
          <w:lang w:val="en-US" w:eastAsia="zh-CN"/>
        </w:rPr>
        <w:t>1、The RNTI is derived based on the one of the resource location of the replicas the UE intended to send(e.g. the first replica). As the resource locations of the replicas are randomly selected by the UE, to make the network derive the same RNTI, the derived RNTI or resouce location used to derive RNTI can be included in the CB-Msg3.</w:t>
      </w:r>
    </w:p>
    <w:p>
      <w:pPr>
        <w:pStyle w:val="94"/>
        <w:keepLines w:val="0"/>
        <w:pageBreakBefore w:val="0"/>
        <w:widowControl w:val="0"/>
        <w:numPr>
          <w:ilvl w:val="-1"/>
          <w:numId w:val="0"/>
        </w:numPr>
        <w:tabs>
          <w:tab w:val="clear" w:pos="1304"/>
        </w:tabs>
        <w:kinsoku/>
        <w:wordWrap/>
        <w:overflowPunct/>
        <w:topLinePunct w:val="0"/>
        <w:autoSpaceDE/>
        <w:autoSpaceDN/>
        <w:bidi w:val="0"/>
        <w:adjustRightInd/>
        <w:snapToGrid/>
        <w:spacing w:before="361" w:beforeLines="100" w:after="0" w:line="360" w:lineRule="auto"/>
        <w:ind w:left="0" w:leftChars="0" w:firstLine="0"/>
        <w:textAlignment w:val="auto"/>
        <w:rPr>
          <w:rFonts w:hint="eastAsia" w:ascii="Arial" w:hAnsi="Arial" w:eastAsia="宋体" w:cs="Arial"/>
          <w:b w:val="0"/>
          <w:bCs w:val="0"/>
          <w:sz w:val="21"/>
          <w:szCs w:val="20"/>
          <w:lang w:val="en-US" w:eastAsia="zh-CN"/>
        </w:rPr>
      </w:pPr>
      <w:r>
        <w:rPr>
          <w:rFonts w:hint="eastAsia" w:ascii="Arial" w:hAnsi="Arial" w:eastAsia="宋体" w:cs="Arial"/>
          <w:b w:val="0"/>
          <w:bCs w:val="0"/>
          <w:sz w:val="21"/>
          <w:szCs w:val="20"/>
          <w:lang w:val="en-US" w:eastAsia="zh-CN"/>
        </w:rPr>
        <w:t>2、The RNTI is derived based on the time window the UE selects CB-Msg3 occasion to transmit CB-Msg3. In this way, all the UEs sending the CB-Msg3 replica using the same time winow use the same RNTI.</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bookmarkStart w:id="1" w:name="OLE_LINK1"/>
      <w:r>
        <w:rPr>
          <w:rFonts w:hint="eastAsia" w:ascii="Arial" w:hAnsi="Arial" w:cs="Arial" w:eastAsiaTheme="minorEastAsia"/>
          <w:bCs w:val="0"/>
          <w:sz w:val="20"/>
          <w:szCs w:val="20"/>
          <w:lang w:val="en-US" w:eastAsia="zh-CN"/>
        </w:rPr>
        <w:t>Proposal 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consider the following approach to derive RNTI:</w:t>
      </w:r>
    </w:p>
    <w:bookmarkEnd w:id="1"/>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0" w:beforeLines="0" w:after="0" w:line="360" w:lineRule="auto"/>
        <w:ind w:leftChars="0"/>
        <w:textAlignment w:val="auto"/>
        <w:rPr>
          <w:rFonts w:hint="eastAsia" w:ascii="Arial" w:hAnsi="Arial" w:cs="Arial" w:eastAsiaTheme="minorEastAsia"/>
          <w:b/>
          <w:bCs w:val="0"/>
          <w:sz w:val="20"/>
          <w:szCs w:val="20"/>
          <w:lang w:val="en-US" w:eastAsia="zh-CN"/>
        </w:rPr>
      </w:pPr>
      <w:r>
        <w:rPr>
          <w:rFonts w:hint="eastAsia" w:ascii="Arial" w:hAnsi="Arial" w:cs="Arial" w:eastAsiaTheme="minorEastAsia"/>
          <w:bCs w:val="0"/>
          <w:sz w:val="20"/>
          <w:szCs w:val="20"/>
          <w:lang w:val="en-US" w:eastAsia="zh-CN"/>
        </w:rPr>
        <w:t>1、</w:t>
      </w:r>
      <w:r>
        <w:rPr>
          <w:rFonts w:hint="eastAsia" w:ascii="Arial" w:hAnsi="Arial" w:cs="Arial" w:eastAsiaTheme="minorEastAsia"/>
          <w:b/>
          <w:bCs w:val="0"/>
          <w:sz w:val="20"/>
          <w:szCs w:val="20"/>
          <w:lang w:val="en-US" w:eastAsia="zh-CN"/>
        </w:rPr>
        <w:t>The RNTI is derived based on one of the resource location of the replicas the UE intended to send.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0" w:beforeLines="0" w:after="0" w:line="360" w:lineRule="auto"/>
        <w:ind w:leftChars="0"/>
        <w:textAlignment w:val="auto"/>
        <w:rPr>
          <w:rFonts w:hint="eastAsia" w:ascii="Arial" w:hAnsi="Arial" w:cs="Arial" w:eastAsiaTheme="minorEastAsia"/>
          <w:b/>
          <w:bCs w:val="0"/>
          <w:sz w:val="20"/>
          <w:szCs w:val="20"/>
          <w:lang w:val="en-US" w:eastAsia="zh-CN"/>
        </w:rPr>
      </w:pPr>
      <w:r>
        <w:rPr>
          <w:rFonts w:hint="eastAsia" w:ascii="Arial" w:hAnsi="Arial" w:cs="Arial" w:eastAsiaTheme="minorEastAsia"/>
          <w:b/>
          <w:bCs w:val="0"/>
          <w:sz w:val="20"/>
          <w:szCs w:val="20"/>
          <w:lang w:val="en-US" w:eastAsia="zh-CN"/>
        </w:rPr>
        <w:t>2、The RNTI is derived based on the time window the UE selects CB-Msg3 occasion to transmit CB-Msg3.</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0" w:beforeLines="0" w:after="0" w:line="360" w:lineRule="auto"/>
        <w:ind w:leftChars="0"/>
        <w:textAlignment w:val="auto"/>
        <w:rPr>
          <w:rFonts w:hint="eastAsia" w:ascii="Arial" w:hAnsi="Arial" w:cs="Arial" w:eastAsiaTheme="minorEastAsia"/>
          <w:b/>
          <w:bCs w:val="0"/>
          <w:sz w:val="20"/>
          <w:szCs w:val="20"/>
          <w:lang w:val="en-US" w:eastAsia="zh-CN"/>
        </w:rPr>
      </w:pP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0" w:beforeLines="0" w:after="0" w:line="360" w:lineRule="auto"/>
        <w:ind w:leftChars="0"/>
        <w:textAlignment w:val="auto"/>
        <w:rPr>
          <w:rFonts w:hint="default"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In last meeting it has agreed that there will be two RSRP thresholds for NB-IoT for the three CE levels and three RSRP thresholds for eMTC for the four CE levels, the UE selects the CE level based on the RSRP threshold. In the legacy RACH procedure there will be CE level increase after consecutive transmission failures, this is reasonable for failures caused by RF condition as higher CE level has higher repetition number which increases the transmission success rate. However, as the CB-Msg3 resources are shared between UEs and the change of RSRP is not obvious in NTN, it means the UEs may more likely select the same CE level and the failure may more likely caused by resource collision. So if the CE level increase mechanism is considered for CB-Msg3, it has to distinguish the consecutive failure reason. If the consecutive failures are mainly caused by RF condition, the UE increase the CE level to have another try, how to distinguish whether the consecutive failures are mainly caused by RF condition or resource collision can be FFS.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bCs w:val="0"/>
          <w:sz w:val="20"/>
          <w:szCs w:val="20"/>
          <w:lang w:val="en-US" w:eastAsia="zh-CN"/>
        </w:rPr>
        <w:t>Proposal 3</w:t>
      </w:r>
      <w:r>
        <w:rPr>
          <w:rFonts w:hint="eastAsia" w:ascii="Arial" w:hAnsi="Arial" w:cs="Arial" w:eastAsiaTheme="minorEastAsia"/>
          <w:b/>
          <w:bCs w:val="0"/>
          <w:sz w:val="20"/>
          <w:szCs w:val="20"/>
          <w:lang w:val="en-GB" w:eastAsia="zh-CN"/>
        </w:rPr>
        <w:t>:</w:t>
      </w:r>
      <w:r>
        <w:rPr>
          <w:rFonts w:hint="eastAsia" w:ascii="Arial" w:hAnsi="Arial" w:cs="Arial" w:eastAsiaTheme="minorEastAsia"/>
          <w:b/>
          <w:bCs w:val="0"/>
          <w:sz w:val="20"/>
          <w:szCs w:val="20"/>
          <w:lang w:val="en-US" w:eastAsia="zh-CN"/>
        </w:rPr>
        <w:t xml:space="preserve"> the CE level increase mechanism can be considered for CB-Msg3, if the consecutive failures are mainly caused by RF condition,the UE can increase CE level, how to distinguish the failure causes can be FFS</w:t>
      </w:r>
      <w:r>
        <w:rPr>
          <w:rFonts w:hint="eastAsia" w:ascii="Arial" w:hAnsi="Arial" w:cs="Arial" w:eastAsiaTheme="minorEastAsia"/>
          <w:b w:val="0"/>
          <w:bCs/>
          <w:sz w:val="20"/>
          <w:szCs w:val="20"/>
          <w:lang w:val="en-US" w:eastAsia="zh-CN"/>
        </w:rPr>
        <w:t>.</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If the UE has distinguish that the consecutive failures are mainly caused by resource collision, some mechanism can be considered. For example the UE can just fallback to legacy RACH procedure or the UE can adjust the DSA parameters to mitigate collision as the resource collision maybe caused by unreasonable DSA parameter or the burst heavy traffic. For example the DSA window length can be increased or the replica number can be reduced, the details can be FFS.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bCs w:val="0"/>
          <w:sz w:val="20"/>
          <w:szCs w:val="20"/>
          <w:lang w:val="en-US" w:eastAsia="zh-CN"/>
        </w:rPr>
      </w:pPr>
      <w:r>
        <w:rPr>
          <w:rFonts w:hint="eastAsia" w:ascii="Arial" w:hAnsi="Arial" w:cs="Arial" w:eastAsiaTheme="minorEastAsia"/>
          <w:b/>
          <w:bCs w:val="0"/>
          <w:sz w:val="20"/>
          <w:szCs w:val="20"/>
          <w:lang w:val="en-US" w:eastAsia="zh-CN"/>
        </w:rPr>
        <w:t>Proposal 4</w:t>
      </w:r>
      <w:r>
        <w:rPr>
          <w:rFonts w:hint="eastAsia" w:ascii="Arial" w:hAnsi="Arial" w:cs="Arial" w:eastAsiaTheme="minorEastAsia"/>
          <w:b/>
          <w:bCs w:val="0"/>
          <w:sz w:val="20"/>
          <w:szCs w:val="20"/>
          <w:lang w:val="en-GB" w:eastAsia="zh-CN"/>
        </w:rPr>
        <w:t>:</w:t>
      </w:r>
      <w:r>
        <w:rPr>
          <w:rFonts w:hint="eastAsia" w:ascii="Arial" w:hAnsi="Arial" w:cs="Arial" w:eastAsiaTheme="minorEastAsia"/>
          <w:b/>
          <w:bCs w:val="0"/>
          <w:sz w:val="20"/>
          <w:szCs w:val="20"/>
          <w:lang w:val="en-US" w:eastAsia="zh-CN"/>
        </w:rPr>
        <w:t xml:space="preserve"> if the consecutive failures are mainly caused by resource collision, the UE can fallback to legacy RACH procedure or adjust the DSA parameters to mitigate collision, the details can be FFS.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0" w:beforeLines="0" w:after="0" w:line="360" w:lineRule="auto"/>
        <w:ind w:leftChars="0"/>
        <w:textAlignment w:val="auto"/>
        <w:rPr>
          <w:rFonts w:hint="default" w:ascii="Arial" w:hAnsi="Arial" w:cs="Arial" w:eastAsiaTheme="minorEastAsia"/>
          <w:b/>
          <w:bCs w:val="0"/>
          <w:sz w:val="20"/>
          <w:szCs w:val="20"/>
          <w:lang w:val="en-US" w:eastAsia="zh-CN"/>
        </w:rPr>
      </w:pPr>
    </w:p>
    <w:p>
      <w:pPr>
        <w:pStyle w:val="3"/>
        <w:rPr>
          <w:rFonts w:hint="eastAsia" w:ascii="Arial" w:hAnsi="Arial" w:eastAsia="MS Mincho" w:cs="Arial"/>
          <w:b/>
          <w:bCs/>
          <w:iCs/>
          <w:kern w:val="32"/>
          <w:sz w:val="28"/>
          <w:szCs w:val="28"/>
          <w:lang w:val="en-US" w:eastAsia="zh-CN"/>
        </w:rPr>
      </w:pPr>
      <w:r>
        <w:rPr>
          <w:rFonts w:hint="eastAsia" w:cs="Arial"/>
          <w:b/>
          <w:bCs/>
          <w:iCs/>
          <w:kern w:val="32"/>
          <w:sz w:val="28"/>
          <w:szCs w:val="28"/>
          <w:lang w:val="en-US" w:eastAsia="zh-CN"/>
        </w:rPr>
        <w:t xml:space="preserve"> </w:t>
      </w:r>
      <w:r>
        <w:rPr>
          <w:rFonts w:hint="eastAsia" w:ascii="Arial" w:hAnsi="Arial" w:eastAsia="MS Mincho" w:cs="Arial"/>
          <w:b/>
          <w:bCs/>
          <w:iCs/>
          <w:kern w:val="32"/>
          <w:sz w:val="28"/>
          <w:szCs w:val="28"/>
          <w:lang w:val="en-US" w:eastAsia="zh-CN"/>
        </w:rPr>
        <w:t>Efficient delivery of Msg4</w:t>
      </w:r>
    </w:p>
    <w:p>
      <w:pPr>
        <w:pStyle w:val="94"/>
        <w:keepLines w:val="0"/>
        <w:pageBreakBefore w:val="0"/>
        <w:widowControl w:val="0"/>
        <w:numPr>
          <w:ilvl w:val="-1"/>
          <w:numId w:val="0"/>
        </w:numPr>
        <w:tabs>
          <w:tab w:val="clear" w:pos="1304"/>
        </w:tabs>
        <w:kinsoku/>
        <w:wordWrap/>
        <w:overflowPunct/>
        <w:topLinePunct w:val="0"/>
        <w:autoSpaceDE/>
        <w:autoSpaceDN/>
        <w:bidi w:val="0"/>
        <w:adjustRightInd/>
        <w:snapToGrid/>
        <w:spacing w:before="361" w:beforeLines="100" w:after="0" w:line="360" w:lineRule="auto"/>
        <w:ind w:left="0" w:leftChars="0" w:firstLine="0"/>
        <w:textAlignment w:val="auto"/>
        <w:rPr>
          <w:rFonts w:hint="default" w:ascii="Arial" w:hAnsi="Arial" w:eastAsia="宋体" w:cs="Arial"/>
          <w:b w:val="0"/>
          <w:bCs w:val="0"/>
          <w:iCs w:val="0"/>
          <w:kern w:val="0"/>
          <w:sz w:val="21"/>
          <w:szCs w:val="20"/>
          <w:lang w:val="en-US" w:eastAsia="zh-CN"/>
        </w:rPr>
      </w:pPr>
      <w:r>
        <w:rPr>
          <w:rFonts w:hint="eastAsia" w:ascii="Arial" w:hAnsi="Arial" w:eastAsia="宋体" w:cs="Arial"/>
          <w:b w:val="0"/>
          <w:bCs w:val="0"/>
          <w:iCs w:val="0"/>
          <w:kern w:val="0"/>
          <w:sz w:val="21"/>
          <w:szCs w:val="20"/>
          <w:lang w:val="en-US" w:eastAsia="zh-CN"/>
        </w:rPr>
        <w:t>If RNTI is derived based on one of the resource location of the replicas or the time window, there may be some UEs monitoring the same RNTI, so multiple UE</w:t>
      </w:r>
      <w:r>
        <w:rPr>
          <w:rFonts w:hint="default" w:ascii="Arial" w:hAnsi="Arial" w:eastAsia="宋体" w:cs="Arial"/>
          <w:b w:val="0"/>
          <w:bCs w:val="0"/>
          <w:iCs w:val="0"/>
          <w:kern w:val="0"/>
          <w:sz w:val="21"/>
          <w:szCs w:val="20"/>
          <w:lang w:val="en-US" w:eastAsia="zh-CN"/>
        </w:rPr>
        <w:t>’</w:t>
      </w:r>
      <w:r>
        <w:rPr>
          <w:rFonts w:hint="eastAsia" w:ascii="Arial" w:hAnsi="Arial" w:eastAsia="宋体" w:cs="Arial"/>
          <w:b w:val="0"/>
          <w:bCs w:val="0"/>
          <w:iCs w:val="0"/>
          <w:kern w:val="0"/>
          <w:sz w:val="21"/>
          <w:szCs w:val="20"/>
          <w:lang w:val="en-US" w:eastAsia="zh-CN"/>
        </w:rPr>
        <w:t>s contention resolution identity can be included in the Msg4 to save PDCCH resource. If there are further data for the UE, the C-RNTI can be also included together with the UE</w:t>
      </w:r>
      <w:r>
        <w:rPr>
          <w:rFonts w:hint="default" w:ascii="Arial" w:hAnsi="Arial" w:eastAsia="宋体" w:cs="Arial"/>
          <w:b w:val="0"/>
          <w:bCs w:val="0"/>
          <w:iCs w:val="0"/>
          <w:kern w:val="0"/>
          <w:sz w:val="21"/>
          <w:szCs w:val="20"/>
          <w:lang w:val="en-US" w:eastAsia="zh-CN"/>
        </w:rPr>
        <w:t>’</w:t>
      </w:r>
      <w:r>
        <w:rPr>
          <w:rFonts w:hint="eastAsia" w:ascii="Arial" w:hAnsi="Arial" w:eastAsia="宋体" w:cs="Arial"/>
          <w:b w:val="0"/>
          <w:bCs w:val="0"/>
          <w:iCs w:val="0"/>
          <w:kern w:val="0"/>
          <w:sz w:val="21"/>
          <w:szCs w:val="20"/>
          <w:lang w:val="en-US" w:eastAsia="zh-CN"/>
        </w:rPr>
        <w:t>s contention resolution identity. If the UE receives the matched contention resolution identity and the corresponding C-RNTI, the UE continues monitoring the C-RNTI for futher data, if the UE receives the mathced contention resolution identity and no corresponding C-RNTI, the UE gos into IDEL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bCs w:val="0"/>
          <w:iCs w:val="0"/>
          <w:kern w:val="0"/>
          <w:sz w:val="20"/>
          <w:szCs w:val="20"/>
          <w:lang w:val="en-US" w:eastAsia="zh-CN"/>
        </w:rPr>
      </w:pPr>
      <w:r>
        <w:rPr>
          <w:rFonts w:hint="eastAsia" w:ascii="Arial" w:hAnsi="Arial" w:cs="Arial" w:eastAsiaTheme="minorEastAsia"/>
          <w:bCs w:val="0"/>
          <w:sz w:val="20"/>
          <w:szCs w:val="20"/>
          <w:lang w:val="en-US" w:eastAsia="zh-CN"/>
        </w:rPr>
        <w:t xml:space="preserve">Proposal 5: </w:t>
      </w:r>
      <w:r>
        <w:rPr>
          <w:rFonts w:hint="eastAsia" w:ascii="Arial" w:hAnsi="Arial" w:cs="Arial" w:eastAsiaTheme="minorEastAsia"/>
          <w:b/>
          <w:bCs w:val="0"/>
          <w:iCs w:val="0"/>
          <w:kern w:val="0"/>
          <w:sz w:val="20"/>
          <w:szCs w:val="20"/>
          <w:lang w:val="en-US" w:eastAsia="zh-CN"/>
        </w:rPr>
        <w:t>multiple UE</w:t>
      </w:r>
      <w:r>
        <w:rPr>
          <w:rFonts w:hint="default" w:ascii="Arial" w:hAnsi="Arial" w:cs="Arial" w:eastAsiaTheme="minorEastAsia"/>
          <w:b/>
          <w:bCs w:val="0"/>
          <w:iCs w:val="0"/>
          <w:kern w:val="0"/>
          <w:sz w:val="20"/>
          <w:szCs w:val="20"/>
          <w:lang w:val="en-US" w:eastAsia="zh-CN"/>
        </w:rPr>
        <w:t>’</w:t>
      </w:r>
      <w:r>
        <w:rPr>
          <w:rFonts w:hint="eastAsia" w:ascii="Arial" w:hAnsi="Arial" w:cs="Arial" w:eastAsiaTheme="minorEastAsia"/>
          <w:b/>
          <w:bCs w:val="0"/>
          <w:iCs w:val="0"/>
          <w:kern w:val="0"/>
          <w:sz w:val="20"/>
          <w:szCs w:val="20"/>
          <w:lang w:val="en-US" w:eastAsia="zh-CN"/>
        </w:rPr>
        <w:t>s contention resolution identity can be included in the Msg4.</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bCs w:val="0"/>
          <w:iCs w:val="0"/>
          <w:kern w:val="0"/>
          <w:sz w:val="20"/>
          <w:szCs w:val="20"/>
          <w:lang w:val="en-US" w:eastAsia="zh-CN"/>
        </w:rPr>
      </w:pPr>
      <w:r>
        <w:rPr>
          <w:rFonts w:hint="eastAsia" w:ascii="Arial" w:hAnsi="Arial" w:cs="Arial" w:eastAsiaTheme="minorEastAsia"/>
          <w:bCs w:val="0"/>
          <w:sz w:val="20"/>
          <w:szCs w:val="20"/>
          <w:lang w:val="en-US" w:eastAsia="zh-CN"/>
        </w:rPr>
        <w:t>Proposal 6: C-RNTI</w:t>
      </w:r>
      <w:r>
        <w:rPr>
          <w:rFonts w:hint="eastAsia" w:ascii="Arial" w:hAnsi="Arial" w:cs="Arial" w:eastAsiaTheme="minorEastAsia"/>
          <w:b/>
          <w:bCs w:val="0"/>
          <w:iCs w:val="0"/>
          <w:kern w:val="0"/>
          <w:sz w:val="20"/>
          <w:szCs w:val="20"/>
          <w:lang w:val="en-US" w:eastAsia="zh-CN"/>
        </w:rPr>
        <w:t xml:space="preserve"> can be included in the Msg4.</w:t>
      </w:r>
    </w:p>
    <w:p>
      <w:pPr>
        <w:pStyle w:val="94"/>
        <w:widowControl w:val="0"/>
        <w:numPr>
          <w:ilvl w:val="0"/>
          <w:numId w:val="0"/>
        </w:numPr>
        <w:tabs>
          <w:tab w:val="clear" w:pos="1304"/>
        </w:tabs>
        <w:spacing w:before="361" w:beforeLines="100" w:line="360" w:lineRule="auto"/>
        <w:rPr>
          <w:rFonts w:hint="eastAsia" w:ascii="Arial" w:hAnsi="Arial" w:eastAsia="宋体" w:cs="Arial"/>
          <w:sz w:val="21"/>
          <w:szCs w:val="20"/>
          <w:lang w:val="en-US" w:eastAsia="zh-CN" w:bidi="ar-SA"/>
        </w:rPr>
      </w:pPr>
    </w:p>
    <w:p>
      <w:pPr>
        <w:pStyle w:val="2"/>
        <w:keepLines/>
        <w:pBdr>
          <w:top w:val="single" w:color="auto" w:sz="12" w:space="3"/>
        </w:pBdr>
        <w:spacing w:before="240" w:after="180"/>
        <w:ind w:left="425" w:hanging="425"/>
        <w:jc w:val="both"/>
      </w:pPr>
      <w:r>
        <w:t>Conclusion</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 issues related to</w:t>
      </w:r>
      <w:r>
        <w:rPr>
          <w:rFonts w:hint="eastAsia"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uplink capacity enhancement</w:t>
      </w:r>
      <w:r>
        <w:rPr>
          <w:rFonts w:hint="eastAsia" w:eastAsia="宋体" w:cs="Times New Roman"/>
          <w:color w:val="000000" w:themeColor="text1"/>
          <w:lang w:val="en-US" w:eastAsia="zh-CN"/>
          <w14:textFill>
            <w14:solidFill>
              <w14:schemeClr w14:val="tx1"/>
            </w14:solidFill>
          </w14:textFill>
        </w:rPr>
        <w:t xml:space="preserve"> in IoT-NTN</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US" w:eastAsia="zh-CN"/>
        </w:rPr>
        <w:t>Proposal 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UE monitors only one RNTI in the </w:t>
      </w:r>
      <w:r>
        <w:rPr>
          <w:rFonts w:hint="eastAsia" w:ascii="Arial" w:hAnsi="Arial" w:eastAsia="宋体" w:cs="Arial"/>
          <w:sz w:val="21"/>
          <w:szCs w:val="20"/>
          <w:lang w:val="en-US" w:eastAsia="zh-CN" w:bidi="ar-SA"/>
        </w:rPr>
        <w:t>PDCCH monitoring window</w:t>
      </w:r>
      <w:r>
        <w:rPr>
          <w:rFonts w:hint="eastAsia" w:ascii="Arial" w:hAnsi="Arial" w:cs="Arial" w:eastAsiaTheme="minorEastAsia"/>
          <w:bCs w:val="0"/>
          <w:sz w:val="20"/>
          <w:szCs w:val="20"/>
          <w:lang w:val="en-US" w:eastAsia="zh-CN"/>
        </w:rPr>
        <w:t>.</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US" w:eastAsia="zh-CN"/>
        </w:rPr>
        <w:t>Proposal 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consider the following approach to derive RNTI:</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0" w:beforeLines="0" w:after="0" w:line="360" w:lineRule="auto"/>
        <w:ind w:leftChars="0"/>
        <w:textAlignment w:val="auto"/>
        <w:rPr>
          <w:rFonts w:hint="eastAsia" w:ascii="Arial" w:hAnsi="Arial" w:cs="Arial" w:eastAsiaTheme="minorEastAsia"/>
          <w:b/>
          <w:bCs w:val="0"/>
          <w:sz w:val="20"/>
          <w:szCs w:val="20"/>
          <w:lang w:val="en-US" w:eastAsia="zh-CN"/>
        </w:rPr>
      </w:pPr>
      <w:r>
        <w:rPr>
          <w:rFonts w:hint="eastAsia" w:ascii="Arial" w:hAnsi="Arial" w:cs="Arial" w:eastAsiaTheme="minorEastAsia"/>
          <w:bCs w:val="0"/>
          <w:sz w:val="20"/>
          <w:szCs w:val="20"/>
          <w:lang w:val="en-US" w:eastAsia="zh-CN"/>
        </w:rPr>
        <w:t>1、</w:t>
      </w:r>
      <w:r>
        <w:rPr>
          <w:rFonts w:hint="eastAsia" w:ascii="Arial" w:hAnsi="Arial" w:cs="Arial" w:eastAsiaTheme="minorEastAsia"/>
          <w:b/>
          <w:bCs w:val="0"/>
          <w:sz w:val="20"/>
          <w:szCs w:val="20"/>
          <w:lang w:val="en-US" w:eastAsia="zh-CN"/>
        </w:rPr>
        <w:t>The RNTI is derived based on one of the resource location of the replicas the UE intended to send.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0" w:beforeLines="0" w:after="0" w:line="360" w:lineRule="auto"/>
        <w:ind w:leftChars="0"/>
        <w:textAlignment w:val="auto"/>
        <w:rPr>
          <w:rFonts w:hint="eastAsia" w:ascii="Arial" w:hAnsi="Arial" w:cs="Arial" w:eastAsiaTheme="minorEastAsia"/>
          <w:b/>
          <w:bCs w:val="0"/>
          <w:sz w:val="20"/>
          <w:szCs w:val="20"/>
          <w:lang w:val="en-US" w:eastAsia="zh-CN"/>
        </w:rPr>
      </w:pPr>
      <w:r>
        <w:rPr>
          <w:rFonts w:hint="eastAsia" w:ascii="Arial" w:hAnsi="Arial" w:cs="Arial" w:eastAsiaTheme="minorEastAsia"/>
          <w:b/>
          <w:bCs w:val="0"/>
          <w:sz w:val="20"/>
          <w:szCs w:val="20"/>
          <w:lang w:val="en-US" w:eastAsia="zh-CN"/>
        </w:rPr>
        <w:t>2、The RNTI is derived based on the time window the UE selectes CB-Msg3 occasion to transmit CB-Msg3.</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0" w:beforeLines="0" w:after="0" w:line="360" w:lineRule="auto"/>
        <w:ind w:leftChars="0"/>
        <w:textAlignment w:val="auto"/>
        <w:rPr>
          <w:rFonts w:hint="eastAsia" w:ascii="Arial" w:hAnsi="Arial" w:cs="Arial" w:eastAsiaTheme="minorEastAsia"/>
          <w:b/>
          <w:bCs w:val="0"/>
          <w:sz w:val="20"/>
          <w:szCs w:val="20"/>
          <w:lang w:val="en-US" w:eastAsia="zh-CN"/>
        </w:rPr>
      </w:pP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0" w:beforeLines="0" w:after="0" w:line="360" w:lineRule="auto"/>
        <w:ind w:leftChars="0"/>
        <w:textAlignment w:val="auto"/>
        <w:rPr>
          <w:rFonts w:hint="eastAsia" w:ascii="Arial" w:hAnsi="Arial" w:cs="Arial" w:eastAsiaTheme="minorEastAsia"/>
          <w:b/>
          <w:bCs w:val="0"/>
          <w:sz w:val="20"/>
          <w:szCs w:val="20"/>
          <w:lang w:val="en-US" w:eastAsia="zh-CN"/>
        </w:rPr>
      </w:pPr>
      <w:r>
        <w:rPr>
          <w:rFonts w:hint="eastAsia" w:ascii="Arial" w:hAnsi="Arial" w:cs="Arial" w:eastAsiaTheme="minorEastAsia"/>
          <w:b/>
          <w:bCs w:val="0"/>
          <w:sz w:val="20"/>
          <w:szCs w:val="20"/>
          <w:lang w:val="en-US" w:eastAsia="zh-CN"/>
        </w:rPr>
        <w:t>Proposal 3</w:t>
      </w:r>
      <w:r>
        <w:rPr>
          <w:rFonts w:hint="eastAsia" w:ascii="Arial" w:hAnsi="Arial" w:cs="Arial" w:eastAsiaTheme="minorEastAsia"/>
          <w:b/>
          <w:bCs w:val="0"/>
          <w:sz w:val="20"/>
          <w:szCs w:val="20"/>
          <w:lang w:val="en-GB" w:eastAsia="zh-CN"/>
        </w:rPr>
        <w:t>:</w:t>
      </w:r>
      <w:r>
        <w:rPr>
          <w:rFonts w:hint="eastAsia" w:ascii="Arial" w:hAnsi="Arial" w:cs="Arial" w:eastAsiaTheme="minorEastAsia"/>
          <w:b/>
          <w:bCs w:val="0"/>
          <w:sz w:val="20"/>
          <w:szCs w:val="20"/>
          <w:lang w:val="en-US" w:eastAsia="zh-CN"/>
        </w:rPr>
        <w:t xml:space="preserve"> the CE level increase mechanism can be considered for CB-Msg3, if the consecutive failures are mainly caused by RF condition,the UE can increase CE level, how to distinguish the failure causes can be FFS.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bCs w:val="0"/>
          <w:sz w:val="20"/>
          <w:szCs w:val="20"/>
          <w:lang w:val="en-US" w:eastAsia="zh-CN"/>
        </w:rPr>
      </w:pPr>
      <w:r>
        <w:rPr>
          <w:rFonts w:hint="eastAsia" w:ascii="Arial" w:hAnsi="Arial" w:cs="Arial" w:eastAsiaTheme="minorEastAsia"/>
          <w:b/>
          <w:bCs w:val="0"/>
          <w:sz w:val="20"/>
          <w:szCs w:val="20"/>
          <w:lang w:val="en-US" w:eastAsia="zh-CN"/>
        </w:rPr>
        <w:t>Proposal 4</w:t>
      </w:r>
      <w:r>
        <w:rPr>
          <w:rFonts w:hint="eastAsia" w:ascii="Arial" w:hAnsi="Arial" w:cs="Arial" w:eastAsiaTheme="minorEastAsia"/>
          <w:b/>
          <w:bCs w:val="0"/>
          <w:sz w:val="20"/>
          <w:szCs w:val="20"/>
          <w:lang w:val="en-GB" w:eastAsia="zh-CN"/>
        </w:rPr>
        <w:t>:</w:t>
      </w:r>
      <w:r>
        <w:rPr>
          <w:rFonts w:hint="eastAsia" w:ascii="Arial" w:hAnsi="Arial" w:cs="Arial" w:eastAsiaTheme="minorEastAsia"/>
          <w:b/>
          <w:bCs w:val="0"/>
          <w:sz w:val="20"/>
          <w:szCs w:val="20"/>
          <w:lang w:val="en-US" w:eastAsia="zh-CN"/>
        </w:rPr>
        <w:t xml:space="preserve"> if the consecutive failures are mainly caused by resource collision, the UE can fallback to legacy RACH procedure or adjust the DSA parameters to mitigate collision, the details can be FFS.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bCs w:val="0"/>
          <w:iCs w:val="0"/>
          <w:kern w:val="0"/>
          <w:sz w:val="20"/>
          <w:szCs w:val="20"/>
          <w:lang w:val="en-US" w:eastAsia="zh-CN"/>
        </w:rPr>
      </w:pPr>
      <w:r>
        <w:rPr>
          <w:rFonts w:hint="eastAsia" w:ascii="Arial" w:hAnsi="Arial" w:cs="Arial" w:eastAsiaTheme="minorEastAsia"/>
          <w:bCs w:val="0"/>
          <w:sz w:val="20"/>
          <w:szCs w:val="20"/>
          <w:lang w:val="en-US" w:eastAsia="zh-CN"/>
        </w:rPr>
        <w:t xml:space="preserve">Proposal 5: </w:t>
      </w:r>
      <w:r>
        <w:rPr>
          <w:rFonts w:hint="eastAsia" w:ascii="Arial" w:hAnsi="Arial" w:cs="Arial" w:eastAsiaTheme="minorEastAsia"/>
          <w:b/>
          <w:bCs w:val="0"/>
          <w:iCs w:val="0"/>
          <w:kern w:val="0"/>
          <w:sz w:val="20"/>
          <w:szCs w:val="20"/>
          <w:lang w:val="en-US" w:eastAsia="zh-CN"/>
        </w:rPr>
        <w:t>multiple UE</w:t>
      </w:r>
      <w:r>
        <w:rPr>
          <w:rFonts w:hint="default" w:ascii="Arial" w:hAnsi="Arial" w:cs="Arial" w:eastAsiaTheme="minorEastAsia"/>
          <w:b/>
          <w:bCs w:val="0"/>
          <w:iCs w:val="0"/>
          <w:kern w:val="0"/>
          <w:sz w:val="20"/>
          <w:szCs w:val="20"/>
          <w:lang w:val="en-US" w:eastAsia="zh-CN"/>
        </w:rPr>
        <w:t>’</w:t>
      </w:r>
      <w:r>
        <w:rPr>
          <w:rFonts w:hint="eastAsia" w:ascii="Arial" w:hAnsi="Arial" w:cs="Arial" w:eastAsiaTheme="minorEastAsia"/>
          <w:b/>
          <w:bCs w:val="0"/>
          <w:iCs w:val="0"/>
          <w:kern w:val="0"/>
          <w:sz w:val="20"/>
          <w:szCs w:val="20"/>
          <w:lang w:val="en-US" w:eastAsia="zh-CN"/>
        </w:rPr>
        <w:t>s contention resolution identity can be included in the Msg4.</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bCs w:val="0"/>
          <w:kern w:val="0"/>
          <w:szCs w:val="18"/>
          <w:lang w:val="en-GB" w:eastAsia="zh-CN"/>
        </w:rPr>
      </w:pPr>
      <w:r>
        <w:rPr>
          <w:rFonts w:hint="eastAsia" w:ascii="Arial" w:hAnsi="Arial" w:cs="Arial" w:eastAsiaTheme="minorEastAsia"/>
          <w:bCs w:val="0"/>
          <w:sz w:val="20"/>
          <w:szCs w:val="20"/>
          <w:lang w:val="en-US" w:eastAsia="zh-CN"/>
        </w:rPr>
        <w:t>Proposal 6: C-RNTI</w:t>
      </w:r>
      <w:r>
        <w:rPr>
          <w:rFonts w:hint="eastAsia" w:ascii="Arial" w:hAnsi="Arial" w:cs="Arial" w:eastAsiaTheme="minorEastAsia"/>
          <w:b/>
          <w:bCs w:val="0"/>
          <w:iCs w:val="0"/>
          <w:kern w:val="0"/>
          <w:sz w:val="20"/>
          <w:szCs w:val="20"/>
          <w:lang w:val="en-US" w:eastAsia="zh-CN"/>
        </w:rPr>
        <w:t xml:space="preserve"> can be included in the Msg4.</w:t>
      </w:r>
    </w:p>
    <w:p>
      <w:pPr>
        <w:pStyle w:val="2"/>
        <w:keepLines/>
        <w:pBdr>
          <w:top w:val="single" w:color="auto" w:sz="12" w:space="3"/>
        </w:pBdr>
        <w:spacing w:before="240" w:after="180"/>
        <w:ind w:left="425" w:hanging="425"/>
        <w:jc w:val="both"/>
      </w:pPr>
      <w:bookmarkStart w:id="2" w:name="OLE_LINK58"/>
      <w:bookmarkStart w:id="3" w:name="OLE_LINK48"/>
      <w:bookmarkStart w:id="4" w:name="OLE_LINK60"/>
      <w:bookmarkStart w:id="5" w:name="OLE_LINK59"/>
      <w:bookmarkStart w:id="6" w:name="OLE_LINK47"/>
      <w:r>
        <w:t>Reference</w:t>
      </w:r>
      <w:bookmarkEnd w:id="2"/>
      <w:bookmarkEnd w:id="3"/>
      <w:bookmarkEnd w:id="4"/>
      <w:bookmarkEnd w:id="5"/>
      <w:bookmarkEnd w:id="6"/>
    </w:p>
    <w:p>
      <w:pPr>
        <w:pStyle w:val="11"/>
        <w:numPr>
          <w:ilvl w:val="0"/>
          <w:numId w:val="7"/>
        </w:numPr>
        <w:spacing w:before="120" w:beforeLines="50"/>
        <w:rPr>
          <w:rFonts w:eastAsia="宋体"/>
          <w:lang w:eastAsia="zh-CN"/>
        </w:rPr>
      </w:pPr>
      <w:r>
        <w:rPr>
          <w:rFonts w:hint="default" w:eastAsia="宋体"/>
          <w:lang w:val="en-US" w:eastAsia="zh-CN"/>
        </w:rPr>
        <w:t>“</w:t>
      </w:r>
      <w:r>
        <w:rPr>
          <w:rFonts w:hint="eastAsia" w:eastAsia="宋体"/>
          <w:lang w:val="en-US" w:eastAsia="zh-CN"/>
        </w:rPr>
        <w:t>Draft_RAN2_129_Meeting_Report_v3</w:t>
      </w:r>
      <w:r>
        <w:rPr>
          <w:rFonts w:hint="default" w:eastAsia="宋体"/>
          <w:lang w:val="en-US" w:eastAsia="zh-CN"/>
        </w:rPr>
        <w:t>”</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variable"/>
    <w:sig w:usb0="E4002EFF" w:usb1="C000E47F" w:usb2="00000009" w:usb3="00000000" w:csb0="2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722360"/>
    <w:multiLevelType w:val="singleLevel"/>
    <w:tmpl w:val="CB722360"/>
    <w:lvl w:ilvl="0" w:tentative="0">
      <w:start w:val="1"/>
      <w:numFmt w:val="decimal"/>
      <w:suff w:val="space"/>
      <w:lvlText w:val="[%1]"/>
      <w:lvlJc w:val="left"/>
    </w:lvl>
  </w:abstractNum>
  <w:abstractNum w:abstractNumId="1">
    <w:nsid w:val="1C31301E"/>
    <w:multiLevelType w:val="multilevel"/>
    <w:tmpl w:val="1C31301E"/>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1D651F3"/>
    <w:rsid w:val="026A5194"/>
    <w:rsid w:val="02706DE2"/>
    <w:rsid w:val="02DB6612"/>
    <w:rsid w:val="0304423A"/>
    <w:rsid w:val="030F2DBB"/>
    <w:rsid w:val="035F60CC"/>
    <w:rsid w:val="03F47970"/>
    <w:rsid w:val="04044F9A"/>
    <w:rsid w:val="04603C0A"/>
    <w:rsid w:val="050C0141"/>
    <w:rsid w:val="0590487E"/>
    <w:rsid w:val="05C11854"/>
    <w:rsid w:val="06510970"/>
    <w:rsid w:val="06797CD3"/>
    <w:rsid w:val="06A00757"/>
    <w:rsid w:val="06DF7E6D"/>
    <w:rsid w:val="06FF294D"/>
    <w:rsid w:val="07331E25"/>
    <w:rsid w:val="07752096"/>
    <w:rsid w:val="07EF5BD4"/>
    <w:rsid w:val="082F6FF7"/>
    <w:rsid w:val="08415DB4"/>
    <w:rsid w:val="08454AB2"/>
    <w:rsid w:val="084C139F"/>
    <w:rsid w:val="08A22A43"/>
    <w:rsid w:val="094D21CC"/>
    <w:rsid w:val="0A6D15CC"/>
    <w:rsid w:val="0D860A22"/>
    <w:rsid w:val="0DD2564C"/>
    <w:rsid w:val="0F417E38"/>
    <w:rsid w:val="0F9D7474"/>
    <w:rsid w:val="0FC2310E"/>
    <w:rsid w:val="103C0B3D"/>
    <w:rsid w:val="105B4363"/>
    <w:rsid w:val="108123D4"/>
    <w:rsid w:val="10AD2D6E"/>
    <w:rsid w:val="10C66D19"/>
    <w:rsid w:val="12105415"/>
    <w:rsid w:val="126256E5"/>
    <w:rsid w:val="132B45C8"/>
    <w:rsid w:val="145B124E"/>
    <w:rsid w:val="147A52C8"/>
    <w:rsid w:val="14926ED8"/>
    <w:rsid w:val="15215CC8"/>
    <w:rsid w:val="15242CCD"/>
    <w:rsid w:val="15462052"/>
    <w:rsid w:val="15DE1242"/>
    <w:rsid w:val="166C39B7"/>
    <w:rsid w:val="16AA6D34"/>
    <w:rsid w:val="176647AC"/>
    <w:rsid w:val="179A1B0C"/>
    <w:rsid w:val="198E0015"/>
    <w:rsid w:val="1AB17D6E"/>
    <w:rsid w:val="1ABB6560"/>
    <w:rsid w:val="1B445D6E"/>
    <w:rsid w:val="1B59397D"/>
    <w:rsid w:val="1BA10850"/>
    <w:rsid w:val="1BA75823"/>
    <w:rsid w:val="1C7B4CA3"/>
    <w:rsid w:val="1CA1384F"/>
    <w:rsid w:val="1E0B7CB6"/>
    <w:rsid w:val="1E523033"/>
    <w:rsid w:val="1E6A7BDD"/>
    <w:rsid w:val="1F045CEA"/>
    <w:rsid w:val="1F122966"/>
    <w:rsid w:val="1F2C7D23"/>
    <w:rsid w:val="1FAF7026"/>
    <w:rsid w:val="20462FD7"/>
    <w:rsid w:val="21CD368A"/>
    <w:rsid w:val="221016C7"/>
    <w:rsid w:val="228D678C"/>
    <w:rsid w:val="22A27F45"/>
    <w:rsid w:val="22AC3DD3"/>
    <w:rsid w:val="23967BC1"/>
    <w:rsid w:val="23BF020B"/>
    <w:rsid w:val="24805F2B"/>
    <w:rsid w:val="24966A58"/>
    <w:rsid w:val="24E86231"/>
    <w:rsid w:val="26131534"/>
    <w:rsid w:val="26672625"/>
    <w:rsid w:val="26F53B52"/>
    <w:rsid w:val="273C2AE6"/>
    <w:rsid w:val="27487239"/>
    <w:rsid w:val="27E9536C"/>
    <w:rsid w:val="2809782E"/>
    <w:rsid w:val="282B7F1A"/>
    <w:rsid w:val="282E6418"/>
    <w:rsid w:val="284C12BD"/>
    <w:rsid w:val="28514B4F"/>
    <w:rsid w:val="2A696F42"/>
    <w:rsid w:val="2BC97744"/>
    <w:rsid w:val="2BDF7690"/>
    <w:rsid w:val="2C167DFF"/>
    <w:rsid w:val="2C5E3FAA"/>
    <w:rsid w:val="2C881EDF"/>
    <w:rsid w:val="2DF85D92"/>
    <w:rsid w:val="2E3E1AA5"/>
    <w:rsid w:val="2E452750"/>
    <w:rsid w:val="2EB13602"/>
    <w:rsid w:val="2F652A33"/>
    <w:rsid w:val="2FE018AF"/>
    <w:rsid w:val="305C4D55"/>
    <w:rsid w:val="308138F8"/>
    <w:rsid w:val="30AD73A5"/>
    <w:rsid w:val="322B0AF9"/>
    <w:rsid w:val="329B7C99"/>
    <w:rsid w:val="32C77F8C"/>
    <w:rsid w:val="32CB387D"/>
    <w:rsid w:val="32D55AB9"/>
    <w:rsid w:val="330E07EF"/>
    <w:rsid w:val="3310192D"/>
    <w:rsid w:val="335B0D8A"/>
    <w:rsid w:val="33B41D34"/>
    <w:rsid w:val="33D37A84"/>
    <w:rsid w:val="33E72CDC"/>
    <w:rsid w:val="33EF0217"/>
    <w:rsid w:val="34F62FB2"/>
    <w:rsid w:val="354766E8"/>
    <w:rsid w:val="356754B7"/>
    <w:rsid w:val="35A53430"/>
    <w:rsid w:val="35A57324"/>
    <w:rsid w:val="35E66AD8"/>
    <w:rsid w:val="37426E6E"/>
    <w:rsid w:val="38486C88"/>
    <w:rsid w:val="388B34B6"/>
    <w:rsid w:val="393B37B4"/>
    <w:rsid w:val="39DB56A4"/>
    <w:rsid w:val="3A0E2941"/>
    <w:rsid w:val="3A3A09C6"/>
    <w:rsid w:val="3AED4363"/>
    <w:rsid w:val="3B656647"/>
    <w:rsid w:val="3B8D13D0"/>
    <w:rsid w:val="3B957525"/>
    <w:rsid w:val="3BE514B4"/>
    <w:rsid w:val="3C7A0817"/>
    <w:rsid w:val="3CBF641E"/>
    <w:rsid w:val="3CD70242"/>
    <w:rsid w:val="3E2248D8"/>
    <w:rsid w:val="3FE0616F"/>
    <w:rsid w:val="4016756E"/>
    <w:rsid w:val="40973E49"/>
    <w:rsid w:val="40E05B05"/>
    <w:rsid w:val="40E10F3E"/>
    <w:rsid w:val="41D14C1D"/>
    <w:rsid w:val="42353253"/>
    <w:rsid w:val="425B5EB0"/>
    <w:rsid w:val="42F46F0D"/>
    <w:rsid w:val="42FD4C37"/>
    <w:rsid w:val="435F628D"/>
    <w:rsid w:val="45B063D8"/>
    <w:rsid w:val="46682B04"/>
    <w:rsid w:val="470C53DE"/>
    <w:rsid w:val="472A0332"/>
    <w:rsid w:val="476C65BD"/>
    <w:rsid w:val="4779366F"/>
    <w:rsid w:val="47C16086"/>
    <w:rsid w:val="47C512EE"/>
    <w:rsid w:val="47EC7853"/>
    <w:rsid w:val="48136031"/>
    <w:rsid w:val="482B0659"/>
    <w:rsid w:val="487E4912"/>
    <w:rsid w:val="48B061A5"/>
    <w:rsid w:val="48F165EB"/>
    <w:rsid w:val="49D966E1"/>
    <w:rsid w:val="49F62F33"/>
    <w:rsid w:val="4A0A51AC"/>
    <w:rsid w:val="4A736A5C"/>
    <w:rsid w:val="4A870271"/>
    <w:rsid w:val="4B5667E1"/>
    <w:rsid w:val="4BBE0820"/>
    <w:rsid w:val="4BD9044D"/>
    <w:rsid w:val="4C8A48AA"/>
    <w:rsid w:val="4CDB457B"/>
    <w:rsid w:val="4D5702DE"/>
    <w:rsid w:val="4D8917CF"/>
    <w:rsid w:val="4E322A5A"/>
    <w:rsid w:val="4EFC5EF9"/>
    <w:rsid w:val="4F1F0E61"/>
    <w:rsid w:val="4FB27051"/>
    <w:rsid w:val="4FCA1B2C"/>
    <w:rsid w:val="51951B3D"/>
    <w:rsid w:val="5215436D"/>
    <w:rsid w:val="5486183B"/>
    <w:rsid w:val="54BF0AED"/>
    <w:rsid w:val="55EB6E4E"/>
    <w:rsid w:val="561B49FC"/>
    <w:rsid w:val="56561485"/>
    <w:rsid w:val="58196C7F"/>
    <w:rsid w:val="59852DB4"/>
    <w:rsid w:val="5A0B344B"/>
    <w:rsid w:val="5C0031E7"/>
    <w:rsid w:val="5C0111E3"/>
    <w:rsid w:val="5C481980"/>
    <w:rsid w:val="5CEE0CA7"/>
    <w:rsid w:val="5D474464"/>
    <w:rsid w:val="5DB939F7"/>
    <w:rsid w:val="5EE9029B"/>
    <w:rsid w:val="5F7C0711"/>
    <w:rsid w:val="5FEF6ACE"/>
    <w:rsid w:val="60686D13"/>
    <w:rsid w:val="60B34005"/>
    <w:rsid w:val="60E953AA"/>
    <w:rsid w:val="61223B22"/>
    <w:rsid w:val="614420B6"/>
    <w:rsid w:val="61483DCA"/>
    <w:rsid w:val="616A23BB"/>
    <w:rsid w:val="61786A80"/>
    <w:rsid w:val="61BA59D1"/>
    <w:rsid w:val="61DC00C2"/>
    <w:rsid w:val="62590312"/>
    <w:rsid w:val="62815194"/>
    <w:rsid w:val="62BD5600"/>
    <w:rsid w:val="630A7F69"/>
    <w:rsid w:val="63E1421B"/>
    <w:rsid w:val="64034EA4"/>
    <w:rsid w:val="64C862AF"/>
    <w:rsid w:val="65184C81"/>
    <w:rsid w:val="651923CA"/>
    <w:rsid w:val="656D337B"/>
    <w:rsid w:val="663B653F"/>
    <w:rsid w:val="66D84426"/>
    <w:rsid w:val="66E37CF1"/>
    <w:rsid w:val="67352FFD"/>
    <w:rsid w:val="67433D9E"/>
    <w:rsid w:val="67DC720C"/>
    <w:rsid w:val="67E92655"/>
    <w:rsid w:val="68377AAD"/>
    <w:rsid w:val="68473C7D"/>
    <w:rsid w:val="684B0BB7"/>
    <w:rsid w:val="688B7936"/>
    <w:rsid w:val="68C77475"/>
    <w:rsid w:val="68CE17A0"/>
    <w:rsid w:val="696F357D"/>
    <w:rsid w:val="69701295"/>
    <w:rsid w:val="69A27629"/>
    <w:rsid w:val="6A9D7635"/>
    <w:rsid w:val="6AA04556"/>
    <w:rsid w:val="6ABC46FD"/>
    <w:rsid w:val="6AF42729"/>
    <w:rsid w:val="6B8D221A"/>
    <w:rsid w:val="6BAD1D2D"/>
    <w:rsid w:val="6BBB6ACB"/>
    <w:rsid w:val="6BF4272A"/>
    <w:rsid w:val="6C750DEF"/>
    <w:rsid w:val="6CE858CE"/>
    <w:rsid w:val="6D16046B"/>
    <w:rsid w:val="6D8E2554"/>
    <w:rsid w:val="6D9A5E61"/>
    <w:rsid w:val="6E0D1FE7"/>
    <w:rsid w:val="6F740CE2"/>
    <w:rsid w:val="70123D3A"/>
    <w:rsid w:val="70436DC4"/>
    <w:rsid w:val="7055318F"/>
    <w:rsid w:val="70871801"/>
    <w:rsid w:val="71314C8A"/>
    <w:rsid w:val="71B9201A"/>
    <w:rsid w:val="721B250C"/>
    <w:rsid w:val="72402019"/>
    <w:rsid w:val="726111DF"/>
    <w:rsid w:val="727A4FD4"/>
    <w:rsid w:val="72806935"/>
    <w:rsid w:val="731D23A2"/>
    <w:rsid w:val="73707DE3"/>
    <w:rsid w:val="74201914"/>
    <w:rsid w:val="742D63FB"/>
    <w:rsid w:val="745C718B"/>
    <w:rsid w:val="74F97BE7"/>
    <w:rsid w:val="75372E17"/>
    <w:rsid w:val="76700534"/>
    <w:rsid w:val="76A345D7"/>
    <w:rsid w:val="77230C1C"/>
    <w:rsid w:val="77685D20"/>
    <w:rsid w:val="77760276"/>
    <w:rsid w:val="78911E34"/>
    <w:rsid w:val="78DB6A34"/>
    <w:rsid w:val="7A145066"/>
    <w:rsid w:val="7A4B5FBA"/>
    <w:rsid w:val="7A5E174B"/>
    <w:rsid w:val="7A9C4D88"/>
    <w:rsid w:val="7A9C7192"/>
    <w:rsid w:val="7AAB7979"/>
    <w:rsid w:val="7B826359"/>
    <w:rsid w:val="7BF20CB4"/>
    <w:rsid w:val="7C330D5B"/>
    <w:rsid w:val="7CB92E75"/>
    <w:rsid w:val="7D294CE3"/>
    <w:rsid w:val="7D86797B"/>
    <w:rsid w:val="7D8C0969"/>
    <w:rsid w:val="7DF4667A"/>
    <w:rsid w:val="7E436222"/>
    <w:rsid w:val="7EC92764"/>
    <w:rsid w:val="7EED51DC"/>
    <w:rsid w:val="7F3D09D5"/>
    <w:rsid w:val="7F402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3"/>
    <w:next w:val="1"/>
    <w:link w:val="95"/>
    <w:qFormat/>
    <w:uiPriority w:val="0"/>
    <w:pPr>
      <w:keepNext/>
      <w:numPr>
        <w:ilvl w:val="2"/>
        <w:numId w:val="1"/>
      </w:numPr>
      <w:tabs>
        <w:tab w:val="clear" w:pos="851"/>
        <w:tab w:val="clear" w:pos="1277"/>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1</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2025-03-27T11:06:39Z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