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w:t>
      </w:r>
      <w:proofErr w:type="gramEnd"/>
      <w:r>
        <w:rPr>
          <w:rFonts w:cs="Arial"/>
          <w:b/>
          <w:sz w:val="24"/>
          <w:szCs w:val="24"/>
        </w:rPr>
        <w:t>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r>
              <w:rPr>
                <w:rFonts w:cs="Arial"/>
                <w:lang w:val="en-US" w:eastAsia="ko-KR"/>
              </w:rPr>
              <w:t>Sethuraman Gurumoorthy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r>
              <w:rPr>
                <w:rFonts w:eastAsiaTheme="minorEastAsia" w:cs="Arial" w:hint="eastAsia"/>
                <w:lang w:val="en-US"/>
              </w:rPr>
              <w:t>Wenjuan</w:t>
            </w:r>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lang w:val="en-US"/>
              </w:rPr>
            </w:pPr>
            <w:r>
              <w:rPr>
                <w:rFonts w:eastAsiaTheme="minorEastAsia" w:cs="Arial"/>
                <w:lang w:val="en-US"/>
              </w:rPr>
              <w:t>Aby K Abraham(aby.abraham@samsung.com)</w:t>
            </w: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SCell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lastRenderedPageBreak/>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r>
              <w:rPr>
                <w:i/>
                <w:lang w:eastAsia="en-US"/>
              </w:rPr>
              <w:t>UEAssistanceInformation</w:t>
            </w:r>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r>
              <w:rPr>
                <w:i/>
              </w:rPr>
              <w:t>UEAssistanceInformation</w:t>
            </w:r>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Default="00BC4065">
            <w:pPr>
              <w:pStyle w:val="TAL"/>
              <w:rPr>
                <w:b/>
                <w:bCs/>
                <w:i/>
                <w:iCs/>
              </w:rPr>
            </w:pPr>
            <w:r>
              <w:rPr>
                <w:b/>
                <w:bCs/>
                <w:i/>
                <w:iCs/>
              </w:rPr>
              <w:t>maxNumberMIMO-LayersPDSCH</w:t>
            </w:r>
          </w:p>
          <w:p w14:paraId="7E57D8E1" w14:textId="77777777"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Default="00BC4065">
            <w:pPr>
              <w:pStyle w:val="TAL"/>
              <w:rPr>
                <w:b/>
                <w:bCs/>
                <w:i/>
                <w:iCs/>
              </w:rPr>
            </w:pPr>
            <w:r>
              <w:rPr>
                <w:b/>
                <w:bCs/>
                <w:i/>
                <w:iCs/>
              </w:rPr>
              <w:t>maxNumberMIMO-LayersCB-PUSCH</w:t>
            </w:r>
          </w:p>
          <w:p w14:paraId="44B5C34E" w14:textId="77777777"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Default="00BC4065">
            <w:pPr>
              <w:pStyle w:val="TAL"/>
              <w:rPr>
                <w:b/>
                <w:bCs/>
                <w:i/>
                <w:iCs/>
              </w:rPr>
            </w:pPr>
            <w:r>
              <w:rPr>
                <w:b/>
                <w:bCs/>
                <w:i/>
                <w:iCs/>
              </w:rPr>
              <w:t>maxNumberMIMO-LayersNonCB-PUSCH</w:t>
            </w:r>
          </w:p>
          <w:p w14:paraId="335187E1" w14:textId="77777777" w:rsidR="007B4DCD" w:rsidRDefault="00BC4065">
            <w:pPr>
              <w:pStyle w:val="TAL"/>
            </w:pPr>
            <w:r>
              <w:t>Defines supported maximum number of MIMO layers at the UE for PUSCH transmission using non-codebook precoding.</w:t>
            </w:r>
          </w:p>
          <w:p w14:paraId="59D69083" w14:textId="77777777"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bl>
    <w:p w14:paraId="316880F2" w14:textId="77777777" w:rsidR="007B4DCD" w:rsidRDefault="007B4DCD">
      <w:pPr>
        <w:pStyle w:val="Doc-text2"/>
        <w:ind w:left="0" w:firstLine="0"/>
        <w:rPr>
          <w:rFonts w:eastAsiaTheme="minorEastAsia"/>
        </w:rPr>
      </w:pPr>
    </w:p>
    <w:p w14:paraId="11278747" w14:textId="77777777" w:rsidR="007B4DCD" w:rsidRDefault="007B4DCD">
      <w:pPr>
        <w:pStyle w:val="Doc-text2"/>
        <w:ind w:left="0" w:firstLine="0"/>
        <w:rPr>
          <w:rFonts w:eastAsiaTheme="minorEastAsia"/>
        </w:rPr>
      </w:pPr>
    </w:p>
    <w:p w14:paraId="347D6D95" w14:textId="77777777" w:rsidR="007B4DCD" w:rsidRDefault="00BC4065">
      <w:pPr>
        <w:pStyle w:val="Heading2"/>
        <w:rPr>
          <w:rFonts w:eastAsia="MS Mincho"/>
        </w:rPr>
      </w:pPr>
      <w:r>
        <w:rPr>
          <w:rFonts w:eastAsia="MS Mincho"/>
        </w:rPr>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w:t>
            </w:r>
            <w:r>
              <w:rPr>
                <w:rFonts w:cs="Arial"/>
                <w:sz w:val="18"/>
                <w:szCs w:val="18"/>
                <w:lang w:eastAsia="en-US"/>
              </w:rPr>
              <w:lastRenderedPageBreak/>
              <w:t xml:space="preserve">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lastRenderedPageBreak/>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250BA9">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r w:rsidR="00BC4065">
                <w:rPr>
                  <w:rStyle w:val="Hyperlink"/>
                  <w:rFonts w:cs="Arial"/>
                  <w:b w:val="0"/>
                  <w:i/>
                  <w:iCs/>
                  <w:color w:val="auto"/>
                  <w:sz w:val="18"/>
                  <w:szCs w:val="18"/>
                  <w:u w:val="none"/>
                </w:rPr>
                <w:t>independentGapConfig</w:t>
              </w:r>
              <w:r w:rsidR="00BC4065">
                <w:rPr>
                  <w:rStyle w:val="Hyperlink"/>
                  <w:rFonts w:cs="Arial"/>
                  <w:b w:val="0"/>
                  <w:color w:val="auto"/>
                  <w:sz w:val="18"/>
                  <w:szCs w:val="18"/>
                  <w:u w:val="none"/>
                </w:rPr>
                <w:t xml:space="preserve"> is restricted in UAI message.</w:t>
              </w:r>
            </w:hyperlink>
          </w:p>
          <w:p w14:paraId="239FB183" w14:textId="77777777" w:rsidR="007B4DCD" w:rsidRDefault="00250BA9">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250BA9">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 xml:space="preserve">’s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signalling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MediaTek</w:t>
            </w:r>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bl>
    <w:p w14:paraId="6AF5B5AF" w14:textId="77777777" w:rsidR="007B4DCD" w:rsidRDefault="007B4DCD">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r w:rsidR="00F864DA">
        <w:rPr>
          <w:rFonts w:eastAsiaTheme="minorEastAsia"/>
          <w:lang w:val="en-US"/>
        </w:rPr>
        <w:pgNum/>
      </w:r>
      <w:proofErr w:type="spellStart"/>
      <w:r w:rsidR="00F864DA">
        <w:rPr>
          <w:rFonts w:eastAsiaTheme="minorEastAsia"/>
          <w:lang w:val="en-US"/>
        </w:rPr>
        <w:t>ignaling</w:t>
      </w:r>
      <w:proofErr w:type="spellEnd"/>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outlineLvl w:val="3"/>
              <w:rPr>
                <w:rFonts w:eastAsia="MS Mincho"/>
                <w:lang w:eastAsia="en-US"/>
              </w:rPr>
            </w:pPr>
            <w:bookmarkStart w:id="4" w:name="_Toc115428465"/>
            <w:bookmarkStart w:id="5"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4"/>
            <w:bookmarkEnd w:id="5"/>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Default="007B4DCD">
      <w:pPr>
        <w:pStyle w:val="Doc-text2"/>
        <w:ind w:left="0" w:firstLine="0"/>
        <w:rPr>
          <w:rFonts w:eastAsiaTheme="minorEastAsia"/>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bl>
    <w:p w14:paraId="7F7B1CC4" w14:textId="77777777" w:rsidR="007B4DCD" w:rsidRDefault="007B4DCD">
      <w:pPr>
        <w:pStyle w:val="Doc-text2"/>
        <w:ind w:left="0" w:firstLine="0"/>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16FCC22A" w14:textId="525D453B" w:rsidR="007022A8" w:rsidRDefault="003E2AA7" w:rsidP="00EC56F2">
            <w:pPr>
              <w:rPr>
                <w:rFonts w:eastAsiaTheme="minorEastAsia" w:cs="Arial"/>
                <w:sz w:val="18"/>
                <w:szCs w:val="18"/>
                <w:lang w:val="en-US" w:eastAsia="zh-CN"/>
              </w:rPr>
            </w:pPr>
            <w:r>
              <w:rPr>
                <w:rFonts w:eastAsiaTheme="minorEastAsia" w:cs="Arial"/>
                <w:sz w:val="18"/>
                <w:szCs w:val="18"/>
                <w:lang w:val="en-US" w:eastAsia="zh-CN"/>
              </w:rPr>
              <w:t>See Comments</w:t>
            </w:r>
          </w:p>
        </w:tc>
        <w:tc>
          <w:tcPr>
            <w:tcW w:w="6707" w:type="dxa"/>
          </w:tcPr>
          <w:p w14:paraId="79B17B0E" w14:textId="6D4E8A11" w:rsidR="007022A8" w:rsidRDefault="003E2AA7" w:rsidP="00A06845">
            <w:pPr>
              <w:rPr>
                <w:rFonts w:eastAsiaTheme="minorEastAsia" w:cs="Arial"/>
                <w:sz w:val="18"/>
                <w:szCs w:val="18"/>
                <w:lang w:val="en-US" w:eastAsia="zh-CN"/>
              </w:rPr>
            </w:pPr>
            <w:r>
              <w:t>We agree that SRS switching capability may be changed but we are not sure whether UE needs to indicate to the NW A explicitly as others commented. Thus, we suggest to discuss this aspect first.</w:t>
            </w:r>
            <w:bookmarkStart w:id="6" w:name="_GoBack"/>
            <w:bookmarkEnd w:id="6"/>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lastRenderedPageBreak/>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w:t>
            </w:r>
            <w:proofErr w:type="spellStart"/>
            <w:r>
              <w:rPr>
                <w:rFonts w:ascii="Arial" w:hAnsi="Arial" w:cs="Arial"/>
                <w:sz w:val="18"/>
                <w:szCs w:val="18"/>
              </w:rPr>
              <w:t>Tx</w:t>
            </w:r>
            <w:proofErr w:type="spellEnd"/>
            <w:r>
              <w:rPr>
                <w:rFonts w:ascii="Arial" w:hAnsi="Arial" w:cs="Arial"/>
                <w:sz w:val="18"/>
                <w:szCs w:val="18"/>
              </w:rPr>
              <w:t xml:space="preserve">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BandCombination-v1540</w:t>
      </w:r>
      <w:proofErr w:type="gramStart"/>
      <w:r>
        <w:rPr>
          <w:highlight w:val="yellow"/>
        </w:rPr>
        <w:t>::=</w:t>
      </w:r>
      <w:proofErr w:type="gramEnd"/>
      <w:r>
        <w:t xml:space="preserve">            </w:t>
      </w:r>
      <w:r>
        <w:rPr>
          <w:color w:val="993366"/>
        </w:rPr>
        <w:t>SEQUENCE</w:t>
      </w:r>
      <w:r>
        <w:t xml:space="preserve"> {</w:t>
      </w:r>
    </w:p>
    <w:p w14:paraId="414CCE62" w14:textId="77777777" w:rsidR="007B4DCD" w:rsidRDefault="00BC4065">
      <w:pPr>
        <w:pStyle w:val="PL"/>
      </w:pPr>
      <w:r>
        <w:t xml:space="preserve">    </w:t>
      </w:r>
      <w:proofErr w:type="gramStart"/>
      <w:r>
        <w:rPr>
          <w:highlight w:val="yellow"/>
        </w:rPr>
        <w:t>bandList-v1540</w:t>
      </w:r>
      <w:proofErr w:type="gramEnd"/>
      <w:r>
        <w:rPr>
          <w:highlight w:val="yellow"/>
        </w:rPr>
        <w:t xml:space="preserve">                      </w:t>
      </w:r>
      <w:r>
        <w:rPr>
          <w:color w:val="993366"/>
          <w:highlight w:val="yellow"/>
        </w:rPr>
        <w:t>SEQUENCE</w:t>
      </w:r>
      <w:r>
        <w:rPr>
          <w:highlight w:val="yellow"/>
        </w:rPr>
        <w:t xml:space="preserve"> (</w:t>
      </w:r>
      <w:r>
        <w:rPr>
          <w:color w:val="993366"/>
          <w:highlight w:val="yellow"/>
        </w:rPr>
        <w:t>SIZE</w:t>
      </w:r>
      <w:r>
        <w:rPr>
          <w:highlight w:val="yellow"/>
        </w:rPr>
        <w:t xml:space="preserve"> (1..maxSimultaneousBands))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w:t>
      </w:r>
      <w:proofErr w:type="gramStart"/>
      <w:r>
        <w:rPr>
          <w:highlight w:val="cyan"/>
        </w:rPr>
        <w:t>v1610 :</w:t>
      </w:r>
      <w:proofErr w:type="gramEnd"/>
      <w:r>
        <w:rPr>
          <w:highlight w:val="cyan"/>
        </w:rPr>
        <w:t>:=</w:t>
      </w:r>
      <w:r>
        <w:t xml:space="preserve">          </w:t>
      </w:r>
      <w:r>
        <w:rPr>
          <w:color w:val="993366"/>
        </w:rPr>
        <w:t>SEQUENCE</w:t>
      </w:r>
      <w:r>
        <w:t xml:space="preserve"> {</w:t>
      </w:r>
    </w:p>
    <w:p w14:paraId="64BCA0B4" w14:textId="77777777" w:rsidR="007B4DCD" w:rsidRDefault="00BC4065">
      <w:pPr>
        <w:pStyle w:val="PL"/>
      </w:pPr>
      <w:r>
        <w:t xml:space="preserve">    </w:t>
      </w:r>
      <w:proofErr w:type="gramStart"/>
      <w:r>
        <w:rPr>
          <w:highlight w:val="cyan"/>
        </w:rPr>
        <w:t>bandList-v1610</w:t>
      </w:r>
      <w:proofErr w:type="gramEnd"/>
      <w:r>
        <w:rPr>
          <w:highlight w:val="cyan"/>
        </w:rPr>
        <w:t xml:space="preserve">                      </w:t>
      </w:r>
      <w:r>
        <w:rPr>
          <w:color w:val="993366"/>
          <w:highlight w:val="cyan"/>
        </w:rPr>
        <w:t>SEQUENCE</w:t>
      </w:r>
      <w:r>
        <w:rPr>
          <w:highlight w:val="cyan"/>
        </w:rPr>
        <w:t xml:space="preserve"> (</w:t>
      </w:r>
      <w:r>
        <w:rPr>
          <w:color w:val="993366"/>
          <w:highlight w:val="cyan"/>
        </w:rPr>
        <w:t>SIZE</w:t>
      </w:r>
      <w:r>
        <w:rPr>
          <w:highlight w:val="cyan"/>
        </w:rPr>
        <w:t xml:space="preserve"> (1..maxSimultaneousBands))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w:t>
      </w:r>
      <w:proofErr w:type="gramStart"/>
      <w:r>
        <w:rPr>
          <w:highlight w:val="yellow"/>
        </w:rPr>
        <w:t>v1540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proofErr w:type="gramStart"/>
      <w:r>
        <w:t>srs-SwitchingTimesListNR</w:t>
      </w:r>
      <w:proofErr w:type="spellEnd"/>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proofErr w:type="gramStart"/>
      <w:r>
        <w:t>srs-SwitchingTimesListEUTRA</w:t>
      </w:r>
      <w:proofErr w:type="spellEnd"/>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proofErr w:type="gramStart"/>
      <w:r>
        <w:t>txSwitchImpactToRx</w:t>
      </w:r>
      <w:proofErr w:type="spellEnd"/>
      <w:proofErr w:type="gramEnd"/>
      <w:r>
        <w:t xml:space="preserve">              </w:t>
      </w:r>
      <w:r>
        <w:rPr>
          <w:color w:val="993366"/>
        </w:rPr>
        <w:t>INTEGER</w:t>
      </w:r>
      <w:r>
        <w:t xml:space="preserve"> (1..32)                            </w:t>
      </w:r>
      <w:r>
        <w:rPr>
          <w:color w:val="993366"/>
        </w:rPr>
        <w:t>OPTIONAL</w:t>
      </w:r>
      <w:r>
        <w:t>,</w:t>
      </w:r>
    </w:p>
    <w:p w14:paraId="277A7579" w14:textId="77777777" w:rsidR="007B4DCD" w:rsidRDefault="00BC4065">
      <w:pPr>
        <w:pStyle w:val="PL"/>
      </w:pPr>
      <w:r>
        <w:t xml:space="preserve">        </w:t>
      </w:r>
      <w:proofErr w:type="spellStart"/>
      <w:proofErr w:type="gramStart"/>
      <w:r>
        <w:t>txSwitchWithAnotherBand</w:t>
      </w:r>
      <w:proofErr w:type="spellEnd"/>
      <w:proofErr w:type="gramEnd"/>
      <w:r>
        <w:t xml:space="preserve">         </w:t>
      </w:r>
      <w:r>
        <w:rPr>
          <w:color w:val="993366"/>
        </w:rPr>
        <w:t>INTEGER</w:t>
      </w:r>
      <w:r>
        <w:t xml:space="preserve"> (1..32)                            </w:t>
      </w:r>
      <w:r>
        <w:rPr>
          <w:color w:val="993366"/>
        </w:rPr>
        <w:t>OPTIONAL</w:t>
      </w:r>
    </w:p>
    <w:p w14:paraId="1FF96785" w14:textId="77777777" w:rsidR="007B4DCD" w:rsidRDefault="00BC4065">
      <w:pPr>
        <w:pStyle w:val="PL"/>
      </w:pPr>
      <w:r>
        <w:t xml:space="preserve">    }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w:t>
      </w:r>
      <w:proofErr w:type="gramStart"/>
      <w:r>
        <w:rPr>
          <w:highlight w:val="cyan"/>
        </w:rPr>
        <w:t>v1610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w:t>
      </w:r>
      <w:proofErr w:type="gramStart"/>
      <w:r>
        <w:rPr>
          <w:highlight w:val="cyan"/>
        </w:rPr>
        <w:t xml:space="preserve">v1610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7" w:name="OLE_LINK1"/>
            <w:r>
              <w:rPr>
                <w:rFonts w:eastAsiaTheme="minorEastAsia" w:cs="Arial"/>
                <w:sz w:val="18"/>
                <w:szCs w:val="18"/>
                <w:lang w:val="en-US" w:eastAsia="zh-CN"/>
              </w:rPr>
              <w:t>Yes</w:t>
            </w:r>
            <w:bookmarkEnd w:id="7"/>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lastRenderedPageBreak/>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Option 2 and  whether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r>
              <w:rPr>
                <w:rFonts w:eastAsiaTheme="minorEastAsia" w:cs="Arial" w:hint="eastAsia"/>
                <w:sz w:val="18"/>
                <w:szCs w:val="18"/>
                <w:lang w:val="en-US" w:eastAsia="zh-CN"/>
              </w:rPr>
              <w:t>a</w:t>
            </w:r>
            <w:proofErr w:type="spell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(i.e. non-serving CC/bands) and reactive (i.e. serving CC/bands) reporting by the UE to the NW A.  Option 3 and 4 do not allow proactive reporting. We can discuss signalling optimization later (e.g. using SCell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lastRenderedPageBreak/>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Option 3 maybe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bl>
    <w:p w14:paraId="522B80C3" w14:textId="77777777" w:rsidR="007B4DCD" w:rsidRDefault="007B4DCD">
      <w:pPr>
        <w:pStyle w:val="Doc-text2"/>
        <w:ind w:left="0" w:firstLine="0"/>
        <w:rPr>
          <w:rFonts w:eastAsiaTheme="minorEastAsia"/>
        </w:rPr>
      </w:pPr>
    </w:p>
    <w:p w14:paraId="69F78AA9" w14:textId="77777777" w:rsidR="007B4DCD" w:rsidRDefault="007B4DCD">
      <w:pPr>
        <w:pStyle w:val="Doc-text2"/>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lastRenderedPageBreak/>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Default="00BC4065">
            <w:pPr>
              <w:pStyle w:val="TAL"/>
              <w:rPr>
                <w:b/>
                <w:i/>
              </w:rPr>
            </w:pPr>
            <w:r>
              <w:rPr>
                <w:b/>
                <w:i/>
              </w:rPr>
              <w:lastRenderedPageBreak/>
              <w:t>ca-BandwidthClassDL-NR</w:t>
            </w:r>
          </w:p>
          <w:p w14:paraId="6CD1D867" w14:textId="272A4559"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Default="00BC4065">
            <w:pPr>
              <w:pStyle w:val="TAL"/>
              <w:rPr>
                <w:b/>
                <w:i/>
              </w:rPr>
            </w:pPr>
            <w:r>
              <w:rPr>
                <w:b/>
                <w:i/>
              </w:rPr>
              <w:t>ca-BandwidthClassUL-NR</w:t>
            </w:r>
          </w:p>
          <w:p w14:paraId="0B1D91F6" w14:textId="777E3DCF"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lastRenderedPageBreak/>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uplink scheduling, PHR is sufficient information for the gNB.</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outlineLvl w:val="2"/>
              <w:rPr>
                <w:i/>
                <w:highlight w:val="yellow"/>
                <w:lang w:eastAsia="ko-KR"/>
              </w:rPr>
            </w:pPr>
            <w:bookmarkStart w:id="8" w:name="_Toc37296205"/>
            <w:bookmarkStart w:id="9" w:name="_Toc46490331"/>
            <w:bookmarkStart w:id="10" w:name="_Toc52752026"/>
            <w:bookmarkStart w:id="11" w:name="_Toc52796488"/>
            <w:bookmarkStart w:id="12" w:name="_Toc115557900"/>
            <w:r w:rsidRPr="00EA6D6E">
              <w:rPr>
                <w:i/>
                <w:highlight w:val="yellow"/>
                <w:lang w:eastAsia="ko-KR"/>
              </w:rPr>
              <w:t>5.4.6</w:t>
            </w:r>
            <w:r w:rsidRPr="00EA6D6E">
              <w:rPr>
                <w:i/>
                <w:highlight w:val="yellow"/>
                <w:lang w:eastAsia="ko-KR"/>
              </w:rPr>
              <w:tab/>
              <w:t>Power Headroom Reporting</w:t>
            </w:r>
            <w:bookmarkEnd w:id="8"/>
            <w:bookmarkEnd w:id="9"/>
            <w:bookmarkEnd w:id="10"/>
            <w:bookmarkEnd w:id="11"/>
            <w:bookmarkEnd w:id="12"/>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 xml:space="preserve">We can leave to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 xml:space="preserve">the power </w:t>
            </w:r>
            <w:proofErr w:type="spellStart"/>
            <w:r w:rsidR="001A60B8">
              <w:rPr>
                <w:rFonts w:eastAsiaTheme="minorEastAsia" w:cs="Arial"/>
                <w:sz w:val="18"/>
                <w:szCs w:val="18"/>
                <w:lang w:val="en-US" w:eastAsia="zh-CN"/>
              </w:rPr>
              <w:t>backoff</w:t>
            </w:r>
            <w:proofErr w:type="spellEnd"/>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w:t>
            </w:r>
            <w:proofErr w:type="spellStart"/>
            <w:r w:rsidR="002679B5">
              <w:rPr>
                <w:rFonts w:eastAsiaTheme="minorEastAsia" w:cs="Arial"/>
                <w:sz w:val="18"/>
                <w:szCs w:val="18"/>
                <w:lang w:val="en-US" w:eastAsia="zh-CN"/>
              </w:rPr>
              <w:t>maybe</w:t>
            </w:r>
            <w:proofErr w:type="spellEnd"/>
            <w:r w:rsidR="002679B5">
              <w:rPr>
                <w:rFonts w:eastAsiaTheme="minorEastAsia" w:cs="Arial"/>
                <w:sz w:val="18"/>
                <w:szCs w:val="18"/>
                <w:lang w:val="en-US" w:eastAsia="zh-CN"/>
              </w:rPr>
              <w:t xml:space="preserve"> higher power </w:t>
            </w:r>
            <w:proofErr w:type="spellStart"/>
            <w:r w:rsidR="002679B5">
              <w:rPr>
                <w:rFonts w:eastAsiaTheme="minorEastAsia" w:cs="Arial"/>
                <w:sz w:val="18"/>
                <w:szCs w:val="18"/>
                <w:lang w:val="en-US" w:eastAsia="zh-CN"/>
              </w:rPr>
              <w:t>backoff</w:t>
            </w:r>
            <w:proofErr w:type="spellEnd"/>
            <w:r w:rsidR="002679B5">
              <w:rPr>
                <w:rFonts w:eastAsiaTheme="minorEastAsia" w:cs="Arial"/>
                <w:sz w:val="18"/>
                <w:szCs w:val="18"/>
                <w:lang w:val="en-US" w:eastAsia="zh-CN"/>
              </w:rPr>
              <w:t xml:space="preserve">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lastRenderedPageBreak/>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r>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w:t>
            </w:r>
            <w:proofErr w:type="spellStart"/>
            <w:r>
              <w:rPr>
                <w:rFonts w:eastAsiaTheme="minorEastAsia" w:cs="Arial"/>
                <w:sz w:val="18"/>
                <w:szCs w:val="18"/>
                <w:lang w:val="en-US" w:eastAsia="zh-CN"/>
              </w:rPr>
              <w:t>U</w:t>
            </w:r>
            <w:r w:rsidR="009A1D0B">
              <w:rPr>
                <w:rFonts w:eastAsiaTheme="minorEastAsia" w:cs="Arial"/>
                <w:sz w:val="18"/>
                <w:szCs w:val="18"/>
                <w:lang w:val="en-US" w:eastAsia="zh-CN"/>
              </w:rPr>
              <w:t>e</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bl>
    <w:p w14:paraId="6FACFBBE" w14:textId="77777777" w:rsidR="007B4DCD" w:rsidRDefault="007B4DCD">
      <w:pPr>
        <w:pStyle w:val="Doc-text2"/>
        <w:ind w:left="0" w:firstLine="0"/>
      </w:pPr>
    </w:p>
    <w:p w14:paraId="5A429784" w14:textId="77777777" w:rsidR="007B4DCD" w:rsidRDefault="00BC4065">
      <w:pPr>
        <w:pStyle w:val="Heading1"/>
        <w:rPr>
          <w:rFonts w:cs="Arial"/>
        </w:rPr>
      </w:pPr>
      <w:r>
        <w:rPr>
          <w:rFonts w:cs="Arial"/>
          <w:lang w:eastAsia="zh-CN"/>
        </w:rPr>
        <w:lastRenderedPageBreak/>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 xml:space="preserve">Capability sharing issue for SRS </w:t>
      </w:r>
      <w:proofErr w:type="spellStart"/>
      <w:r>
        <w:t>Tx</w:t>
      </w:r>
      <w:proofErr w:type="spellEnd"/>
      <w:r>
        <w:t xml:space="preserve">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 xml:space="preserve">Discussion on temporary capability restriction for Dual </w:t>
      </w:r>
      <w:proofErr w:type="spellStart"/>
      <w:r>
        <w:t>Tx</w:t>
      </w:r>
      <w:proofErr w:type="spellEnd"/>
      <w:r>
        <w:t>/Rx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4753" w14:textId="77777777" w:rsidR="00250BA9" w:rsidRDefault="00250BA9">
      <w:pPr>
        <w:spacing w:after="0"/>
      </w:pPr>
      <w:r>
        <w:separator/>
      </w:r>
    </w:p>
  </w:endnote>
  <w:endnote w:type="continuationSeparator" w:id="0">
    <w:p w14:paraId="10BF5BC0" w14:textId="77777777" w:rsidR="00250BA9" w:rsidRDefault="00250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C5E6" w14:textId="61065B3B" w:rsidR="000932BE" w:rsidRDefault="000932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E2AA7">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2AA7">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E70C4" w14:textId="77777777" w:rsidR="00250BA9" w:rsidRDefault="00250BA9">
      <w:pPr>
        <w:spacing w:after="0"/>
      </w:pPr>
      <w:r>
        <w:separator/>
      </w:r>
    </w:p>
  </w:footnote>
  <w:footnote w:type="continuationSeparator" w:id="0">
    <w:p w14:paraId="244BEAD0" w14:textId="77777777" w:rsidR="00250BA9" w:rsidRDefault="00250B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7DA3" w14:textId="77777777" w:rsidR="000932BE" w:rsidRDefault="000932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0BA9"/>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066"/>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AA7"/>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15DF"/>
    <w:rsid w:val="00542455"/>
    <w:rsid w:val="00543417"/>
    <w:rsid w:val="0054358A"/>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2A8"/>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D5C"/>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C7EA6"/>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32D67BC4-38D4-46D1-8D2D-BCA99575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7258</Words>
  <Characters>41371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(Aby)</cp:lastModifiedBy>
  <cp:revision>39</cp:revision>
  <cp:lastPrinted>2008-01-31T07:09:00Z</cp:lastPrinted>
  <dcterms:created xsi:type="dcterms:W3CDTF">2023-04-21T02:30:00Z</dcterms:created>
  <dcterms:modified xsi:type="dcterms:W3CDTF">2023-04-21T06:39:00Z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ies>
</file>