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230][</w:t>
      </w:r>
      <w:proofErr w:type="gramEnd"/>
      <w:r>
        <w:rPr>
          <w:rFonts w:cs="Arial"/>
          <w:b/>
          <w:sz w:val="24"/>
          <w:szCs w:val="24"/>
        </w:rPr>
        <w:t>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w:t>
      </w:r>
      <w:proofErr w:type="gramStart"/>
      <w:r>
        <w:rPr>
          <w:rFonts w:cs="Arial"/>
          <w:szCs w:val="20"/>
        </w:rPr>
        <w:t>230][</w:t>
      </w:r>
      <w:proofErr w:type="gramEnd"/>
      <w:r>
        <w:rPr>
          <w:rFonts w:cs="Arial"/>
          <w:szCs w:val="20"/>
        </w:rPr>
        <w:t>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r>
              <w:rPr>
                <w:rFonts w:cs="Arial" w:hint="eastAsia"/>
                <w:lang w:val="en-US"/>
              </w:rPr>
              <w:t>Wenting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Huawei/HiSilicon</w:t>
            </w:r>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Rama Kumar Mopidevi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77777777"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3F2671D1" w14:textId="77777777" w:rsidR="00A05725" w:rsidRDefault="00A05725" w:rsidP="00A05725">
            <w:pPr>
              <w:pStyle w:val="TAC"/>
              <w:jc w:val="left"/>
              <w:rPr>
                <w:rFonts w:cs="Arial"/>
                <w:lang w:val="en-US" w:eastAsia="ko-KR"/>
              </w:rPr>
            </w:pPr>
          </w:p>
        </w:tc>
      </w:tr>
      <w:tr w:rsidR="00A05725"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77777777"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16D3AFEA" w14:textId="77777777" w:rsidR="00A05725" w:rsidRDefault="00A05725" w:rsidP="00A05725">
            <w:pPr>
              <w:pStyle w:val="TAC"/>
              <w:jc w:val="left"/>
              <w:rPr>
                <w:rFonts w:cs="Arial"/>
                <w:lang w:val="en-US" w:eastAsia="ko-KR"/>
              </w:rPr>
            </w:pP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77777777"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084D55FB" w14:textId="77777777" w:rsidR="00A05725" w:rsidRDefault="00A05725" w:rsidP="00A05725">
            <w:pPr>
              <w:pStyle w:val="TAC"/>
              <w:jc w:val="left"/>
              <w:rPr>
                <w:rFonts w:cs="Arial"/>
                <w:lang w:val="en-US" w:eastAsia="ko-KR"/>
              </w:rPr>
            </w:pP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tc>
          <w:tcPr>
            <w:tcW w:w="1312"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940"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tc>
          <w:tcPr>
            <w:tcW w:w="1312"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70DDBABA" w14:textId="77777777" w:rsidR="007B4DCD" w:rsidRDefault="007B4DCD">
            <w:pPr>
              <w:rPr>
                <w:rFonts w:eastAsiaTheme="minorEastAsia" w:cs="Arial"/>
                <w:sz w:val="18"/>
                <w:szCs w:val="18"/>
                <w:lang w:val="en-US" w:eastAsia="zh-CN"/>
              </w:rPr>
            </w:pPr>
          </w:p>
        </w:tc>
      </w:tr>
      <w:tr w:rsidR="007B4DCD" w14:paraId="6B346025" w14:textId="77777777">
        <w:tc>
          <w:tcPr>
            <w:tcW w:w="1312"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4ED56299" w14:textId="77777777" w:rsidR="007B4DCD" w:rsidRDefault="007B4DCD">
            <w:pPr>
              <w:rPr>
                <w:rFonts w:eastAsiaTheme="minorEastAsia" w:cs="Arial"/>
                <w:sz w:val="18"/>
                <w:szCs w:val="18"/>
                <w:lang w:val="en-US" w:eastAsia="zh-CN"/>
              </w:rPr>
            </w:pPr>
          </w:p>
        </w:tc>
      </w:tr>
      <w:tr w:rsidR="007B4DCD" w14:paraId="3A62687D" w14:textId="77777777">
        <w:tc>
          <w:tcPr>
            <w:tcW w:w="1312"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77"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14:paraId="7E450F21" w14:textId="77777777" w:rsidR="007B4DCD" w:rsidRDefault="007B4DCD">
            <w:pPr>
              <w:rPr>
                <w:rFonts w:eastAsiaTheme="minorEastAsia" w:cs="Arial"/>
                <w:sz w:val="18"/>
                <w:szCs w:val="18"/>
                <w:lang w:val="en-US" w:eastAsia="zh-CN"/>
              </w:rPr>
            </w:pPr>
          </w:p>
        </w:tc>
      </w:tr>
      <w:tr w:rsidR="00BC4065" w14:paraId="5EF6B6E1" w14:textId="77777777">
        <w:tc>
          <w:tcPr>
            <w:tcW w:w="1312"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14:paraId="0BEEB086" w14:textId="77777777" w:rsidR="00BC4065" w:rsidRDefault="00BC4065">
            <w:pPr>
              <w:rPr>
                <w:rFonts w:eastAsiaTheme="minorEastAsia" w:cs="Arial"/>
                <w:sz w:val="18"/>
                <w:szCs w:val="18"/>
                <w:lang w:val="en-US" w:eastAsia="zh-CN"/>
              </w:rPr>
            </w:pPr>
          </w:p>
        </w:tc>
      </w:tr>
      <w:tr w:rsidR="00252651" w14:paraId="542A7215" w14:textId="77777777">
        <w:tc>
          <w:tcPr>
            <w:tcW w:w="1312"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61C4C0EF" w14:textId="77777777" w:rsidR="00252651" w:rsidRDefault="00252651">
            <w:pPr>
              <w:rPr>
                <w:rFonts w:eastAsiaTheme="minorEastAsia" w:cs="Arial"/>
                <w:sz w:val="18"/>
                <w:szCs w:val="18"/>
                <w:lang w:val="en-US" w:eastAsia="zh-CN"/>
              </w:rPr>
            </w:pPr>
          </w:p>
        </w:tc>
      </w:tr>
      <w:tr w:rsidR="005038DB" w14:paraId="152C3FE1" w14:textId="77777777">
        <w:tc>
          <w:tcPr>
            <w:tcW w:w="1312"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047EF290" w14:textId="77777777" w:rsidR="005038DB" w:rsidRDefault="005038DB">
            <w:pPr>
              <w:rPr>
                <w:rFonts w:eastAsiaTheme="minorEastAsia" w:cs="Arial"/>
                <w:sz w:val="18"/>
                <w:szCs w:val="18"/>
                <w:lang w:val="en-US" w:eastAsia="zh-CN"/>
              </w:rPr>
            </w:pPr>
          </w:p>
        </w:tc>
      </w:tr>
    </w:tbl>
    <w:p w14:paraId="7B6760A0" w14:textId="77777777"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outlineLvl w:val="3"/>
              <w:rPr>
                <w:lang w:eastAsia="en-US"/>
              </w:rPr>
            </w:pPr>
            <w:bookmarkStart w:id="2" w:name="_Toc115428699"/>
            <w:r>
              <w:rPr>
                <w:lang w:eastAsia="en-US"/>
              </w:rPr>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Default="00BC4065">
            <w:pPr>
              <w:pStyle w:val="TAL"/>
              <w:rPr>
                <w:b/>
                <w:bCs/>
                <w:i/>
                <w:iCs/>
              </w:rPr>
            </w:pPr>
            <w:r>
              <w:rPr>
                <w:b/>
                <w:bCs/>
                <w:i/>
                <w:iCs/>
              </w:rPr>
              <w:lastRenderedPageBreak/>
              <w:t>maxNumberMIMO-LayersPDSCH</w:t>
            </w:r>
          </w:p>
          <w:p w14:paraId="7E57D8E1" w14:textId="77777777"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Default="00BC4065">
            <w:pPr>
              <w:pStyle w:val="TAL"/>
              <w:rPr>
                <w:b/>
                <w:bCs/>
                <w:i/>
                <w:iCs/>
              </w:rPr>
            </w:pPr>
            <w:r>
              <w:rPr>
                <w:b/>
                <w:bCs/>
                <w:i/>
                <w:iCs/>
              </w:rPr>
              <w:t>maxNumberMIMO-LayersCB-PUSCH</w:t>
            </w:r>
          </w:p>
          <w:p w14:paraId="44B5C34E" w14:textId="77777777"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Default="00BC4065">
            <w:pPr>
              <w:pStyle w:val="TAL"/>
              <w:rPr>
                <w:b/>
                <w:bCs/>
                <w:i/>
                <w:iCs/>
              </w:rPr>
            </w:pPr>
            <w:r>
              <w:rPr>
                <w:b/>
                <w:bCs/>
                <w:i/>
                <w:iCs/>
              </w:rPr>
              <w:t>maxNumberMIMO-LayersNonCB-PUSCH</w:t>
            </w:r>
          </w:p>
          <w:p w14:paraId="335187E1" w14:textId="77777777" w:rsidR="007B4DCD" w:rsidRDefault="00BC4065">
            <w:pPr>
              <w:pStyle w:val="TAL"/>
            </w:pPr>
            <w:r>
              <w:t>Defines supported maximum number of MIMO layers at the UE for PUSCH transmission using non-codebook precoding.</w:t>
            </w:r>
          </w:p>
          <w:p w14:paraId="59D69083" w14:textId="77777777"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tc>
          <w:tcPr>
            <w:tcW w:w="1312"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940"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tc>
          <w:tcPr>
            <w:tcW w:w="1312"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940"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tc>
          <w:tcPr>
            <w:tcW w:w="1312"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940"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tc>
          <w:tcPr>
            <w:tcW w:w="1312"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940"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tc>
          <w:tcPr>
            <w:tcW w:w="1312"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940"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tc>
          <w:tcPr>
            <w:tcW w:w="1312"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tc>
          <w:tcPr>
            <w:tcW w:w="1312"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940"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bl>
    <w:p w14:paraId="316880F2" w14:textId="77777777" w:rsidR="007B4DCD" w:rsidRDefault="007B4DCD">
      <w:pPr>
        <w:pStyle w:val="Doc-text2"/>
        <w:ind w:left="0" w:firstLine="0"/>
        <w:rPr>
          <w:rFonts w:eastAsiaTheme="minorEastAsia"/>
        </w:rPr>
      </w:pPr>
    </w:p>
    <w:p w14:paraId="11278747" w14:textId="77777777" w:rsidR="007B4DCD" w:rsidRDefault="007B4DCD">
      <w:pPr>
        <w:pStyle w:val="Doc-text2"/>
        <w:ind w:left="0" w:firstLine="0"/>
        <w:rPr>
          <w:rFonts w:eastAsiaTheme="minorEastAsia"/>
        </w:rPr>
      </w:pPr>
    </w:p>
    <w:p w14:paraId="347D6D95" w14:textId="77777777" w:rsidR="007B4DCD" w:rsidRDefault="00BC4065">
      <w:pPr>
        <w:pStyle w:val="Heading2"/>
        <w:rPr>
          <w:rFonts w:eastAsia="MS Mincho"/>
        </w:rPr>
      </w:pPr>
      <w:r>
        <w:rPr>
          <w:rFonts w:eastAsia="MS Mincho"/>
        </w:rPr>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4E42CF">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r w:rsidR="00BC4065">
                <w:rPr>
                  <w:rStyle w:val="Hyperlink"/>
                  <w:rFonts w:cs="Arial"/>
                  <w:b w:val="0"/>
                  <w:i/>
                  <w:iCs/>
                  <w:color w:val="auto"/>
                  <w:sz w:val="18"/>
                  <w:szCs w:val="18"/>
                  <w:u w:val="none"/>
                </w:rPr>
                <w:t>independentGapConfig</w:t>
              </w:r>
              <w:r w:rsidR="00BC4065">
                <w:rPr>
                  <w:rStyle w:val="Hyperlink"/>
                  <w:rFonts w:cs="Arial"/>
                  <w:b w:val="0"/>
                  <w:color w:val="auto"/>
                  <w:sz w:val="18"/>
                  <w:szCs w:val="18"/>
                  <w:u w:val="none"/>
                </w:rPr>
                <w:t xml:space="preserve"> is restricted in UAI message.</w:t>
              </w:r>
            </w:hyperlink>
          </w:p>
          <w:p w14:paraId="239FB183" w14:textId="77777777" w:rsidR="007B4DCD" w:rsidRDefault="004E42CF">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4E42CF">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tc>
          <w:tcPr>
            <w:tcW w:w="1312"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tc>
          <w:tcPr>
            <w:tcW w:w="1312"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0D8A8997" w14:textId="77777777" w:rsidR="007B4DCD" w:rsidRDefault="007B4DCD">
            <w:pPr>
              <w:rPr>
                <w:rFonts w:eastAsiaTheme="minorEastAsia" w:cs="Arial"/>
                <w:sz w:val="18"/>
                <w:szCs w:val="18"/>
                <w:lang w:val="en-US" w:eastAsia="zh-CN"/>
              </w:rPr>
            </w:pPr>
          </w:p>
        </w:tc>
      </w:tr>
      <w:tr w:rsidR="007B4DCD" w14:paraId="3B8B7908" w14:textId="77777777">
        <w:tc>
          <w:tcPr>
            <w:tcW w:w="1312"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3833F003" w14:textId="77777777" w:rsidR="007B4DCD" w:rsidRDefault="007B4DCD">
            <w:pPr>
              <w:rPr>
                <w:rFonts w:eastAsiaTheme="minorEastAsia" w:cs="Arial"/>
                <w:sz w:val="18"/>
                <w:szCs w:val="18"/>
                <w:lang w:val="en-US" w:eastAsia="zh-CN"/>
              </w:rPr>
            </w:pPr>
          </w:p>
        </w:tc>
      </w:tr>
      <w:tr w:rsidR="007B4DCD" w14:paraId="68902FAF" w14:textId="77777777">
        <w:tc>
          <w:tcPr>
            <w:tcW w:w="1312"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77"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14:paraId="6E2A51C7" w14:textId="77777777" w:rsidR="007B4DCD" w:rsidRDefault="007B4DCD">
            <w:pPr>
              <w:rPr>
                <w:rFonts w:eastAsiaTheme="minorEastAsia" w:cs="Arial"/>
                <w:sz w:val="18"/>
                <w:szCs w:val="18"/>
                <w:lang w:val="en-US" w:eastAsia="zh-CN"/>
              </w:rPr>
            </w:pPr>
          </w:p>
        </w:tc>
      </w:tr>
      <w:tr w:rsidR="001E1D4E" w14:paraId="28787B44" w14:textId="77777777">
        <w:tc>
          <w:tcPr>
            <w:tcW w:w="1312"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14:paraId="24609673" w14:textId="77777777" w:rsidR="001E1D4E" w:rsidRDefault="001E1D4E">
            <w:pPr>
              <w:rPr>
                <w:rFonts w:eastAsiaTheme="minorEastAsia" w:cs="Arial"/>
                <w:sz w:val="18"/>
                <w:szCs w:val="18"/>
                <w:lang w:val="en-US" w:eastAsia="zh-CN"/>
              </w:rPr>
            </w:pPr>
          </w:p>
        </w:tc>
      </w:tr>
      <w:tr w:rsidR="00D11DC7" w14:paraId="56B7F9C4" w14:textId="77777777">
        <w:tc>
          <w:tcPr>
            <w:tcW w:w="1312"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tc>
          <w:tcPr>
            <w:tcW w:w="1312"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590D1EF1" w14:textId="77777777" w:rsidR="005038DB" w:rsidRDefault="005038DB">
            <w:pPr>
              <w:rPr>
                <w:rFonts w:eastAsiaTheme="minorEastAsia" w:cs="Arial"/>
                <w:sz w:val="18"/>
                <w:szCs w:val="18"/>
                <w:lang w:val="en-US" w:eastAsia="zh-CN"/>
              </w:rPr>
            </w:pPr>
          </w:p>
        </w:tc>
      </w:tr>
    </w:tbl>
    <w:p w14:paraId="6AF5B5AF" w14:textId="77777777" w:rsidR="007B4DCD" w:rsidRDefault="007B4DCD">
      <w:pPr>
        <w:pStyle w:val="Doc-text2"/>
        <w:ind w:left="0" w:firstLine="0"/>
        <w:rPr>
          <w:rFonts w:eastAsiaTheme="minorEastAsia"/>
        </w:rPr>
      </w:pPr>
    </w:p>
    <w:p w14:paraId="6F47E079" w14:textId="77777777"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proofErr w:type="spellStart"/>
      <w:r>
        <w:rPr>
          <w:rFonts w:eastAsiaTheme="minorEastAsia"/>
          <w:lang w:val="en-US"/>
        </w:rPr>
        <w:t>requirment</w:t>
      </w:r>
      <w:proofErr w:type="spellEnd"/>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outlineLvl w:val="3"/>
              <w:rPr>
                <w:rFonts w:eastAsia="MS Mincho"/>
                <w:lang w:eastAsia="en-US"/>
              </w:rPr>
            </w:pPr>
            <w:bookmarkStart w:id="3" w:name="_Toc115428465"/>
            <w:bookmarkStart w:id="4" w:name="_Toc60776760"/>
            <w:r>
              <w:rPr>
                <w:rFonts w:eastAsia="MS Mincho"/>
                <w:lang w:eastAsia="en-US"/>
              </w:rPr>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3"/>
            <w:bookmarkEnd w:id="4"/>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Default="007B4DCD">
      <w:pPr>
        <w:pStyle w:val="Doc-text2"/>
        <w:ind w:left="0" w:firstLine="0"/>
        <w:rPr>
          <w:rFonts w:eastAsiaTheme="minorEastAsia"/>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tc>
          <w:tcPr>
            <w:tcW w:w="1312"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tc>
          <w:tcPr>
            <w:tcW w:w="1312"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22559B09" w14:textId="77777777" w:rsidR="007B4DCD" w:rsidRDefault="007B4DCD">
            <w:pPr>
              <w:rPr>
                <w:rFonts w:eastAsiaTheme="minorEastAsia" w:cs="Arial"/>
                <w:sz w:val="18"/>
                <w:szCs w:val="18"/>
                <w:lang w:val="en-US" w:eastAsia="zh-CN"/>
              </w:rPr>
            </w:pPr>
          </w:p>
        </w:tc>
        <w:tc>
          <w:tcPr>
            <w:tcW w:w="6940"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tc>
          <w:tcPr>
            <w:tcW w:w="1312"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940"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tc>
          <w:tcPr>
            <w:tcW w:w="1312"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tc>
          <w:tcPr>
            <w:tcW w:w="1312"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77"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tc>
          <w:tcPr>
            <w:tcW w:w="1312"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tc>
          <w:tcPr>
            <w:tcW w:w="1312"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bl>
    <w:p w14:paraId="7F7B1CC4" w14:textId="77777777" w:rsidR="007B4DCD" w:rsidRDefault="007B4DCD">
      <w:pPr>
        <w:pStyle w:val="Doc-text2"/>
        <w:ind w:left="0" w:firstLine="0"/>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tc>
          <w:tcPr>
            <w:tcW w:w="1312"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tc>
          <w:tcPr>
            <w:tcW w:w="1312"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tc>
          <w:tcPr>
            <w:tcW w:w="1312"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70F28C93" w14:textId="77777777" w:rsidR="007B4DCD" w:rsidRDefault="007B4DCD">
            <w:pPr>
              <w:rPr>
                <w:rFonts w:eastAsiaTheme="minorEastAsia" w:cs="Arial"/>
                <w:sz w:val="18"/>
                <w:szCs w:val="18"/>
                <w:lang w:val="en-US" w:eastAsia="zh-CN"/>
              </w:rPr>
            </w:pPr>
          </w:p>
        </w:tc>
      </w:tr>
      <w:tr w:rsidR="007B4DCD" w14:paraId="304B7884" w14:textId="77777777">
        <w:tc>
          <w:tcPr>
            <w:tcW w:w="1312"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14:paraId="1437808E" w14:textId="77777777" w:rsidR="007B4DCD" w:rsidRDefault="007B4DCD">
            <w:pPr>
              <w:rPr>
                <w:rFonts w:eastAsiaTheme="minorEastAsia" w:cs="Arial"/>
                <w:sz w:val="18"/>
                <w:szCs w:val="18"/>
                <w:lang w:val="en-US" w:eastAsia="zh-CN"/>
              </w:rPr>
            </w:pPr>
          </w:p>
        </w:tc>
      </w:tr>
      <w:tr w:rsidR="001E1D4E" w14:paraId="751A9C5D" w14:textId="77777777">
        <w:tc>
          <w:tcPr>
            <w:tcW w:w="1312"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7DD87C04" w14:textId="77777777" w:rsidR="001E1D4E" w:rsidRDefault="001E1D4E">
            <w:pPr>
              <w:rPr>
                <w:rFonts w:eastAsiaTheme="minorEastAsia" w:cs="Arial"/>
                <w:sz w:val="18"/>
                <w:szCs w:val="18"/>
                <w:lang w:val="en-US" w:eastAsia="zh-CN"/>
              </w:rPr>
            </w:pPr>
          </w:p>
        </w:tc>
      </w:tr>
      <w:tr w:rsidR="008B352B" w14:paraId="78668D30" w14:textId="77777777">
        <w:tc>
          <w:tcPr>
            <w:tcW w:w="1312"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940"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tc>
          <w:tcPr>
            <w:tcW w:w="1312"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940"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w:t>
            </w:r>
            <w:proofErr w:type="gramStart"/>
            <w:r>
              <w:rPr>
                <w:rFonts w:eastAsiaTheme="minorEastAsia" w:cs="Arial"/>
                <w:sz w:val="18"/>
                <w:szCs w:val="18"/>
                <w:lang w:val="en-US" w:eastAsia="zh-CN"/>
              </w:rPr>
              <w:t>and also</w:t>
            </w:r>
            <w:proofErr w:type="gramEnd"/>
            <w:r>
              <w:rPr>
                <w:rFonts w:eastAsiaTheme="minorEastAsia" w:cs="Arial"/>
                <w:sz w:val="18"/>
                <w:szCs w:val="18"/>
                <w:lang w:val="en-US" w:eastAsia="zh-CN"/>
              </w:rPr>
              <w:t xml:space="preserve"> the downgraded pattern in srs-TxSwitch-v1610 </w:t>
            </w: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lastRenderedPageBreak/>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lastRenderedPageBreak/>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w:t>
      </w:r>
      <w:proofErr w:type="gramStart"/>
      <w:r>
        <w:t xml:space="preserve">}   </w:t>
      </w:r>
      <w:proofErr w:type="gramEnd"/>
      <w:r>
        <w:t xml:space="preserve">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w:t>
      </w:r>
      <w:proofErr w:type="gramStart"/>
      <w:r>
        <w:t xml:space="preserve">}   </w:t>
      </w:r>
      <w:proofErr w:type="gramEnd"/>
      <w:r>
        <w:t xml:space="preserve">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tc>
          <w:tcPr>
            <w:tcW w:w="1312"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tc>
          <w:tcPr>
            <w:tcW w:w="1312"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tc>
          <w:tcPr>
            <w:tcW w:w="1312"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070F6088" w14:textId="77777777" w:rsidR="007B4DCD" w:rsidRDefault="00BC4065">
            <w:pPr>
              <w:rPr>
                <w:rFonts w:eastAsiaTheme="minorEastAsia" w:cs="Arial"/>
                <w:sz w:val="18"/>
                <w:szCs w:val="18"/>
                <w:lang w:val="en-US" w:eastAsia="zh-CN"/>
              </w:rPr>
            </w:pPr>
            <w:bookmarkStart w:id="5" w:name="OLE_LINK1"/>
            <w:r>
              <w:rPr>
                <w:rFonts w:eastAsiaTheme="minorEastAsia" w:cs="Arial"/>
                <w:sz w:val="18"/>
                <w:szCs w:val="18"/>
                <w:lang w:val="en-US" w:eastAsia="zh-CN"/>
              </w:rPr>
              <w:t>Yes</w:t>
            </w:r>
            <w:bookmarkEnd w:id="5"/>
          </w:p>
        </w:tc>
        <w:tc>
          <w:tcPr>
            <w:tcW w:w="6940"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tc>
          <w:tcPr>
            <w:tcW w:w="1312"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tc>
          <w:tcPr>
            <w:tcW w:w="1312"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14:paraId="34DFC480" w14:textId="77777777" w:rsidR="001E1D4E" w:rsidRDefault="001E1D4E">
            <w:pPr>
              <w:rPr>
                <w:rFonts w:eastAsiaTheme="minorEastAsia" w:cs="Arial"/>
                <w:sz w:val="18"/>
                <w:szCs w:val="18"/>
                <w:lang w:val="en-US" w:eastAsia="zh-CN"/>
              </w:rPr>
            </w:pPr>
          </w:p>
        </w:tc>
      </w:tr>
      <w:tr w:rsidR="00D555EA" w14:paraId="0199CA54" w14:textId="77777777">
        <w:tc>
          <w:tcPr>
            <w:tcW w:w="1312"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940"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tc>
          <w:tcPr>
            <w:tcW w:w="1312"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940" w:type="dxa"/>
          </w:tcPr>
          <w:p w14:paraId="1A0629BF" w14:textId="26221FAB" w:rsidR="005038DB" w:rsidRDefault="005038DB">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w:t>
      </w:r>
      <w:r>
        <w:rPr>
          <w:lang w:eastAsia="zh-CN"/>
        </w:rPr>
        <w:lastRenderedPageBreak/>
        <w:t xml:space="preserve">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tc>
          <w:tcPr>
            <w:tcW w:w="1312"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940"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tc>
          <w:tcPr>
            <w:tcW w:w="1312"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tc>
          <w:tcPr>
            <w:tcW w:w="1312"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tc>
          <w:tcPr>
            <w:tcW w:w="1312"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940"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tc>
          <w:tcPr>
            <w:tcW w:w="1312"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940"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tc>
          <w:tcPr>
            <w:tcW w:w="1312"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940"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tc>
          <w:tcPr>
            <w:tcW w:w="1312"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940"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w:t>
            </w:r>
            <w:proofErr w:type="gramStart"/>
            <w:r>
              <w:rPr>
                <w:rFonts w:eastAsiaTheme="minorEastAsia" w:cs="Arial"/>
                <w:sz w:val="18"/>
                <w:szCs w:val="18"/>
                <w:lang w:val="en-US" w:eastAsia="zh-CN"/>
              </w:rPr>
              <w:t>i.e.</w:t>
            </w:r>
            <w:proofErr w:type="gramEnd"/>
            <w:r>
              <w:rPr>
                <w:rFonts w:eastAsiaTheme="minorEastAsia" w:cs="Arial"/>
                <w:sz w:val="18"/>
                <w:szCs w:val="18"/>
                <w:lang w:val="en-US" w:eastAsia="zh-CN"/>
              </w:rPr>
              <w:t xml:space="preserve"> non-serving CC/bands) and reactive (i.e. serving CC/bands) reporting by the UE to the NW A.  Option 3 and 4 do not allow proactive reporting. We can discuss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optimization later (</w:t>
            </w:r>
            <w:proofErr w:type="gramStart"/>
            <w:r>
              <w:rPr>
                <w:rFonts w:eastAsiaTheme="minorEastAsia" w:cs="Arial"/>
                <w:sz w:val="18"/>
                <w:szCs w:val="18"/>
                <w:lang w:val="en-US" w:eastAsia="zh-CN"/>
              </w:rPr>
              <w:t>e.g.</w:t>
            </w:r>
            <w:proofErr w:type="gramEnd"/>
            <w:r>
              <w:rPr>
                <w:rFonts w:eastAsiaTheme="minorEastAsia" w:cs="Arial"/>
                <w:sz w:val="18"/>
                <w:szCs w:val="18"/>
                <w:lang w:val="en-US" w:eastAsia="zh-CN"/>
              </w:rPr>
              <w:t xml:space="preserve"> using </w:t>
            </w:r>
            <w:proofErr w:type="spellStart"/>
            <w:r>
              <w:rPr>
                <w:rFonts w:eastAsiaTheme="minorEastAsia" w:cs="Arial"/>
                <w:sz w:val="18"/>
                <w:szCs w:val="18"/>
                <w:lang w:val="en-US" w:eastAsia="zh-CN"/>
              </w:rPr>
              <w:t>SCell</w:t>
            </w:r>
            <w:proofErr w:type="spellEnd"/>
            <w:r>
              <w:rPr>
                <w:rFonts w:eastAsiaTheme="minorEastAsia" w:cs="Arial"/>
                <w:sz w:val="18"/>
                <w:szCs w:val="18"/>
                <w:lang w:val="en-US" w:eastAsia="zh-CN"/>
              </w:rPr>
              <w:t xml:space="preserve"> Id).</w:t>
            </w:r>
          </w:p>
        </w:tc>
      </w:tr>
    </w:tbl>
    <w:p w14:paraId="522B80C3" w14:textId="77777777" w:rsidR="007B4DCD" w:rsidRDefault="007B4DCD">
      <w:pPr>
        <w:pStyle w:val="Doc-text2"/>
        <w:ind w:left="0" w:firstLine="0"/>
        <w:rPr>
          <w:rFonts w:eastAsiaTheme="minorEastAsia"/>
        </w:rPr>
      </w:pPr>
    </w:p>
    <w:p w14:paraId="69F78AA9" w14:textId="77777777" w:rsidR="007B4DCD" w:rsidRDefault="007B4DCD">
      <w:pPr>
        <w:pStyle w:val="Doc-text2"/>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lastRenderedPageBreak/>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tc>
          <w:tcPr>
            <w:tcW w:w="1312"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tc>
          <w:tcPr>
            <w:tcW w:w="1312"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26AEA70A" w14:textId="77777777" w:rsidR="007B4DCD" w:rsidRDefault="007B4DCD">
            <w:pPr>
              <w:rPr>
                <w:rFonts w:eastAsiaTheme="minorEastAsia" w:cs="Arial"/>
                <w:sz w:val="18"/>
                <w:szCs w:val="18"/>
                <w:lang w:val="en-US" w:eastAsia="zh-CN"/>
              </w:rPr>
            </w:pPr>
          </w:p>
        </w:tc>
      </w:tr>
      <w:tr w:rsidR="007B4DCD" w14:paraId="730E4983" w14:textId="77777777">
        <w:tc>
          <w:tcPr>
            <w:tcW w:w="1312"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tc>
          <w:tcPr>
            <w:tcW w:w="1312"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14:paraId="496DE40A" w14:textId="77777777" w:rsidR="007B4DCD" w:rsidRDefault="007B4DCD">
            <w:pPr>
              <w:rPr>
                <w:rFonts w:eastAsiaTheme="minorEastAsia" w:cs="Arial"/>
                <w:sz w:val="18"/>
                <w:szCs w:val="18"/>
                <w:lang w:val="en-US" w:eastAsia="zh-CN"/>
              </w:rPr>
            </w:pPr>
          </w:p>
        </w:tc>
      </w:tr>
      <w:tr w:rsidR="00B31963" w14:paraId="42536251" w14:textId="77777777">
        <w:tc>
          <w:tcPr>
            <w:tcW w:w="1312"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14:paraId="17D78699" w14:textId="77777777" w:rsidR="00B31963" w:rsidRDefault="00B31963">
            <w:pPr>
              <w:rPr>
                <w:rFonts w:eastAsiaTheme="minorEastAsia" w:cs="Arial"/>
                <w:sz w:val="18"/>
                <w:szCs w:val="18"/>
                <w:lang w:val="en-US" w:eastAsia="zh-CN"/>
              </w:rPr>
            </w:pPr>
          </w:p>
        </w:tc>
      </w:tr>
      <w:tr w:rsidR="00A84C09" w14:paraId="43FF18C7" w14:textId="77777777">
        <w:tc>
          <w:tcPr>
            <w:tcW w:w="1312"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940"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tc>
          <w:tcPr>
            <w:tcW w:w="1312"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2154628F" w14:textId="77777777" w:rsidR="00410F07" w:rsidRDefault="00410F07" w:rsidP="009B4429">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Default="00BC4065">
            <w:pPr>
              <w:pStyle w:val="TAL"/>
              <w:rPr>
                <w:b/>
                <w:i/>
              </w:rPr>
            </w:pPr>
            <w:r>
              <w:rPr>
                <w:b/>
                <w:i/>
              </w:rPr>
              <w:lastRenderedPageBreak/>
              <w:t>ca-BandwidthClassDL-NR</w:t>
            </w:r>
          </w:p>
          <w:p w14:paraId="6CD1D867" w14:textId="272A4559"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Default="00BC4065">
            <w:pPr>
              <w:pStyle w:val="TAL"/>
              <w:rPr>
                <w:b/>
                <w:i/>
              </w:rPr>
            </w:pPr>
            <w:r>
              <w:rPr>
                <w:b/>
                <w:i/>
              </w:rPr>
              <w:t>ca-BandwidthClassUL-NR</w:t>
            </w:r>
          </w:p>
          <w:p w14:paraId="0B1D91F6" w14:textId="777E3DCF"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 xml:space="preserve">This </w:t>
            </w:r>
            <w:r>
              <w:rPr>
                <w:rFonts w:eastAsiaTheme="minorEastAsia" w:cs="Arial"/>
                <w:sz w:val="18"/>
                <w:szCs w:val="18"/>
                <w:lang w:val="en-US" w:eastAsia="zh-CN"/>
              </w:rPr>
              <w:t>can</w:t>
            </w:r>
            <w:r>
              <w:rPr>
                <w:rFonts w:eastAsiaTheme="minorEastAsia" w:cs="Arial"/>
                <w:sz w:val="18"/>
                <w:szCs w:val="18"/>
                <w:lang w:val="en-US" w:eastAsia="zh-CN"/>
              </w:rPr>
              <w:t xml:space="preserve"> </w:t>
            </w:r>
            <w:proofErr w:type="gramStart"/>
            <w:r>
              <w:rPr>
                <w:rFonts w:eastAsiaTheme="minorEastAsia" w:cs="Arial"/>
                <w:sz w:val="18"/>
                <w:szCs w:val="18"/>
                <w:lang w:val="en-US" w:eastAsia="zh-CN"/>
              </w:rPr>
              <w:t>done</w:t>
            </w:r>
            <w:proofErr w:type="gramEnd"/>
            <w:r>
              <w:rPr>
                <w:rFonts w:eastAsiaTheme="minorEastAsia" w:cs="Arial"/>
                <w:sz w:val="18"/>
                <w:szCs w:val="18"/>
                <w:lang w:val="en-US" w:eastAsia="zh-CN"/>
              </w:rPr>
              <w:t xml:space="preserve"> via indicating the affected center frequency and frequency range</w:t>
            </w:r>
            <w:r>
              <w:rPr>
                <w:rFonts w:eastAsiaTheme="minorEastAsia" w:cs="Arial"/>
                <w:sz w:val="18"/>
                <w:szCs w:val="18"/>
                <w:lang w:val="en-US" w:eastAsia="zh-CN"/>
              </w:rPr>
              <w:t xml:space="preserve"> similar to IDC</w:t>
            </w:r>
            <w:r>
              <w:rPr>
                <w:rFonts w:eastAsiaTheme="minorEastAsia" w:cs="Arial"/>
                <w:sz w:val="18"/>
                <w:szCs w:val="18"/>
                <w:lang w:val="en-US" w:eastAsia="zh-CN"/>
              </w:rPr>
              <w:t>.</w:t>
            </w: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tc>
          <w:tcPr>
            <w:tcW w:w="1312"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tc>
          <w:tcPr>
            <w:tcW w:w="1312"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54B29293" w14:textId="77777777" w:rsidR="007B4DCD" w:rsidRDefault="007B4DCD">
            <w:pPr>
              <w:rPr>
                <w:rFonts w:eastAsiaTheme="minorEastAsia" w:cs="Arial"/>
                <w:sz w:val="18"/>
                <w:szCs w:val="18"/>
                <w:lang w:val="en-US" w:eastAsia="zh-CN"/>
              </w:rPr>
            </w:pPr>
          </w:p>
        </w:tc>
        <w:tc>
          <w:tcPr>
            <w:tcW w:w="6940"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w:t>
            </w:r>
            <w:r>
              <w:rPr>
                <w:rFonts w:eastAsiaTheme="minorEastAsia" w:cs="Arial"/>
                <w:sz w:val="18"/>
                <w:szCs w:val="18"/>
                <w:lang w:val="en-US" w:eastAsia="zh-CN"/>
              </w:rPr>
              <w:lastRenderedPageBreak/>
              <w:t xml:space="preserve">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tc>
          <w:tcPr>
            <w:tcW w:w="1312"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lastRenderedPageBreak/>
              <w:t>Qualcomm</w:t>
            </w:r>
          </w:p>
        </w:tc>
        <w:tc>
          <w:tcPr>
            <w:tcW w:w="1377"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14:paraId="1143FF84" w14:textId="77777777">
        <w:tc>
          <w:tcPr>
            <w:tcW w:w="1312"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14:paraId="30937E09" w14:textId="77777777" w:rsidR="007B4DCD" w:rsidRDefault="007B4DCD">
            <w:pPr>
              <w:rPr>
                <w:rFonts w:eastAsiaTheme="minorEastAsia" w:cs="Arial"/>
                <w:sz w:val="18"/>
                <w:szCs w:val="18"/>
                <w:lang w:val="de-DE" w:eastAsia="zh-CN"/>
              </w:rPr>
            </w:pPr>
          </w:p>
        </w:tc>
        <w:tc>
          <w:tcPr>
            <w:tcW w:w="6940"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On this Issue, on one hand, it seems that there is a need to coordinate the two networks to restrict the maximum output power (e.g. a little similar to the coordination between the MCG and SCG), on the other hand, PHR mechanism seems also works. </w:t>
            </w:r>
            <w:proofErr w:type="gramStart"/>
            <w:r>
              <w:rPr>
                <w:rFonts w:eastAsiaTheme="minorEastAsia" w:cs="Arial" w:hint="eastAsia"/>
                <w:sz w:val="18"/>
                <w:szCs w:val="18"/>
                <w:lang w:val="en-US" w:eastAsia="zh-CN"/>
              </w:rPr>
              <w:t>So</w:t>
            </w:r>
            <w:proofErr w:type="gramEnd"/>
            <w:r>
              <w:rPr>
                <w:rFonts w:eastAsiaTheme="minorEastAsia" w:cs="Arial" w:hint="eastAsia"/>
                <w:sz w:val="18"/>
                <w:szCs w:val="18"/>
                <w:lang w:val="en-US" w:eastAsia="zh-CN"/>
              </w:rPr>
              <w:t xml:space="preserv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tc>
          <w:tcPr>
            <w:tcW w:w="1312"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940"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outlineLvl w:val="2"/>
              <w:rPr>
                <w:i/>
                <w:highlight w:val="yellow"/>
                <w:lang w:eastAsia="ko-KR"/>
              </w:rPr>
            </w:pPr>
            <w:bookmarkStart w:id="6" w:name="_Toc37296205"/>
            <w:bookmarkStart w:id="7" w:name="_Toc46490331"/>
            <w:bookmarkStart w:id="8" w:name="_Toc52752026"/>
            <w:bookmarkStart w:id="9" w:name="_Toc52796488"/>
            <w:bookmarkStart w:id="10" w:name="_Toc115557900"/>
            <w:r w:rsidRPr="00EA6D6E">
              <w:rPr>
                <w:i/>
                <w:highlight w:val="yellow"/>
                <w:lang w:eastAsia="ko-KR"/>
              </w:rPr>
              <w:t>5.4.6</w:t>
            </w:r>
            <w:r w:rsidRPr="00EA6D6E">
              <w:rPr>
                <w:i/>
                <w:highlight w:val="yellow"/>
                <w:lang w:eastAsia="ko-KR"/>
              </w:rPr>
              <w:tab/>
              <w:t>Power Headroom Reporting</w:t>
            </w:r>
            <w:bookmarkEnd w:id="6"/>
            <w:bookmarkEnd w:id="7"/>
            <w:bookmarkEnd w:id="8"/>
            <w:bookmarkEnd w:id="9"/>
            <w:bookmarkEnd w:id="10"/>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tc>
          <w:tcPr>
            <w:tcW w:w="1312"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940"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tc>
          <w:tcPr>
            <w:tcW w:w="1312"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77" w:type="dxa"/>
          </w:tcPr>
          <w:p w14:paraId="01C2B14B" w14:textId="52CA69AB" w:rsidR="00410F07" w:rsidRDefault="00410F07">
            <w:pPr>
              <w:rPr>
                <w:rFonts w:eastAsiaTheme="minorEastAsia" w:cs="Arial"/>
                <w:sz w:val="18"/>
                <w:szCs w:val="18"/>
                <w:lang w:val="de-DE" w:eastAsia="zh-CN"/>
              </w:rPr>
            </w:pPr>
          </w:p>
        </w:tc>
        <w:tc>
          <w:tcPr>
            <w:tcW w:w="6940"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tc>
          <w:tcPr>
            <w:tcW w:w="1312"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464"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tc>
          <w:tcPr>
            <w:tcW w:w="1312"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464"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14:paraId="767DCD7D" w14:textId="77777777">
        <w:tc>
          <w:tcPr>
            <w:tcW w:w="1312"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lastRenderedPageBreak/>
              <w:t>Qualcomm</w:t>
            </w:r>
          </w:p>
        </w:tc>
        <w:tc>
          <w:tcPr>
            <w:tcW w:w="8464"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tc>
          <w:tcPr>
            <w:tcW w:w="1312"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464"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tc>
          <w:tcPr>
            <w:tcW w:w="1312"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Huawei/HiSilicon</w:t>
            </w:r>
          </w:p>
        </w:tc>
        <w:tc>
          <w:tcPr>
            <w:tcW w:w="8464"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tc>
          <w:tcPr>
            <w:tcW w:w="1312"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464" w:type="dxa"/>
          </w:tcPr>
          <w:p w14:paraId="26C8D280" w14:textId="64C4A14E"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proofErr w:type="spellStart"/>
            <w:r>
              <w:rPr>
                <w:rFonts w:eastAsiaTheme="minorEastAsia" w:cs="Arial"/>
                <w:sz w:val="18"/>
                <w:szCs w:val="18"/>
                <w:lang w:val="en-US" w:eastAsia="zh-CN"/>
              </w:rPr>
              <w:t>signalling</w:t>
            </w:r>
            <w:proofErr w:type="spellEnd"/>
            <w:r>
              <w:rPr>
                <w:rFonts w:eastAsiaTheme="minorEastAsia" w:cs="Arial"/>
                <w:sz w:val="18"/>
                <w:szCs w:val="18"/>
                <w:lang w:val="en-US" w:eastAsia="zh-CN"/>
              </w:rPr>
              <w:t xml:space="preserve"> to UAI.</w:t>
            </w:r>
          </w:p>
        </w:tc>
      </w:tr>
    </w:tbl>
    <w:p w14:paraId="6FACFBBE" w14:textId="77777777" w:rsidR="007B4DCD" w:rsidRDefault="007B4DCD">
      <w:pPr>
        <w:pStyle w:val="Doc-text2"/>
        <w:ind w:left="0" w:firstLine="0"/>
      </w:pPr>
    </w:p>
    <w:p w14:paraId="5A429784" w14:textId="77777777" w:rsidR="007B4DCD" w:rsidRDefault="00BC4065">
      <w:pPr>
        <w:pStyle w:val="Heading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Huawei, HiSilicon,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5B24" w14:textId="77777777" w:rsidR="00D259F2" w:rsidRDefault="00D259F2">
      <w:pPr>
        <w:spacing w:after="0"/>
      </w:pPr>
      <w:r>
        <w:separator/>
      </w:r>
    </w:p>
  </w:endnote>
  <w:endnote w:type="continuationSeparator" w:id="0">
    <w:p w14:paraId="256C296B" w14:textId="77777777" w:rsidR="00D259F2" w:rsidRDefault="00D25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5E6" w14:textId="77777777" w:rsidR="009002E2" w:rsidRDefault="009002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F6EE" w14:textId="77777777" w:rsidR="00D259F2" w:rsidRDefault="00D259F2">
      <w:pPr>
        <w:spacing w:after="0"/>
      </w:pPr>
      <w:r>
        <w:separator/>
      </w:r>
    </w:p>
  </w:footnote>
  <w:footnote w:type="continuationSeparator" w:id="0">
    <w:p w14:paraId="5E645567" w14:textId="77777777" w:rsidR="00D259F2" w:rsidRDefault="00D259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7DA3" w14:textId="77777777" w:rsidR="009002E2" w:rsidRDefault="009002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509756567">
    <w:abstractNumId w:val="17"/>
  </w:num>
  <w:num w:numId="2" w16cid:durableId="1526938050">
    <w:abstractNumId w:val="6"/>
  </w:num>
  <w:num w:numId="3" w16cid:durableId="993946434">
    <w:abstractNumId w:val="2"/>
  </w:num>
  <w:num w:numId="4" w16cid:durableId="596057004">
    <w:abstractNumId w:val="5"/>
  </w:num>
  <w:num w:numId="5" w16cid:durableId="38210314">
    <w:abstractNumId w:val="4"/>
  </w:num>
  <w:num w:numId="6" w16cid:durableId="94520841">
    <w:abstractNumId w:val="15"/>
  </w:num>
  <w:num w:numId="7" w16cid:durableId="459422223">
    <w:abstractNumId w:val="0"/>
  </w:num>
  <w:num w:numId="8" w16cid:durableId="748624004">
    <w:abstractNumId w:val="20"/>
  </w:num>
  <w:num w:numId="9" w16cid:durableId="2043826428">
    <w:abstractNumId w:val="11"/>
  </w:num>
  <w:num w:numId="10" w16cid:durableId="202136771">
    <w:abstractNumId w:val="7"/>
  </w:num>
  <w:num w:numId="11" w16cid:durableId="1832524846">
    <w:abstractNumId w:val="13"/>
  </w:num>
  <w:num w:numId="12" w16cid:durableId="1286884475">
    <w:abstractNumId w:val="14"/>
  </w:num>
  <w:num w:numId="13" w16cid:durableId="1647587075">
    <w:abstractNumId w:val="10"/>
  </w:num>
  <w:num w:numId="14" w16cid:durableId="1541749940">
    <w:abstractNumId w:val="18"/>
  </w:num>
  <w:num w:numId="15" w16cid:durableId="582879547">
    <w:abstractNumId w:val="8"/>
  </w:num>
  <w:num w:numId="16" w16cid:durableId="294220684">
    <w:abstractNumId w:val="19"/>
  </w:num>
  <w:num w:numId="17" w16cid:durableId="2108110059">
    <w:abstractNumId w:val="3"/>
  </w:num>
  <w:num w:numId="18" w16cid:durableId="1900092754">
    <w:abstractNumId w:val="1"/>
  </w:num>
  <w:num w:numId="19" w16cid:durableId="2120637816">
    <w:abstractNumId w:val="16"/>
  </w:num>
  <w:num w:numId="20" w16cid:durableId="1178033489">
    <w:abstractNumId w:val="9"/>
  </w:num>
  <w:num w:numId="21" w16cid:durableId="346908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2651"/>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BA4"/>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429"/>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71FE204B-6CE9-461C-A295-681DD40EB66A}">
  <ds:schemaRefs>
    <ds:schemaRef ds:uri="http://schemas.openxmlformats.org/officeDocument/2006/bibliography"/>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5834</Words>
  <Characters>33766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 Seau Sian2</cp:lastModifiedBy>
  <cp:revision>2</cp:revision>
  <cp:lastPrinted>2008-01-31T07:09:00Z</cp:lastPrinted>
  <dcterms:created xsi:type="dcterms:W3CDTF">2023-04-20T09:43:00Z</dcterms:created>
  <dcterms:modified xsi:type="dcterms:W3CDTF">2023-04-20T09:43:00Z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ies>
</file>