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F481C" w14:textId="79266C42" w:rsidR="00D90C40"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TSG-RAN2#121-bis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0B002D" w:rsidRPr="000B002D">
        <w:rPr>
          <w:rFonts w:eastAsia="SimSun" w:cs="Arial"/>
          <w:b/>
          <w:kern w:val="0"/>
          <w:sz w:val="28"/>
          <w:szCs w:val="28"/>
          <w:lang w:val="en-US" w:eastAsia="en-US"/>
        </w:rPr>
        <w:t>R2-2302851</w:t>
      </w:r>
    </w:p>
    <w:p w14:paraId="7A4E1C55" w14:textId="77777777" w:rsidR="00D90C40"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e-meeting, April 17-26,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1A1D1A1" w14:textId="77777777" w:rsidR="00D90C40"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7F3E4EE" w14:textId="77777777" w:rsidR="00D90C4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BSR enhancements for XR </w:t>
      </w:r>
    </w:p>
    <w:p w14:paraId="42A25753" w14:textId="77777777" w:rsidR="00D90C4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7.5.4.1</w:t>
      </w:r>
    </w:p>
    <w:p w14:paraId="68FCF553" w14:textId="77777777" w:rsidR="00D90C4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B5C59C0" w14:textId="77777777" w:rsidR="00D90C4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30EC0A78"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study item it was agreed that BSR enhancements including new BS Table(s) will benefit the capacity enhancements for XR. In this contribution we discuss the information to be included in the BSR report for indicating the remaining-time and also discuss how to reduce the quantization error in reporting the buffer size value.   </w:t>
      </w:r>
    </w:p>
    <w:p w14:paraId="6A5A70C3" w14:textId="77777777" w:rsidR="00D90C4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BSR reporting for XR</w:t>
      </w:r>
    </w:p>
    <w:p w14:paraId="2AA4DA82" w14:textId="77777777" w:rsidR="00D90C40" w:rsidRDefault="00000000">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Per-LCG vs Per-LC</w:t>
      </w:r>
    </w:p>
    <w:p w14:paraId="115F75C3" w14:textId="14D44909" w:rsidR="00D90C40" w:rsidRDefault="00000000">
      <w:r>
        <w:t xml:space="preserve">One of the objectives for XR awareness includes the reporting of the delay/remaining time for data in uplink. Currently BSR mechanism is used to report the buffered data volume per LCG. In UL, logical channels are grouped into logical channel groups based on their common characteristics and requirements. Thus, logical channels of the same type and with similar Quality of Service (QoS) requirements are grouped together into a logical channel group. Similarly, when the PSDB </w:t>
      </w:r>
      <w:r w:rsidR="000B002D">
        <w:t xml:space="preserve">and/or other PDU Set related requirements </w:t>
      </w:r>
      <w:proofErr w:type="gramStart"/>
      <w:r w:rsidR="000B002D">
        <w:t xml:space="preserve">for </w:t>
      </w:r>
      <w:r>
        <w:t xml:space="preserve"> the</w:t>
      </w:r>
      <w:proofErr w:type="gramEnd"/>
      <w:r>
        <w:t xml:space="preserve"> UL traffic matches, these can all be mapped to a given LC/LCG. Further, if there is a PDU Set with a very unique </w:t>
      </w:r>
      <w:r w:rsidR="000B002D">
        <w:t>QoS (</w:t>
      </w:r>
      <w:proofErr w:type="gramStart"/>
      <w:r w:rsidR="000B002D">
        <w:t>e.g.</w:t>
      </w:r>
      <w:proofErr w:type="gramEnd"/>
      <w:r w:rsidR="000B002D">
        <w:t xml:space="preserve"> </w:t>
      </w:r>
      <w:r>
        <w:t>PSDB</w:t>
      </w:r>
      <w:r w:rsidR="000B002D">
        <w:t>)</w:t>
      </w:r>
      <w:r>
        <w:t xml:space="preserve"> requirements in UL, the network can also map this exclusively to one LCG. Hence, the existing mechanism of providing BSR per LCG is </w:t>
      </w:r>
      <w:r w:rsidR="000B002D">
        <w:t>has enough flexibility and seems to be sufficient</w:t>
      </w:r>
      <w:r>
        <w:t xml:space="preserve"> for XR. </w:t>
      </w:r>
    </w:p>
    <w:p w14:paraId="163566BA" w14:textId="566B70A5" w:rsidR="00D90C40" w:rsidRDefault="00000000">
      <w:pPr>
        <w:rPr>
          <w:b/>
          <w:bCs/>
        </w:rPr>
      </w:pPr>
      <w:r>
        <w:rPr>
          <w:b/>
          <w:bCs/>
        </w:rPr>
        <w:t xml:space="preserve">Observation 1: The network can map uplink traffic with a </w:t>
      </w:r>
      <w:proofErr w:type="gramStart"/>
      <w:r>
        <w:rPr>
          <w:b/>
          <w:bCs/>
        </w:rPr>
        <w:t xml:space="preserve">similar </w:t>
      </w:r>
      <w:r w:rsidR="000B002D">
        <w:rPr>
          <w:b/>
          <w:bCs/>
        </w:rPr>
        <w:t>characteristics</w:t>
      </w:r>
      <w:proofErr w:type="gramEnd"/>
      <w:r>
        <w:rPr>
          <w:b/>
          <w:bCs/>
        </w:rPr>
        <w:t xml:space="preserve"> to a given logical channel and further group the logical channels with similar characteristics into an LCG</w:t>
      </w:r>
    </w:p>
    <w:p w14:paraId="19B2997B" w14:textId="5E237C1D" w:rsidR="00D90C40" w:rsidRDefault="00000000">
      <w:pPr>
        <w:rPr>
          <w:b/>
          <w:bCs/>
        </w:rPr>
      </w:pPr>
      <w:r>
        <w:rPr>
          <w:b/>
          <w:bCs/>
        </w:rPr>
        <w:t xml:space="preserve">Observation 2: An LCG can also have a single logical channel if XR traffic with unique </w:t>
      </w:r>
      <w:r w:rsidR="000B002D">
        <w:rPr>
          <w:b/>
          <w:bCs/>
        </w:rPr>
        <w:t>characteristics (</w:t>
      </w:r>
      <w:proofErr w:type="gramStart"/>
      <w:r w:rsidR="000B002D">
        <w:rPr>
          <w:b/>
          <w:bCs/>
        </w:rPr>
        <w:t>e.g.</w:t>
      </w:r>
      <w:proofErr w:type="gramEnd"/>
      <w:r w:rsidR="000B002D">
        <w:rPr>
          <w:b/>
          <w:bCs/>
        </w:rPr>
        <w:t xml:space="preserve"> </w:t>
      </w:r>
      <w:r>
        <w:rPr>
          <w:b/>
          <w:bCs/>
        </w:rPr>
        <w:t>PSDB</w:t>
      </w:r>
      <w:r w:rsidR="000B002D">
        <w:rPr>
          <w:b/>
          <w:bCs/>
        </w:rPr>
        <w:t>)</w:t>
      </w:r>
      <w:r>
        <w:rPr>
          <w:b/>
          <w:bCs/>
        </w:rPr>
        <w:t xml:space="preserve"> is mapped to this LC (i.e. no other PDU Sets have similar QoS requirements)</w:t>
      </w:r>
    </w:p>
    <w:p w14:paraId="73B6C817" w14:textId="77777777" w:rsidR="00D90C40" w:rsidRDefault="00000000">
      <w:pPr>
        <w:rPr>
          <w:b/>
          <w:bCs/>
        </w:rPr>
      </w:pPr>
      <w:r>
        <w:rPr>
          <w:b/>
          <w:bCs/>
        </w:rPr>
        <w:t xml:space="preserve">Observation 3: Current mechanism to use per LCG based BSR reporting has enough flexibility to cater for XR traffic. </w:t>
      </w:r>
    </w:p>
    <w:p w14:paraId="46271457" w14:textId="77777777" w:rsidR="00D90C40" w:rsidRDefault="00000000">
      <w:pPr>
        <w:rPr>
          <w:b/>
          <w:bCs/>
        </w:rPr>
      </w:pPr>
      <w:r>
        <w:rPr>
          <w:b/>
          <w:bCs/>
        </w:rPr>
        <w:t>Proposal 1: For XR, the existing BSR reporting mechanism using per LCG based buffer size is reused</w:t>
      </w:r>
    </w:p>
    <w:p w14:paraId="64441C5A" w14:textId="77777777" w:rsidR="00D90C40" w:rsidRDefault="00000000">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Remaining time reporting</w:t>
      </w:r>
    </w:p>
    <w:p w14:paraId="2400A53A" w14:textId="77777777" w:rsidR="00D90C40" w:rsidRDefault="00000000">
      <w:r>
        <w:t>In addition to the buffer size, it was agreed to also report the “remaining-time” in UL for the buffered data. Since the buffer size is reported per LCG, it is also proposed to report the remaining-time also per LCG. The arguments for reporting remaining-time per LCG are similar to the arguments for reporting buffer size also per LCG (</w:t>
      </w:r>
      <w:proofErr w:type="gramStart"/>
      <w:r>
        <w:t>i.e.</w:t>
      </w:r>
      <w:proofErr w:type="gramEnd"/>
      <w:r>
        <w:t xml:space="preserve"> the grouping is done by the network based on QoS requirements). </w:t>
      </w:r>
    </w:p>
    <w:p w14:paraId="47CF7790" w14:textId="77777777" w:rsidR="00D90C40" w:rsidRDefault="00000000">
      <w:pPr>
        <w:rPr>
          <w:b/>
          <w:bCs/>
        </w:rPr>
      </w:pPr>
      <w:r>
        <w:rPr>
          <w:b/>
          <w:bCs/>
        </w:rPr>
        <w:t>Proposal 2: The remaining-time for buffered data in UL is reported per LCG by the UE</w:t>
      </w:r>
    </w:p>
    <w:p w14:paraId="7D2AB2D0" w14:textId="77777777" w:rsidR="00D90C40" w:rsidRDefault="00000000">
      <w:r>
        <w:t xml:space="preserve">When more than one LC is mapped to an LCG, the remaining-time reported by the UE corresponds to the LC that has the shortest remaining-time left for the buffered data. </w:t>
      </w:r>
    </w:p>
    <w:p w14:paraId="6A1ADE28" w14:textId="77777777" w:rsidR="00D90C40" w:rsidRDefault="00000000">
      <w:pPr>
        <w:rPr>
          <w:b/>
          <w:bCs/>
        </w:rPr>
      </w:pPr>
      <w:r>
        <w:rPr>
          <w:b/>
          <w:bCs/>
        </w:rPr>
        <w:t>Proposal 3: When more than one LC is mapped to an LCG, then the remaining-time reported by the UE corresponds to the data from the LC that has the shortest remaining-time left for the buffered data in UL</w:t>
      </w:r>
    </w:p>
    <w:p w14:paraId="23C98378" w14:textId="77777777" w:rsidR="00D90C40" w:rsidRDefault="00000000">
      <w:r>
        <w:t>One question is the format of the remaining-time reported in UL. In order for the remaining time to be useful, the report should be reliable and should eliminate any uncertainty at the network because of the scheduling delays for the BSR etc. In order to achieve this, the UE should report an absolute time (</w:t>
      </w:r>
      <w:proofErr w:type="gramStart"/>
      <w:r>
        <w:t>e.g.</w:t>
      </w:r>
      <w:proofErr w:type="gramEnd"/>
      <w:r>
        <w:t xml:space="preserve"> based on SFN) rather than the time left for the UL traffic. </w:t>
      </w:r>
    </w:p>
    <w:p w14:paraId="04C54B65" w14:textId="77777777" w:rsidR="00D90C40" w:rsidRDefault="00000000">
      <w:pPr>
        <w:rPr>
          <w:b/>
          <w:bCs/>
        </w:rPr>
      </w:pPr>
      <w:r>
        <w:rPr>
          <w:b/>
          <w:bCs/>
        </w:rPr>
        <w:t>Proposal 4: In order to eliminate the uncertainty in the reported value of the remaining-time due to scheduling delays etc, the UE shall include an absolute time reference (</w:t>
      </w:r>
      <w:proofErr w:type="gramStart"/>
      <w:r>
        <w:rPr>
          <w:b/>
          <w:bCs/>
        </w:rPr>
        <w:t>e.g.</w:t>
      </w:r>
      <w:proofErr w:type="gramEnd"/>
      <w:r>
        <w:rPr>
          <w:b/>
          <w:bCs/>
        </w:rPr>
        <w:t xml:space="preserve"> SFN) as the remaining-time reference point</w:t>
      </w:r>
    </w:p>
    <w:p w14:paraId="1FEA0908" w14:textId="77777777" w:rsidR="00D90C4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Reducing the quantization error for BSR</w:t>
      </w:r>
    </w:p>
    <w:p w14:paraId="7069393E"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Currently BSR reporting uses either short BSR table or the long BSR table. The BSR values reported are quantized and the UE will have to report the code point representing the value just above the amount of buffered data in the UE buffer. Unfortunately, this results in over reporting of buffer status values (referred to as the quantization error below) and the issue is more critical at higher BSR values as shown below. This is mainly because the BSR code points at the higher BSR values are </w:t>
      </w:r>
      <w:proofErr w:type="gramStart"/>
      <w:r>
        <w:rPr>
          <w:rFonts w:cs="Arial"/>
          <w:color w:val="000000"/>
          <w:sz w:val="21"/>
        </w:rPr>
        <w:t>more sparse</w:t>
      </w:r>
      <w:proofErr w:type="gramEnd"/>
      <w:r>
        <w:rPr>
          <w:rFonts w:cs="Arial"/>
          <w:color w:val="000000"/>
          <w:sz w:val="21"/>
        </w:rPr>
        <w:t xml:space="preserve">. </w:t>
      </w:r>
    </w:p>
    <w:tbl>
      <w:tblPr>
        <w:tblStyle w:val="TableGrid"/>
        <w:tblW w:w="0" w:type="auto"/>
        <w:tblLook w:val="04A0" w:firstRow="1" w:lastRow="0" w:firstColumn="1" w:lastColumn="0" w:noHBand="0" w:noVBand="1"/>
      </w:tblPr>
      <w:tblGrid>
        <w:gridCol w:w="4871"/>
        <w:gridCol w:w="4900"/>
      </w:tblGrid>
      <w:tr w:rsidR="00723346" w14:paraId="6E0E79E5" w14:textId="77777777">
        <w:tc>
          <w:tcPr>
            <w:tcW w:w="4885" w:type="dxa"/>
          </w:tcPr>
          <w:p w14:paraId="0FC5E85A" w14:textId="05C1A195" w:rsidR="00D90C40" w:rsidRDefault="00723346">
            <w:pPr>
              <w:pStyle w:val="NormalWeb"/>
              <w:keepNext/>
              <w:spacing w:before="75" w:beforeAutospacing="0" w:after="75" w:afterAutospacing="0" w:line="315" w:lineRule="atLeast"/>
            </w:pPr>
            <w:r>
              <w:rPr>
                <w:noProof/>
              </w:rPr>
              <w:lastRenderedPageBreak/>
              <w:drawing>
                <wp:inline distT="0" distB="0" distL="0" distR="0" wp14:anchorId="70608607" wp14:editId="72B3BF94">
                  <wp:extent cx="2956548" cy="2004365"/>
                  <wp:effectExtent l="0" t="0" r="0" b="0"/>
                  <wp:docPr id="441815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15020" name=""/>
                          <pic:cNvPicPr/>
                        </pic:nvPicPr>
                        <pic:blipFill>
                          <a:blip r:embed="rId8"/>
                          <a:stretch>
                            <a:fillRect/>
                          </a:stretch>
                        </pic:blipFill>
                        <pic:spPr>
                          <a:xfrm>
                            <a:off x="0" y="0"/>
                            <a:ext cx="2995602" cy="2030841"/>
                          </a:xfrm>
                          <a:prstGeom prst="rect">
                            <a:avLst/>
                          </a:prstGeom>
                        </pic:spPr>
                      </pic:pic>
                    </a:graphicData>
                  </a:graphic>
                </wp:inline>
              </w:drawing>
            </w:r>
          </w:p>
        </w:tc>
        <w:tc>
          <w:tcPr>
            <w:tcW w:w="4886" w:type="dxa"/>
          </w:tcPr>
          <w:p w14:paraId="366F7CAB" w14:textId="73B767F8" w:rsidR="00D90C40" w:rsidRDefault="00723346">
            <w:pPr>
              <w:pStyle w:val="NormalWeb"/>
              <w:spacing w:before="75" w:beforeAutospacing="0" w:after="75" w:afterAutospacing="0" w:line="315" w:lineRule="atLeast"/>
              <w:rPr>
                <w:rFonts w:cs="Arial"/>
                <w:color w:val="000000"/>
                <w:sz w:val="21"/>
              </w:rPr>
            </w:pPr>
            <w:r>
              <w:rPr>
                <w:noProof/>
              </w:rPr>
              <w:drawing>
                <wp:inline distT="0" distB="0" distL="0" distR="0" wp14:anchorId="5E1C8B8E" wp14:editId="1706420E">
                  <wp:extent cx="2974569" cy="2006307"/>
                  <wp:effectExtent l="0" t="0" r="0" b="0"/>
                  <wp:docPr id="707628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28569" name=""/>
                          <pic:cNvPicPr/>
                        </pic:nvPicPr>
                        <pic:blipFill>
                          <a:blip r:embed="rId9"/>
                          <a:stretch>
                            <a:fillRect/>
                          </a:stretch>
                        </pic:blipFill>
                        <pic:spPr>
                          <a:xfrm>
                            <a:off x="0" y="0"/>
                            <a:ext cx="3008831" cy="2029416"/>
                          </a:xfrm>
                          <a:prstGeom prst="rect">
                            <a:avLst/>
                          </a:prstGeom>
                        </pic:spPr>
                      </pic:pic>
                    </a:graphicData>
                  </a:graphic>
                </wp:inline>
              </w:drawing>
            </w:r>
          </w:p>
        </w:tc>
      </w:tr>
      <w:tr w:rsidR="00D90C40" w14:paraId="5E63C0B3" w14:textId="77777777">
        <w:tc>
          <w:tcPr>
            <w:tcW w:w="9771" w:type="dxa"/>
            <w:gridSpan w:val="2"/>
          </w:tcPr>
          <w:p w14:paraId="3C6734DC" w14:textId="29D501AB" w:rsidR="00D90C40" w:rsidRDefault="00000000">
            <w:pPr>
              <w:pStyle w:val="Caption"/>
              <w:jc w:val="center"/>
            </w:pPr>
            <w:r>
              <w:t xml:space="preserve">Figure </w:t>
            </w:r>
            <w:fldSimple w:instr=" SEQ Figure \* ARABIC ">
              <w:r>
                <w:t>1</w:t>
              </w:r>
            </w:fldSimple>
            <w:r>
              <w:t>:</w:t>
            </w:r>
            <w:r w:rsidR="00723346">
              <w:t xml:space="preserve"> Max</w:t>
            </w:r>
            <w:r>
              <w:t xml:space="preserve"> Quantization error Values (i.e., amount of over reported buffer data) with existing BSR tables</w:t>
            </w:r>
          </w:p>
        </w:tc>
      </w:tr>
    </w:tbl>
    <w:p w14:paraId="33E478A2" w14:textId="77777777" w:rsidR="00D90C40"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Observation 4: The amount of over reported buffer data increases with the higher BSR indices (i.e., the error is larger when there is large amount of buffered data at the UE) because the BSR code points towards the higher BSR values are sparser. </w:t>
      </w:r>
    </w:p>
    <w:p w14:paraId="5EF49E04"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Even if multiple BSR tables are defined, the quantization error will continue to be higher towards the higher BSR values unless these values are covered with a very fine granularity and thus using a very high number of bits towards these values. Based on the above observation, we can conclude that the enhancement schemes should mainly target the higher BSR indices (e.g., the buffer status values that are above BSR Index 150 or so in case of Long BSR). </w:t>
      </w:r>
    </w:p>
    <w:p w14:paraId="695EDE03" w14:textId="77777777" w:rsidR="00D90C40" w:rsidRDefault="00D90C40">
      <w:pPr>
        <w:pStyle w:val="NormalWeb"/>
        <w:spacing w:before="75" w:beforeAutospacing="0" w:after="75" w:afterAutospacing="0" w:line="315" w:lineRule="atLeast"/>
        <w:rPr>
          <w:rFonts w:cs="Arial"/>
          <w:color w:val="000000"/>
          <w:sz w:val="21"/>
        </w:rPr>
      </w:pPr>
    </w:p>
    <w:p w14:paraId="7777FBC4"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Then, one simple solution to the above problem is for the UE to include more than one BSR to reduce the quantization error. Together with the first BSR value, the additional BSR value (pointing to the same logical channel) would indicate the total buffered data volume for the corresponding logical channel. With just two BSR MAC CEs included, the quantization error can be reduced quite significantly and this is depicted in the figure below. Note that this is showing the gains using the existing BSR tables. However, if new BSR tables are defined, the UE can include multiple BSRs potentially from different BSR tables to further reduce the quantization error. </w:t>
      </w:r>
    </w:p>
    <w:tbl>
      <w:tblPr>
        <w:tblStyle w:val="TableGrid"/>
        <w:tblW w:w="0" w:type="auto"/>
        <w:tblLook w:val="04A0" w:firstRow="1" w:lastRow="0" w:firstColumn="1" w:lastColumn="0" w:noHBand="0" w:noVBand="1"/>
      </w:tblPr>
      <w:tblGrid>
        <w:gridCol w:w="4844"/>
        <w:gridCol w:w="4927"/>
      </w:tblGrid>
      <w:tr w:rsidR="00723346" w14:paraId="48A5E22D" w14:textId="77777777">
        <w:tc>
          <w:tcPr>
            <w:tcW w:w="5240" w:type="dxa"/>
          </w:tcPr>
          <w:p w14:paraId="510296DF" w14:textId="779804D1" w:rsidR="00D90C40" w:rsidRDefault="00723346">
            <w:pPr>
              <w:pStyle w:val="NormalWeb"/>
              <w:keepNext/>
              <w:spacing w:before="75" w:beforeAutospacing="0" w:after="75" w:afterAutospacing="0" w:line="315" w:lineRule="atLeast"/>
              <w:jc w:val="center"/>
            </w:pPr>
            <w:r>
              <w:rPr>
                <w:noProof/>
              </w:rPr>
              <w:drawing>
                <wp:inline distT="0" distB="0" distL="0" distR="0" wp14:anchorId="1DFDB45F" wp14:editId="131A3BD9">
                  <wp:extent cx="3050438" cy="2298940"/>
                  <wp:effectExtent l="0" t="0" r="0" b="6350"/>
                  <wp:docPr id="344040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040963" name=""/>
                          <pic:cNvPicPr/>
                        </pic:nvPicPr>
                        <pic:blipFill>
                          <a:blip r:embed="rId10"/>
                          <a:stretch>
                            <a:fillRect/>
                          </a:stretch>
                        </pic:blipFill>
                        <pic:spPr>
                          <a:xfrm>
                            <a:off x="0" y="0"/>
                            <a:ext cx="3061719" cy="2307442"/>
                          </a:xfrm>
                          <a:prstGeom prst="rect">
                            <a:avLst/>
                          </a:prstGeom>
                        </pic:spPr>
                      </pic:pic>
                    </a:graphicData>
                  </a:graphic>
                </wp:inline>
              </w:drawing>
            </w:r>
          </w:p>
        </w:tc>
        <w:tc>
          <w:tcPr>
            <w:tcW w:w="4531" w:type="dxa"/>
          </w:tcPr>
          <w:p w14:paraId="6B62CED6" w14:textId="10F1CC9B" w:rsidR="00D90C40" w:rsidRDefault="00723346">
            <w:pPr>
              <w:pStyle w:val="NormalWeb"/>
              <w:keepNext/>
              <w:spacing w:before="75" w:beforeAutospacing="0" w:after="75" w:afterAutospacing="0" w:line="315" w:lineRule="atLeast"/>
              <w:jc w:val="center"/>
            </w:pPr>
            <w:r>
              <w:rPr>
                <w:noProof/>
              </w:rPr>
              <w:drawing>
                <wp:inline distT="0" distB="0" distL="0" distR="0" wp14:anchorId="2743237D" wp14:editId="348D8594">
                  <wp:extent cx="3097122" cy="2334123"/>
                  <wp:effectExtent l="0" t="0" r="8255" b="9525"/>
                  <wp:docPr id="1011130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130714" name=""/>
                          <pic:cNvPicPr/>
                        </pic:nvPicPr>
                        <pic:blipFill>
                          <a:blip r:embed="rId11"/>
                          <a:stretch>
                            <a:fillRect/>
                          </a:stretch>
                        </pic:blipFill>
                        <pic:spPr>
                          <a:xfrm>
                            <a:off x="0" y="0"/>
                            <a:ext cx="3121740" cy="2352676"/>
                          </a:xfrm>
                          <a:prstGeom prst="rect">
                            <a:avLst/>
                          </a:prstGeom>
                        </pic:spPr>
                      </pic:pic>
                    </a:graphicData>
                  </a:graphic>
                </wp:inline>
              </w:drawing>
            </w:r>
          </w:p>
        </w:tc>
      </w:tr>
    </w:tbl>
    <w:p w14:paraId="1EE2AAB2" w14:textId="77777777" w:rsidR="00D90C40" w:rsidRDefault="00000000">
      <w:pPr>
        <w:pStyle w:val="Caption"/>
        <w:jc w:val="center"/>
        <w:rPr>
          <w:color w:val="000000"/>
          <w:sz w:val="21"/>
        </w:rPr>
      </w:pPr>
      <w:r>
        <w:t xml:space="preserve">Figure </w:t>
      </w:r>
      <w:fldSimple w:instr=" SEQ Figure \* ARABIC ">
        <w:r>
          <w:t>2</w:t>
        </w:r>
      </w:fldSimple>
      <w:r>
        <w:t>: Reduction in quantization error with two BSRs (using existing BSR tables)</w:t>
      </w:r>
    </w:p>
    <w:p w14:paraId="78BB3A0A" w14:textId="77777777" w:rsidR="00D90C40"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lastRenderedPageBreak/>
        <w:t>Observation 5: With just one additional BSR included for the same logical channel, the quantization error for BSR reporting is significantly reduced (even with existing BSR tables)</w:t>
      </w:r>
    </w:p>
    <w:p w14:paraId="41AE877F" w14:textId="77777777" w:rsidR="00D90C40"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Observation 6: The quantization error is fairly negligible at low values of BSR and hence the gains with the 2</w:t>
      </w:r>
      <w:r>
        <w:rPr>
          <w:rFonts w:cs="Arial"/>
          <w:b/>
          <w:bCs/>
          <w:color w:val="000000"/>
          <w:sz w:val="21"/>
          <w:vertAlign w:val="superscript"/>
        </w:rPr>
        <w:t>nd</w:t>
      </w:r>
      <w:r>
        <w:rPr>
          <w:rFonts w:cs="Arial"/>
          <w:b/>
          <w:bCs/>
          <w:color w:val="000000"/>
          <w:sz w:val="21"/>
        </w:rPr>
        <w:t xml:space="preserve"> BSR being included for such small BSR values is also negligible. </w:t>
      </w:r>
    </w:p>
    <w:p w14:paraId="5F90E256"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Based on the above, the following proposals are made: </w:t>
      </w:r>
    </w:p>
    <w:p w14:paraId="5447D6DB" w14:textId="51CD5EDC" w:rsidR="00D90C40"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5: </w:t>
      </w:r>
      <w:r w:rsidR="00723346">
        <w:rPr>
          <w:rFonts w:cs="Arial"/>
          <w:b/>
          <w:bCs/>
          <w:color w:val="000000"/>
          <w:sz w:val="21"/>
        </w:rPr>
        <w:t>UE can include up</w:t>
      </w:r>
      <w:r>
        <w:rPr>
          <w:rFonts w:cs="Arial"/>
          <w:b/>
          <w:bCs/>
          <w:color w:val="000000"/>
          <w:sz w:val="21"/>
        </w:rPr>
        <w:t xml:space="preserve"> to 2 BSR</w:t>
      </w:r>
      <w:r w:rsidR="00723346">
        <w:rPr>
          <w:rFonts w:cs="Arial"/>
          <w:b/>
          <w:bCs/>
          <w:color w:val="000000"/>
          <w:sz w:val="21"/>
        </w:rPr>
        <w:t xml:space="preserve"> indices</w:t>
      </w:r>
      <w:r w:rsidR="00C4538D">
        <w:rPr>
          <w:rFonts w:cs="Arial"/>
          <w:b/>
          <w:bCs/>
          <w:color w:val="000000"/>
          <w:sz w:val="21"/>
        </w:rPr>
        <w:t xml:space="preserve"> </w:t>
      </w:r>
      <w:r>
        <w:rPr>
          <w:rFonts w:cs="Arial"/>
          <w:b/>
          <w:bCs/>
          <w:color w:val="000000"/>
          <w:sz w:val="21"/>
        </w:rPr>
        <w:t xml:space="preserve">for the same </w:t>
      </w:r>
      <w:r w:rsidR="00723346">
        <w:rPr>
          <w:rFonts w:cs="Arial"/>
          <w:b/>
          <w:bCs/>
          <w:color w:val="000000"/>
          <w:sz w:val="21"/>
        </w:rPr>
        <w:t>LCG</w:t>
      </w:r>
      <w:r>
        <w:rPr>
          <w:rFonts w:cs="Arial"/>
          <w:b/>
          <w:bCs/>
          <w:color w:val="000000"/>
          <w:sz w:val="21"/>
        </w:rPr>
        <w:t xml:space="preserve"> to reduce the quantization errors for BSR (</w:t>
      </w:r>
      <w:r w:rsidR="00C4538D">
        <w:rPr>
          <w:rFonts w:cs="Arial"/>
          <w:b/>
          <w:bCs/>
          <w:color w:val="000000"/>
          <w:sz w:val="21"/>
        </w:rPr>
        <w:t>the first index indicating a coarse value for buffer size and the second index indicating a finer value on top of the value indicated by the first index</w:t>
      </w:r>
      <w:r>
        <w:rPr>
          <w:rFonts w:cs="Arial"/>
          <w:b/>
          <w:bCs/>
          <w:color w:val="000000"/>
          <w:sz w:val="21"/>
        </w:rPr>
        <w:t>)</w:t>
      </w:r>
    </w:p>
    <w:p w14:paraId="5406E667" w14:textId="66A64EB6" w:rsidR="00D90C40"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Proposal 6: The UE should include the 2</w:t>
      </w:r>
      <w:r>
        <w:rPr>
          <w:rFonts w:cs="Arial"/>
          <w:b/>
          <w:bCs/>
          <w:color w:val="000000"/>
          <w:sz w:val="21"/>
          <w:vertAlign w:val="superscript"/>
        </w:rPr>
        <w:t>nd</w:t>
      </w:r>
      <w:r>
        <w:rPr>
          <w:rFonts w:cs="Arial"/>
          <w:b/>
          <w:bCs/>
          <w:color w:val="000000"/>
          <w:sz w:val="21"/>
        </w:rPr>
        <w:t xml:space="preserve"> BSR </w:t>
      </w:r>
      <w:r w:rsidR="00723346">
        <w:rPr>
          <w:rFonts w:cs="Arial"/>
          <w:b/>
          <w:bCs/>
          <w:color w:val="000000"/>
          <w:sz w:val="21"/>
        </w:rPr>
        <w:t xml:space="preserve">index </w:t>
      </w:r>
      <w:r>
        <w:rPr>
          <w:rFonts w:cs="Arial"/>
          <w:b/>
          <w:bCs/>
          <w:color w:val="000000"/>
          <w:sz w:val="21"/>
        </w:rPr>
        <w:t>only if the quantization error is larger than a threshold that is configured by the network</w:t>
      </w:r>
    </w:p>
    <w:p w14:paraId="27C1D3BD" w14:textId="0B2A0AF0" w:rsidR="00D90C40" w:rsidRDefault="00000000">
      <w:pPr>
        <w:pStyle w:val="NormalWeb"/>
        <w:spacing w:before="75" w:beforeAutospacing="0" w:after="75" w:afterAutospacing="0" w:line="315" w:lineRule="atLeast"/>
        <w:rPr>
          <w:b/>
          <w:bCs/>
        </w:rPr>
      </w:pPr>
      <w:r>
        <w:rPr>
          <w:rFonts w:cs="Arial"/>
          <w:b/>
          <w:bCs/>
          <w:color w:val="000000"/>
          <w:sz w:val="21"/>
        </w:rPr>
        <w:t>Proposal 7: When two BSR</w:t>
      </w:r>
      <w:r w:rsidR="006D4624">
        <w:rPr>
          <w:rFonts w:cs="Arial"/>
          <w:b/>
          <w:bCs/>
          <w:color w:val="000000"/>
          <w:sz w:val="21"/>
        </w:rPr>
        <w:t xml:space="preserve"> indices per LCG</w:t>
      </w:r>
      <w:r>
        <w:rPr>
          <w:rFonts w:cs="Arial"/>
          <w:b/>
          <w:bCs/>
          <w:color w:val="000000"/>
          <w:sz w:val="21"/>
        </w:rPr>
        <w:t xml:space="preserve"> are included</w:t>
      </w:r>
      <w:r w:rsidR="006D4624">
        <w:rPr>
          <w:rFonts w:cs="Arial"/>
          <w:b/>
          <w:bCs/>
          <w:color w:val="000000"/>
          <w:sz w:val="21"/>
        </w:rPr>
        <w:t xml:space="preserve"> (per P5 above)</w:t>
      </w:r>
      <w:r>
        <w:rPr>
          <w:rFonts w:cs="Arial"/>
          <w:b/>
          <w:bCs/>
          <w:color w:val="000000"/>
          <w:sz w:val="21"/>
        </w:rPr>
        <w:t xml:space="preserve">, RAN2 should discuss if both the </w:t>
      </w:r>
      <w:r w:rsidR="006D4624">
        <w:rPr>
          <w:rFonts w:cs="Arial"/>
          <w:b/>
          <w:bCs/>
          <w:color w:val="000000"/>
          <w:sz w:val="21"/>
        </w:rPr>
        <w:t>BSR indices</w:t>
      </w:r>
      <w:r>
        <w:rPr>
          <w:rFonts w:cs="Arial"/>
          <w:b/>
          <w:bCs/>
          <w:color w:val="000000"/>
          <w:sz w:val="21"/>
        </w:rPr>
        <w:t xml:space="preserve"> should be from the same BSR table or not</w:t>
      </w:r>
    </w:p>
    <w:p w14:paraId="51E4B6BA" w14:textId="77777777" w:rsidR="00D90C4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E42D8D5" w14:textId="77777777" w:rsidR="00D90C40" w:rsidRDefault="00000000">
      <w:pPr>
        <w:pStyle w:val="NormalWeb"/>
        <w:spacing w:before="75" w:beforeAutospacing="0" w:after="75" w:afterAutospacing="0" w:line="315" w:lineRule="atLeast"/>
        <w:rPr>
          <w:rFonts w:cs="Arial"/>
          <w:color w:val="000000"/>
          <w:sz w:val="21"/>
          <w:u w:val="single"/>
        </w:rPr>
      </w:pPr>
      <w:bookmarkStart w:id="6" w:name="_Toc18404543"/>
      <w:bookmarkStart w:id="7" w:name="_Toc18403976"/>
      <w:bookmarkStart w:id="8" w:name="_Toc18413612"/>
      <w:r>
        <w:rPr>
          <w:rFonts w:cs="Arial"/>
          <w:color w:val="000000"/>
          <w:sz w:val="21"/>
          <w:u w:val="single"/>
        </w:rPr>
        <w:t>- BSR format and remaining-time reporting</w:t>
      </w:r>
    </w:p>
    <w:p w14:paraId="79D97235" w14:textId="77777777" w:rsidR="000B002D" w:rsidRPr="000B002D" w:rsidRDefault="000B002D" w:rsidP="000B002D">
      <w:pPr>
        <w:pStyle w:val="NormalWeb"/>
        <w:spacing w:before="75" w:after="75" w:line="315" w:lineRule="atLeast"/>
        <w:rPr>
          <w:rFonts w:cs="Arial"/>
          <w:color w:val="000000"/>
          <w:sz w:val="21"/>
        </w:rPr>
      </w:pPr>
      <w:r w:rsidRPr="000B002D">
        <w:rPr>
          <w:rFonts w:cs="Arial"/>
          <w:color w:val="000000"/>
          <w:sz w:val="21"/>
        </w:rPr>
        <w:t xml:space="preserve">Observation 1: The network can map uplink traffic with a </w:t>
      </w:r>
      <w:proofErr w:type="gramStart"/>
      <w:r w:rsidRPr="000B002D">
        <w:rPr>
          <w:rFonts w:cs="Arial"/>
          <w:color w:val="000000"/>
          <w:sz w:val="21"/>
        </w:rPr>
        <w:t>similar characteristics</w:t>
      </w:r>
      <w:proofErr w:type="gramEnd"/>
      <w:r w:rsidRPr="000B002D">
        <w:rPr>
          <w:rFonts w:cs="Arial"/>
          <w:color w:val="000000"/>
          <w:sz w:val="21"/>
        </w:rPr>
        <w:t xml:space="preserve"> to a given logical channel and further group the logical channels with similar characteristics into an LCG</w:t>
      </w:r>
    </w:p>
    <w:p w14:paraId="25FF4594" w14:textId="77777777" w:rsidR="000B002D" w:rsidRPr="000B002D" w:rsidRDefault="000B002D" w:rsidP="000B002D">
      <w:pPr>
        <w:pStyle w:val="NormalWeb"/>
        <w:spacing w:before="75" w:after="75" w:line="315" w:lineRule="atLeast"/>
        <w:rPr>
          <w:rFonts w:cs="Arial"/>
          <w:color w:val="000000"/>
          <w:sz w:val="21"/>
        </w:rPr>
      </w:pPr>
      <w:r w:rsidRPr="000B002D">
        <w:rPr>
          <w:rFonts w:cs="Arial"/>
          <w:color w:val="000000"/>
          <w:sz w:val="21"/>
        </w:rPr>
        <w:t>Observation 2: An LCG can also have a single logical channel if XR traffic with unique characteristics (</w:t>
      </w:r>
      <w:proofErr w:type="gramStart"/>
      <w:r w:rsidRPr="000B002D">
        <w:rPr>
          <w:rFonts w:cs="Arial"/>
          <w:color w:val="000000"/>
          <w:sz w:val="21"/>
        </w:rPr>
        <w:t>e.g.</w:t>
      </w:r>
      <w:proofErr w:type="gramEnd"/>
      <w:r w:rsidRPr="000B002D">
        <w:rPr>
          <w:rFonts w:cs="Arial"/>
          <w:color w:val="000000"/>
          <w:sz w:val="21"/>
        </w:rPr>
        <w:t xml:space="preserve"> PSDB) is mapped to this LC (i.e. no other PDU Sets have similar QoS requirements)</w:t>
      </w:r>
    </w:p>
    <w:p w14:paraId="4BFA6C81" w14:textId="6ED5D488" w:rsidR="00D90C40" w:rsidRDefault="000B002D" w:rsidP="000B002D">
      <w:pPr>
        <w:pStyle w:val="NormalWeb"/>
        <w:spacing w:before="75" w:beforeAutospacing="0" w:after="75" w:afterAutospacing="0" w:line="315" w:lineRule="atLeast"/>
        <w:rPr>
          <w:rFonts w:cs="Arial"/>
          <w:color w:val="000000"/>
          <w:sz w:val="21"/>
        </w:rPr>
      </w:pPr>
      <w:r w:rsidRPr="000B002D">
        <w:rPr>
          <w:rFonts w:cs="Arial"/>
          <w:color w:val="000000"/>
          <w:sz w:val="21"/>
        </w:rPr>
        <w:t>Observation 3: Current mechanism to use per LCG based BSR reporting has enough flexibility to cater for XR traffic.</w:t>
      </w:r>
      <w:r w:rsidR="00000000">
        <w:rPr>
          <w:rFonts w:cs="Arial"/>
          <w:color w:val="000000"/>
          <w:sz w:val="21"/>
        </w:rPr>
        <w:t xml:space="preserve"> </w:t>
      </w:r>
    </w:p>
    <w:p w14:paraId="6121666E" w14:textId="6EDC865D" w:rsidR="00D90C40" w:rsidRPr="000B002D" w:rsidRDefault="000B002D" w:rsidP="000B002D">
      <w:pPr>
        <w:rPr>
          <w:b/>
          <w:bCs/>
        </w:rPr>
      </w:pPr>
      <w:r>
        <w:rPr>
          <w:b/>
          <w:bCs/>
        </w:rPr>
        <w:t>Proposal 1: For XR, the existing BSR reporting mechanism using per LCG based buffer size is reused</w:t>
      </w:r>
    </w:p>
    <w:p w14:paraId="5963746F" w14:textId="77777777" w:rsidR="00D90C40" w:rsidRDefault="00000000">
      <w:pPr>
        <w:rPr>
          <w:b/>
          <w:bCs/>
        </w:rPr>
      </w:pPr>
      <w:r>
        <w:rPr>
          <w:b/>
          <w:bCs/>
        </w:rPr>
        <w:t>Proposal 2: The remaining-time for buffered data in UL is reported per LCG by the UE</w:t>
      </w:r>
    </w:p>
    <w:p w14:paraId="5776A46F" w14:textId="77777777" w:rsidR="00D90C40" w:rsidRDefault="00000000">
      <w:pPr>
        <w:rPr>
          <w:b/>
          <w:bCs/>
        </w:rPr>
      </w:pPr>
      <w:r>
        <w:rPr>
          <w:b/>
          <w:bCs/>
        </w:rPr>
        <w:t>Proposal 3: When more than one LC is mapped to an LCG, then the remaining-time reported by the UE corresponds to the data from the LC that has the shortest remaining-time left for the buffered data in UL</w:t>
      </w:r>
    </w:p>
    <w:p w14:paraId="7D8F158E" w14:textId="77777777" w:rsidR="00D90C40" w:rsidRDefault="00000000">
      <w:pPr>
        <w:rPr>
          <w:b/>
          <w:bCs/>
        </w:rPr>
      </w:pPr>
      <w:r>
        <w:rPr>
          <w:b/>
          <w:bCs/>
        </w:rPr>
        <w:t>Proposal 4: In order to eliminate the uncertainty in the reported value of the remaining-time due to scheduling delays etc, the UE shall include an absolute time reference (</w:t>
      </w:r>
      <w:proofErr w:type="gramStart"/>
      <w:r>
        <w:rPr>
          <w:b/>
          <w:bCs/>
        </w:rPr>
        <w:t>e.g.</w:t>
      </w:r>
      <w:proofErr w:type="gramEnd"/>
      <w:r>
        <w:rPr>
          <w:b/>
          <w:bCs/>
        </w:rPr>
        <w:t xml:space="preserve"> SFN) as the remaining-time reference point</w:t>
      </w:r>
    </w:p>
    <w:p w14:paraId="753AE39E" w14:textId="77777777" w:rsidR="00D90C40" w:rsidRDefault="00000000">
      <w:pPr>
        <w:pStyle w:val="NormalWeb"/>
        <w:spacing w:before="75" w:beforeAutospacing="0" w:after="75" w:afterAutospacing="0" w:line="315" w:lineRule="atLeast"/>
        <w:rPr>
          <w:rFonts w:cs="Arial"/>
          <w:color w:val="000000"/>
          <w:sz w:val="21"/>
          <w:u w:val="single"/>
        </w:rPr>
      </w:pPr>
      <w:r>
        <w:rPr>
          <w:rFonts w:cs="Arial"/>
          <w:color w:val="000000"/>
          <w:sz w:val="21"/>
          <w:u w:val="single"/>
        </w:rPr>
        <w:t>- BSR quantization error and multiple BSR tables</w:t>
      </w:r>
    </w:p>
    <w:p w14:paraId="6F3B0820"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Observation 4: The amount of over reported buffer data increases with the higher BSR indices (i.e., the error is larger when there is large amount of buffered data at the UE) because the BSR code points towards the higher BSR values are sparser. </w:t>
      </w:r>
    </w:p>
    <w:p w14:paraId="46B3AAD6"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lastRenderedPageBreak/>
        <w:t>Observation 5: With just one additional BSR included for the same logical channel, the quantization error for BSR reporting is significantly reduced (even with existing BSR tables)</w:t>
      </w:r>
    </w:p>
    <w:p w14:paraId="75ADAD47"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Observation 6: The quantization error is fairly negligible at low values of BSR and hence the gains with the 2</w:t>
      </w:r>
      <w:r>
        <w:rPr>
          <w:rFonts w:cs="Arial"/>
          <w:color w:val="000000"/>
          <w:sz w:val="21"/>
          <w:vertAlign w:val="superscript"/>
        </w:rPr>
        <w:t>nd</w:t>
      </w:r>
      <w:r>
        <w:rPr>
          <w:rFonts w:cs="Arial"/>
          <w:color w:val="000000"/>
          <w:sz w:val="21"/>
        </w:rPr>
        <w:t xml:space="preserve"> BSR being included for such small BSR values is also negligible. </w:t>
      </w:r>
    </w:p>
    <w:p w14:paraId="2F9B3E19" w14:textId="77777777" w:rsidR="006D4624" w:rsidRDefault="006D4624" w:rsidP="006D4624">
      <w:pPr>
        <w:pStyle w:val="NormalWeb"/>
        <w:spacing w:before="75" w:beforeAutospacing="0" w:after="75" w:afterAutospacing="0" w:line="315" w:lineRule="atLeast"/>
        <w:rPr>
          <w:rFonts w:cs="Arial"/>
          <w:b/>
          <w:bCs/>
          <w:color w:val="000000"/>
          <w:sz w:val="21"/>
        </w:rPr>
      </w:pPr>
      <w:r>
        <w:rPr>
          <w:rFonts w:cs="Arial"/>
          <w:b/>
          <w:bCs/>
          <w:color w:val="000000"/>
          <w:sz w:val="21"/>
        </w:rPr>
        <w:t>Proposal 5: UE can include up to 2 BSR indices for the same LCG to reduce the quantization errors for BSR (the first index indicating a coarse value for buffer size and the second index indicating a finer value on top of the value indicated by the first index)</w:t>
      </w:r>
    </w:p>
    <w:p w14:paraId="71AA1793" w14:textId="77777777" w:rsidR="006D4624" w:rsidRDefault="006D4624" w:rsidP="006D4624">
      <w:pPr>
        <w:pStyle w:val="NormalWeb"/>
        <w:spacing w:before="75" w:beforeAutospacing="0" w:after="75" w:afterAutospacing="0" w:line="315" w:lineRule="atLeast"/>
        <w:rPr>
          <w:rFonts w:cs="Arial"/>
          <w:b/>
          <w:bCs/>
          <w:color w:val="000000"/>
          <w:sz w:val="21"/>
        </w:rPr>
      </w:pPr>
      <w:r>
        <w:rPr>
          <w:rFonts w:cs="Arial"/>
          <w:b/>
          <w:bCs/>
          <w:color w:val="000000"/>
          <w:sz w:val="21"/>
        </w:rPr>
        <w:t>Proposal 6: The UE should include the 2</w:t>
      </w:r>
      <w:r>
        <w:rPr>
          <w:rFonts w:cs="Arial"/>
          <w:b/>
          <w:bCs/>
          <w:color w:val="000000"/>
          <w:sz w:val="21"/>
          <w:vertAlign w:val="superscript"/>
        </w:rPr>
        <w:t>nd</w:t>
      </w:r>
      <w:r>
        <w:rPr>
          <w:rFonts w:cs="Arial"/>
          <w:b/>
          <w:bCs/>
          <w:color w:val="000000"/>
          <w:sz w:val="21"/>
        </w:rPr>
        <w:t xml:space="preserve"> BSR index only if the quantization error is larger than a threshold that is configured by the network</w:t>
      </w:r>
    </w:p>
    <w:p w14:paraId="52D18671" w14:textId="2DC6B409" w:rsidR="00D90C40" w:rsidRPr="006D4624" w:rsidRDefault="006D4624" w:rsidP="006D4624">
      <w:pPr>
        <w:pStyle w:val="NormalWeb"/>
        <w:spacing w:before="75" w:beforeAutospacing="0" w:after="75" w:afterAutospacing="0" w:line="315" w:lineRule="atLeast"/>
        <w:rPr>
          <w:b/>
          <w:bCs/>
        </w:rPr>
      </w:pPr>
      <w:r>
        <w:rPr>
          <w:rFonts w:cs="Arial"/>
          <w:b/>
          <w:bCs/>
          <w:color w:val="000000"/>
          <w:sz w:val="21"/>
        </w:rPr>
        <w:t xml:space="preserve">Proposal 7: When two BSR indices per LCG are included (per P5 above), RAN2 should discuss if both the BSR indices should be from the same BSR table or not </w:t>
      </w:r>
    </w:p>
    <w:p w14:paraId="4B1F6EA6" w14:textId="77777777" w:rsidR="00D90C4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0FE4A8BB" w14:textId="77777777" w:rsidR="00D90C40"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5229B9EA" w14:textId="77777777" w:rsidR="00D90C40" w:rsidRDefault="00D90C40">
      <w:pPr>
        <w:pStyle w:val="NormalWeb"/>
        <w:spacing w:before="75" w:beforeAutospacing="0" w:after="75" w:afterAutospacing="0" w:line="315" w:lineRule="atLeast"/>
        <w:rPr>
          <w:rFonts w:cs="Arial"/>
          <w:color w:val="000000"/>
          <w:sz w:val="21"/>
        </w:rPr>
      </w:pPr>
    </w:p>
    <w:sectPr w:rsidR="00D90C40">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436B5" w14:textId="77777777" w:rsidR="00574CB1" w:rsidRDefault="00574CB1">
      <w:pPr>
        <w:spacing w:line="240" w:lineRule="auto"/>
      </w:pPr>
      <w:r>
        <w:separator/>
      </w:r>
    </w:p>
  </w:endnote>
  <w:endnote w:type="continuationSeparator" w:id="0">
    <w:p w14:paraId="7BDF4844" w14:textId="77777777" w:rsidR="00574CB1" w:rsidRDefault="00574C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A700D" w14:textId="77777777" w:rsidR="00D90C4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0985EE" w14:textId="77777777" w:rsidR="00D90C40" w:rsidRDefault="00D90C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DE63" w14:textId="77777777" w:rsidR="00D90C40" w:rsidRDefault="00D90C4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544A" w14:textId="77777777" w:rsidR="000B002D" w:rsidRDefault="000B0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0AC8F" w14:textId="77777777" w:rsidR="00574CB1" w:rsidRDefault="00574CB1">
      <w:pPr>
        <w:spacing w:after="0"/>
      </w:pPr>
      <w:r>
        <w:separator/>
      </w:r>
    </w:p>
  </w:footnote>
  <w:footnote w:type="continuationSeparator" w:id="0">
    <w:p w14:paraId="20217C36" w14:textId="77777777" w:rsidR="00574CB1" w:rsidRDefault="00574C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9D01C" w14:textId="77777777" w:rsidR="000B002D" w:rsidRDefault="000B0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0C5A6" w14:textId="77777777" w:rsidR="00D90C40" w:rsidRDefault="00D90C4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E239" w14:textId="77777777" w:rsidR="000B002D" w:rsidRDefault="000B0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89914956">
    <w:abstractNumId w:val="0"/>
  </w:num>
  <w:num w:numId="2" w16cid:durableId="2055425073">
    <w:abstractNumId w:val="4"/>
  </w:num>
  <w:num w:numId="3" w16cid:durableId="1257711195">
    <w:abstractNumId w:val="2"/>
  </w:num>
  <w:num w:numId="4" w16cid:durableId="1360205400">
    <w:abstractNumId w:val="3"/>
  </w:num>
  <w:num w:numId="5" w16cid:durableId="558636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58A460C"/>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301D5"/>
    <w:rsid w:val="7A265E0F"/>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635F6"/>
  <w15:docId w15:val="{AE18EAF2-2954-45B4-A396-E6E67510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cp:revision>
  <cp:lastPrinted>2113-01-01T00:00:00Z</cp:lastPrinted>
  <dcterms:created xsi:type="dcterms:W3CDTF">2023-04-04T12:10:00Z</dcterms:created>
  <dcterms:modified xsi:type="dcterms:W3CDTF">2023-04-06T14:50:00Z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11118B8895594F5AAE9B287AFB46D79B</vt:lpwstr>
  </property>
</Properties>
</file>