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54CED58" w:rsidR="00A209D6" w:rsidRPr="00B266B0" w:rsidRDefault="00A209D6" w:rsidP="00A209D6">
      <w:pPr>
        <w:pStyle w:val="Header"/>
        <w:tabs>
          <w:tab w:val="right" w:pos="9639"/>
        </w:tabs>
        <w:rPr>
          <w:bCs/>
          <w:i/>
          <w:noProof w:val="0"/>
          <w:sz w:val="24"/>
          <w:szCs w:val="24"/>
        </w:rPr>
      </w:pPr>
      <w:bookmarkStart w:id="0" w:name="_Hlk118219434"/>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7F7AF1">
        <w:rPr>
          <w:bCs/>
          <w:noProof w:val="0"/>
          <w:sz w:val="24"/>
          <w:szCs w:val="24"/>
        </w:rPr>
        <w:t xml:space="preserve">20 </w:t>
      </w:r>
      <w:r w:rsidR="00244A05">
        <w:rPr>
          <w:bCs/>
          <w:noProof w:val="0"/>
          <w:sz w:val="24"/>
          <w:szCs w:val="24"/>
        </w:rPr>
        <w:t xml:space="preserve"> </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E9510A">
        <w:rPr>
          <w:bCs/>
          <w:noProof w:val="0"/>
          <w:sz w:val="24"/>
          <w:szCs w:val="24"/>
        </w:rPr>
        <w:t>1</w:t>
      </w:r>
      <w:r w:rsidR="00F53801">
        <w:rPr>
          <w:bCs/>
          <w:noProof w:val="0"/>
          <w:sz w:val="24"/>
          <w:szCs w:val="24"/>
        </w:rPr>
        <w:t>2101</w:t>
      </w:r>
    </w:p>
    <w:p w14:paraId="11776FA6" w14:textId="4E2BC086" w:rsidR="00A209D6" w:rsidRPr="00465587" w:rsidRDefault="007F7AF1" w:rsidP="00A209D6">
      <w:pPr>
        <w:pStyle w:val="Header"/>
        <w:tabs>
          <w:tab w:val="right" w:pos="9639"/>
        </w:tabs>
        <w:rPr>
          <w:bCs/>
          <w:sz w:val="24"/>
          <w:szCs w:val="24"/>
          <w:lang w:eastAsia="zh-CN"/>
        </w:rPr>
      </w:pPr>
      <w:r>
        <w:rPr>
          <w:bCs/>
          <w:sz w:val="24"/>
          <w:szCs w:val="24"/>
          <w:lang w:eastAsia="zh-CN"/>
        </w:rPr>
        <w:t xml:space="preserve">November 14-November 20, Taulouse, France                                           </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1E8AFC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5783B">
        <w:rPr>
          <w:rFonts w:cs="Arial"/>
          <w:b/>
          <w:bCs/>
          <w:sz w:val="24"/>
          <w:lang w:eastAsia="ja-JP"/>
        </w:rPr>
        <w:t>8</w:t>
      </w:r>
      <w:r>
        <w:rPr>
          <w:rFonts w:cs="Arial"/>
          <w:b/>
          <w:bCs/>
          <w:sz w:val="24"/>
          <w:lang w:eastAsia="ja-JP"/>
        </w:rPr>
        <w:t>.</w:t>
      </w:r>
      <w:r w:rsidR="00A5783B">
        <w:rPr>
          <w:rFonts w:cs="Arial"/>
          <w:b/>
          <w:bCs/>
          <w:sz w:val="24"/>
          <w:lang w:eastAsia="ja-JP"/>
        </w:rPr>
        <w:t>6</w:t>
      </w:r>
      <w:r>
        <w:rPr>
          <w:rFonts w:cs="Arial"/>
          <w:b/>
          <w:bCs/>
          <w:sz w:val="24"/>
          <w:lang w:eastAsia="ja-JP"/>
        </w:rPr>
        <w:t>.</w:t>
      </w:r>
      <w:r w:rsidR="00F90819">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2E031E22" w14:textId="6C6BFB1D" w:rsidR="00E9510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53801" w:rsidRPr="00F53801">
        <w:rPr>
          <w:rFonts w:ascii="Arial" w:hAnsi="Arial" w:cs="Arial"/>
          <w:b/>
          <w:bCs/>
          <w:sz w:val="24"/>
        </w:rPr>
        <w:t>Analysis on mobility enhancements for IoT-NTN</w:t>
      </w:r>
    </w:p>
    <w:p w14:paraId="25F387E8" w14:textId="2A87924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5783B" w:rsidRPr="00A5783B">
        <w:rPr>
          <w:rFonts w:ascii="Arial" w:hAnsi="Arial" w:cs="Arial"/>
          <w:b/>
          <w:bCs/>
          <w:sz w:val="24"/>
        </w:rPr>
        <w:t xml:space="preserve">IoT_NTN_enh </w:t>
      </w:r>
      <w:r>
        <w:rPr>
          <w:rFonts w:ascii="Arial" w:hAnsi="Arial" w:cs="Arial"/>
          <w:b/>
          <w:bCs/>
          <w:sz w:val="24"/>
        </w:rPr>
        <w:t xml:space="preserve">- Release </w:t>
      </w:r>
      <w:r w:rsidR="00A5783B">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FC58D61" w14:textId="77777777" w:rsidR="007828E0" w:rsidRDefault="007828E0" w:rsidP="009339CB">
      <w:r>
        <w:t>Rel-18 WID [1] for IoT-NTN enhancements includes one objective for mobility enhancements as given below.</w:t>
      </w:r>
    </w:p>
    <w:tbl>
      <w:tblPr>
        <w:tblStyle w:val="TableGrid"/>
        <w:tblW w:w="0" w:type="auto"/>
        <w:tblLook w:val="04A0" w:firstRow="1" w:lastRow="0" w:firstColumn="1" w:lastColumn="0" w:noHBand="0" w:noVBand="1"/>
      </w:tblPr>
      <w:tblGrid>
        <w:gridCol w:w="9631"/>
      </w:tblGrid>
      <w:tr w:rsidR="007828E0" w14:paraId="6C94C27C" w14:textId="77777777" w:rsidTr="007828E0">
        <w:tc>
          <w:tcPr>
            <w:tcW w:w="9631" w:type="dxa"/>
          </w:tcPr>
          <w:p w14:paraId="07EE2C4F" w14:textId="77777777" w:rsidR="007828E0" w:rsidRDefault="007828E0" w:rsidP="007828E0">
            <w:pPr>
              <w:pStyle w:val="B1"/>
            </w:pPr>
            <w:r>
              <w:t>Mobility Enhancements:</w:t>
            </w:r>
          </w:p>
          <w:p w14:paraId="572680A1" w14:textId="77777777" w:rsidR="007828E0" w:rsidRPr="004D03A0" w:rsidRDefault="007828E0" w:rsidP="007828E0">
            <w:pPr>
              <w:pStyle w:val="B2"/>
              <w:ind w:left="284"/>
            </w:pPr>
            <w:r>
              <w:t>-</w:t>
            </w:r>
            <w:r>
              <w:tab/>
            </w:r>
            <w:r w:rsidRPr="003873CC">
              <w:t>Support of neighbour cell measurements and corresponding measurement triggering before RLF, using Rel</w:t>
            </w:r>
            <w:r>
              <w:t>-</w:t>
            </w:r>
            <w:r w:rsidRPr="003873CC">
              <w:t>17 (TN) NB-IoT, eMTC as a baseline</w:t>
            </w:r>
            <w:r w:rsidRPr="004D03A0">
              <w:t>.</w:t>
            </w:r>
          </w:p>
          <w:p w14:paraId="1A55E73D" w14:textId="505B834C" w:rsidR="007828E0" w:rsidRDefault="007828E0" w:rsidP="007828E0">
            <w:r>
              <w:t>-</w:t>
            </w:r>
            <w:r>
              <w:tab/>
            </w:r>
            <w:r w:rsidRPr="003873CC">
              <w:t>Re-use the solutions introduced in Rel-17 NR NTN for mobility enhancements for eMTC, with minimum necessary changes to adapt them to eMTC</w:t>
            </w:r>
            <w:r w:rsidRPr="004D03A0">
              <w:t xml:space="preserve">. </w:t>
            </w:r>
          </w:p>
        </w:tc>
      </w:tr>
    </w:tbl>
    <w:p w14:paraId="69196F92" w14:textId="1F82961D" w:rsidR="007828E0" w:rsidRDefault="007828E0" w:rsidP="009339CB">
      <w:r>
        <w:t xml:space="preserve"> </w:t>
      </w:r>
    </w:p>
    <w:p w14:paraId="3FC831E7" w14:textId="3A65C13B" w:rsidR="00F65950" w:rsidRDefault="00DD19C2" w:rsidP="009339CB">
      <w:r>
        <w:t xml:space="preserve">Following are the agreements made in RAN2-119e </w:t>
      </w:r>
      <w:r w:rsidR="007F7AF1">
        <w:t xml:space="preserve">and RAN2-119bis-e </w:t>
      </w:r>
      <w:r>
        <w:t>meeting for mobility enhancements for IoT-NTN</w:t>
      </w:r>
      <w:r w:rsidR="00F65950">
        <w:t>.</w:t>
      </w:r>
    </w:p>
    <w:p w14:paraId="6CB2C295" w14:textId="20DFB947" w:rsidR="007F7AF1" w:rsidRDefault="007F7AF1" w:rsidP="009339CB"/>
    <w:p w14:paraId="7008D313" w14:textId="5FFCADA3" w:rsidR="007F7AF1" w:rsidRDefault="007F7AF1" w:rsidP="007F7AF1">
      <w:pPr>
        <w:pStyle w:val="Doc-text2"/>
        <w:pBdr>
          <w:top w:val="single" w:sz="4" w:space="1" w:color="auto"/>
          <w:left w:val="single" w:sz="4" w:space="4" w:color="auto"/>
          <w:bottom w:val="single" w:sz="4" w:space="1" w:color="auto"/>
          <w:right w:val="single" w:sz="4" w:space="4" w:color="auto"/>
        </w:pBdr>
      </w:pPr>
      <w:r>
        <w:t>RAN2-119bis</w:t>
      </w:r>
    </w:p>
    <w:p w14:paraId="1D967611" w14:textId="77777777" w:rsidR="007F7AF1" w:rsidRDefault="007F7AF1" w:rsidP="007F7AF1">
      <w:pPr>
        <w:pStyle w:val="Doc-text2"/>
        <w:numPr>
          <w:ilvl w:val="0"/>
          <w:numId w:val="24"/>
        </w:numPr>
        <w:pBdr>
          <w:top w:val="single" w:sz="4" w:space="1" w:color="auto"/>
          <w:left w:val="single" w:sz="4" w:space="4" w:color="auto"/>
          <w:bottom w:val="single" w:sz="4" w:space="1" w:color="auto"/>
          <w:right w:val="single" w:sz="4" w:space="4" w:color="auto"/>
        </w:pBdr>
      </w:pPr>
      <w:r w:rsidRPr="00C045DA">
        <w:t xml:space="preserve">For eMTC over NTN, </w:t>
      </w:r>
      <w:r>
        <w:t>for both earth-moving and earth-fixed cell scenarios</w:t>
      </w:r>
      <w:r w:rsidRPr="00C045DA">
        <w:t xml:space="preserve">, </w:t>
      </w:r>
      <w:r>
        <w:t xml:space="preserve">we </w:t>
      </w:r>
      <w:r w:rsidRPr="00C045DA">
        <w:t>introduce location based CHO triggering events</w:t>
      </w:r>
    </w:p>
    <w:p w14:paraId="303C2EE3" w14:textId="77777777" w:rsidR="007F7AF1" w:rsidRDefault="007F7AF1" w:rsidP="007F7AF1">
      <w:pPr>
        <w:pStyle w:val="Doc-text2"/>
      </w:pPr>
    </w:p>
    <w:p w14:paraId="41D3A90B" w14:textId="77777777" w:rsidR="007F7AF1" w:rsidRDefault="007F7AF1" w:rsidP="009339CB"/>
    <w:p w14:paraId="7D48FEDB" w14:textId="09F007DB" w:rsidR="007F7AF1" w:rsidRDefault="007F7AF1" w:rsidP="007F7AF1">
      <w:pPr>
        <w:pStyle w:val="Doc-text2"/>
        <w:pBdr>
          <w:top w:val="single" w:sz="4" w:space="1" w:color="auto"/>
          <w:left w:val="single" w:sz="4" w:space="4" w:color="auto"/>
          <w:bottom w:val="single" w:sz="4" w:space="1" w:color="auto"/>
          <w:right w:val="single" w:sz="4" w:space="4" w:color="auto"/>
        </w:pBdr>
      </w:pPr>
      <w:r>
        <w:t>RAN2-119</w:t>
      </w:r>
    </w:p>
    <w:p w14:paraId="094E56B0" w14:textId="7B9E26F2" w:rsidR="00DD19C2" w:rsidRDefault="00DD19C2" w:rsidP="00DD19C2">
      <w:pPr>
        <w:pStyle w:val="Doc-text2"/>
        <w:numPr>
          <w:ilvl w:val="0"/>
          <w:numId w:val="17"/>
        </w:numPr>
        <w:pBdr>
          <w:top w:val="single" w:sz="4" w:space="1" w:color="auto"/>
          <w:left w:val="single" w:sz="4" w:space="4" w:color="auto"/>
          <w:bottom w:val="single" w:sz="4" w:space="1" w:color="auto"/>
          <w:right w:val="single" w:sz="4" w:space="4" w:color="auto"/>
        </w:pBdr>
      </w:pPr>
      <w:r>
        <w:t>IoT</w:t>
      </w:r>
      <w:r w:rsidRPr="00C54FE2">
        <w:t xml:space="preserve"> NTN </w:t>
      </w:r>
      <w:r>
        <w:t xml:space="preserve">can </w:t>
      </w:r>
      <w:r w:rsidRPr="00C54FE2">
        <w:t>use the</w:t>
      </w:r>
      <w:r>
        <w:t xml:space="preserve"> mechanism for</w:t>
      </w:r>
      <w:r w:rsidRPr="00C54FE2">
        <w:t xml:space="preserve"> neighbour cell measurements </w:t>
      </w:r>
      <w:r>
        <w:t>in connected mode (</w:t>
      </w:r>
      <w:r w:rsidRPr="00C54FE2">
        <w:t xml:space="preserve">specified in Rel-17 </w:t>
      </w:r>
      <w:r>
        <w:t xml:space="preserve">for </w:t>
      </w:r>
      <w:r w:rsidRPr="00C54FE2">
        <w:t>NB-IoT</w:t>
      </w:r>
      <w:r>
        <w:t>)</w:t>
      </w:r>
      <w:r w:rsidRPr="00C54FE2">
        <w:t>.</w:t>
      </w:r>
      <w:r>
        <w:t xml:space="preserve"> FFS if any enhancements are needed (e.g. triggers) for both NB-IoT and eMTC.</w:t>
      </w:r>
    </w:p>
    <w:p w14:paraId="1D605769" w14:textId="77777777" w:rsidR="00DD19C2" w:rsidRDefault="00DD19C2" w:rsidP="00DD19C2">
      <w:pPr>
        <w:pStyle w:val="Doc-text2"/>
        <w:numPr>
          <w:ilvl w:val="0"/>
          <w:numId w:val="17"/>
        </w:numPr>
        <w:pBdr>
          <w:top w:val="single" w:sz="4" w:space="1" w:color="auto"/>
          <w:left w:val="single" w:sz="4" w:space="4" w:color="auto"/>
          <w:bottom w:val="single" w:sz="4" w:space="1" w:color="auto"/>
          <w:right w:val="single" w:sz="4" w:space="4" w:color="auto"/>
        </w:pBdr>
      </w:pPr>
      <w: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140616D6" w14:textId="77777777" w:rsidR="00DD19C2" w:rsidRDefault="00DD19C2" w:rsidP="00DD19C2">
      <w:pPr>
        <w:pStyle w:val="Doc-text2"/>
        <w:numPr>
          <w:ilvl w:val="0"/>
          <w:numId w:val="17"/>
        </w:numPr>
        <w:pBdr>
          <w:top w:val="single" w:sz="4" w:space="1" w:color="auto"/>
          <w:left w:val="single" w:sz="4" w:space="4" w:color="auto"/>
          <w:bottom w:val="single" w:sz="4" w:space="1" w:color="auto"/>
          <w:right w:val="single" w:sz="4" w:space="4" w:color="auto"/>
        </w:pBdr>
      </w:pPr>
      <w:r>
        <w:t>CHO enhancements for eMTC NTN (i.e. time/timer based solution) are introduced based on the R17 NR NTN solution. FFS on location-based solution</w:t>
      </w:r>
    </w:p>
    <w:p w14:paraId="48A6D25A" w14:textId="77777777" w:rsidR="00DD19C2" w:rsidRDefault="00DD19C2" w:rsidP="00DD19C2">
      <w:pPr>
        <w:pStyle w:val="Doc-text2"/>
        <w:numPr>
          <w:ilvl w:val="0"/>
          <w:numId w:val="17"/>
        </w:numPr>
        <w:pBdr>
          <w:top w:val="single" w:sz="4" w:space="1" w:color="auto"/>
          <w:left w:val="single" w:sz="4" w:space="4" w:color="auto"/>
          <w:bottom w:val="single" w:sz="4" w:space="1" w:color="auto"/>
          <w:right w:val="single" w:sz="4" w:space="4" w:color="auto"/>
        </w:pBdr>
      </w:pPr>
      <w:r>
        <w:t>Measurement results reporting is not supported in Rel-18 NB-IoT NTN.</w:t>
      </w:r>
    </w:p>
    <w:p w14:paraId="353CF774" w14:textId="77777777" w:rsidR="00DD19C2" w:rsidRDefault="00DD19C2" w:rsidP="009339CB"/>
    <w:p w14:paraId="7B52A238" w14:textId="5A535BE2" w:rsidR="00F65950" w:rsidRDefault="007828E0" w:rsidP="009339CB">
      <w:r>
        <w:t>In this paper</w:t>
      </w:r>
      <w:r w:rsidR="00333B42">
        <w:t>,</w:t>
      </w:r>
      <w:r>
        <w:t xml:space="preserve"> we </w:t>
      </w:r>
      <w:r w:rsidR="00333B42">
        <w:t>further analyze the remaining issues to be addressed for introducing connected mode measurements for IoT-NTN and extending the Rel-17 NR-NTN enhancements for eMTC.</w:t>
      </w:r>
    </w:p>
    <w:bookmarkEnd w:id="0"/>
    <w:p w14:paraId="2C83E05E" w14:textId="5F1EEE45" w:rsidR="003424E9" w:rsidRDefault="003424E9" w:rsidP="009339CB"/>
    <w:p w14:paraId="7D484B6E" w14:textId="36040548" w:rsidR="009339CB" w:rsidRDefault="009339CB" w:rsidP="009339CB">
      <w:pPr>
        <w:pStyle w:val="Heading1"/>
        <w:rPr>
          <w:rFonts w:eastAsia="Times New Roman"/>
        </w:rPr>
      </w:pPr>
      <w:r w:rsidRPr="006E13D1">
        <w:lastRenderedPageBreak/>
        <w:t>2</w:t>
      </w:r>
      <w:r w:rsidRPr="006E13D1">
        <w:tab/>
      </w:r>
      <w:r w:rsidR="00B22625">
        <w:rPr>
          <w:rFonts w:eastAsia="Times New Roman"/>
        </w:rPr>
        <w:t>Discussion</w:t>
      </w:r>
    </w:p>
    <w:p w14:paraId="08A7940E" w14:textId="51B7AADF" w:rsidR="00333B42" w:rsidRDefault="00333B42" w:rsidP="00333B42">
      <w:pPr>
        <w:pStyle w:val="Heading2"/>
        <w:rPr>
          <w:rStyle w:val="Emphasis"/>
          <w:i w:val="0"/>
          <w:iCs w:val="0"/>
        </w:rPr>
      </w:pPr>
      <w:r>
        <w:rPr>
          <w:rStyle w:val="Emphasis"/>
          <w:i w:val="0"/>
          <w:iCs w:val="0"/>
        </w:rPr>
        <w:t>2.</w:t>
      </w:r>
      <w:r w:rsidR="00733752">
        <w:rPr>
          <w:rStyle w:val="Emphasis"/>
          <w:i w:val="0"/>
          <w:iCs w:val="0"/>
        </w:rPr>
        <w:t>1</w:t>
      </w:r>
      <w:r>
        <w:rPr>
          <w:rStyle w:val="Emphasis"/>
          <w:i w:val="0"/>
          <w:iCs w:val="0"/>
        </w:rPr>
        <w:t xml:space="preserve"> Triggering Condition for connected mode measurements for IoT-NTN.</w:t>
      </w:r>
    </w:p>
    <w:p w14:paraId="5D4BBC5E" w14:textId="4164BC93" w:rsidR="00013F68" w:rsidRDefault="00333B42" w:rsidP="00013F68">
      <w:pPr>
        <w:rPr>
          <w:color w:val="FF0000"/>
          <w:lang w:eastAsia="en-IN"/>
        </w:rPr>
      </w:pPr>
      <w:r>
        <w:t xml:space="preserve">It is agreed to further work on introducing new timer-based trigger for starting intra and inter-frequency measurements. Use of distance-based trigger requires further analysis.  </w:t>
      </w:r>
      <w:r w:rsidR="00013F68">
        <w:t xml:space="preserve">For location based triggering event the main issue indicated in the last meeting is that for evaluation of location UE may need to do GNSS update that will require interruption to the current connection. However, we believe the existing GNSS validity timer can still be used for measurements and there is no need to do GNSS update during connected mode. Because, the </w:t>
      </w:r>
      <w:r w:rsidR="00013F68" w:rsidRPr="000F53E5">
        <w:t>UE, which is RRC Connected, has a valid GNSS validity duration such that is can perform uplink pre-compensation. Otherwise it would have to move to RRC Idle according to the release 17 specification. Therefore, the UE need not acquire the GNSS fix again for evaluation of location based event as the  UE has a valid location information available at the time of evaluation.</w:t>
      </w:r>
    </w:p>
    <w:p w14:paraId="70A0B30D" w14:textId="73236FD6" w:rsidR="00333B42" w:rsidRDefault="00013F68" w:rsidP="00333B42">
      <w:r w:rsidRPr="00013F68">
        <w:rPr>
          <w:b/>
          <w:bCs/>
        </w:rPr>
        <w:t xml:space="preserve">Observation </w:t>
      </w:r>
      <w:r w:rsidR="00733752">
        <w:rPr>
          <w:b/>
          <w:bCs/>
        </w:rPr>
        <w:t>1</w:t>
      </w:r>
      <w:r>
        <w:t>: Evaluation of location/</w:t>
      </w:r>
      <w:r w:rsidR="00053FAE">
        <w:t>distance-based</w:t>
      </w:r>
      <w:r>
        <w:t xml:space="preserve"> event can make use of available GNSS Fix which is already valid until validity timer for uplink synchronisation.</w:t>
      </w:r>
    </w:p>
    <w:p w14:paraId="60B50833" w14:textId="09322864" w:rsidR="00333B42" w:rsidRPr="00333B42" w:rsidRDefault="00333B42" w:rsidP="00333B42">
      <w:pPr>
        <w:rPr>
          <w:b/>
          <w:bCs/>
        </w:rPr>
      </w:pPr>
      <w:r w:rsidRPr="00333B42">
        <w:rPr>
          <w:b/>
          <w:bCs/>
        </w:rPr>
        <w:t xml:space="preserve">Proposal </w:t>
      </w:r>
      <w:r w:rsidR="00733752">
        <w:rPr>
          <w:b/>
          <w:bCs/>
        </w:rPr>
        <w:t>1</w:t>
      </w:r>
      <w:r w:rsidRPr="00333B42">
        <w:rPr>
          <w:b/>
          <w:bCs/>
        </w:rPr>
        <w:t xml:space="preserve">: </w:t>
      </w:r>
      <w:r w:rsidR="00053FAE">
        <w:rPr>
          <w:b/>
          <w:bCs/>
        </w:rPr>
        <w:t>Distance-based</w:t>
      </w:r>
      <w:r w:rsidRPr="00333B42">
        <w:rPr>
          <w:b/>
          <w:bCs/>
        </w:rPr>
        <w:t xml:space="preserve"> triggering condition to start connected mode measurements is supported for IoT-NTN</w:t>
      </w:r>
    </w:p>
    <w:p w14:paraId="296567B9" w14:textId="715DA18B" w:rsidR="00333B42" w:rsidRDefault="00333B42" w:rsidP="00333B42">
      <w:r>
        <w:t xml:space="preserve">The connected mode measurements prior to RLF can be configured to start only after </w:t>
      </w:r>
      <w:r w:rsidR="00733752">
        <w:t xml:space="preserve">the </w:t>
      </w:r>
      <w:r>
        <w:t xml:space="preserve">serving cell radio condition goes below </w:t>
      </w:r>
      <w:r w:rsidR="00733752">
        <w:t xml:space="preserve">the </w:t>
      </w:r>
      <w:r>
        <w:t>specific threshold where the UE can do the serving cell measurements as relaxed measurements using the same principles used in idle mode with the difference that the relaxed monitoring state may be restarted or continued in connected mode.</w:t>
      </w:r>
    </w:p>
    <w:p w14:paraId="3248E492" w14:textId="4C0ABE39" w:rsidR="00333B42" w:rsidRPr="008531AE" w:rsidRDefault="00333B42" w:rsidP="00333B42">
      <w:r>
        <w:t xml:space="preserve">For NTN deployment scenario with </w:t>
      </w:r>
      <w:r w:rsidR="00733752">
        <w:t xml:space="preserve">the </w:t>
      </w:r>
      <w:r>
        <w:t xml:space="preserve">moving cell scenario (LEO), the relaxed monitoring of </w:t>
      </w:r>
      <w:r w:rsidR="00733752">
        <w:t xml:space="preserve">the </w:t>
      </w:r>
      <w:r>
        <w:t xml:space="preserve">serving cell defined for </w:t>
      </w:r>
      <w:r w:rsidR="00733752">
        <w:t xml:space="preserve">the </w:t>
      </w:r>
      <w:r>
        <w:t xml:space="preserve">terrestrial system will not be efficient. Because the serving cell strength changes continuously due to moving cell situation so the relaxed monitoring may not even start in idle mode. The same problem will be applicable also in connected mode serving cell measurements. So the relaxed serving cell measurements used prior to starting connected mode measurements needs to be revisited for </w:t>
      </w:r>
      <w:r w:rsidR="00733752">
        <w:t xml:space="preserve">the </w:t>
      </w:r>
      <w:r>
        <w:t xml:space="preserve">LEO scenario. For example, serving cell measurements can be relaxed based on timer value which determines the UE mobility towards </w:t>
      </w:r>
      <w:r w:rsidR="00733752">
        <w:t xml:space="preserve">the </w:t>
      </w:r>
      <w:r>
        <w:t xml:space="preserve">target cell in </w:t>
      </w:r>
      <w:r w:rsidR="00733752">
        <w:t xml:space="preserve">a </w:t>
      </w:r>
      <w:r>
        <w:t>deterministic way can be one option.</w:t>
      </w:r>
    </w:p>
    <w:p w14:paraId="31759001" w14:textId="4B5B9390" w:rsidR="00333B42" w:rsidRDefault="00333B42" w:rsidP="00333B42">
      <w:pPr>
        <w:rPr>
          <w:b/>
          <w:bCs/>
        </w:rPr>
      </w:pPr>
      <w:r>
        <w:rPr>
          <w:b/>
          <w:bCs/>
        </w:rPr>
        <w:t xml:space="preserve">Proposal </w:t>
      </w:r>
      <w:r w:rsidR="00733752">
        <w:rPr>
          <w:b/>
          <w:bCs/>
        </w:rPr>
        <w:t>2</w:t>
      </w:r>
      <w:r w:rsidRPr="0009178E">
        <w:rPr>
          <w:b/>
          <w:bCs/>
        </w:rPr>
        <w:t xml:space="preserve">: </w:t>
      </w:r>
      <w:r>
        <w:rPr>
          <w:b/>
          <w:bCs/>
        </w:rPr>
        <w:t xml:space="preserve">For </w:t>
      </w:r>
      <w:r w:rsidR="00733752">
        <w:rPr>
          <w:b/>
          <w:bCs/>
        </w:rPr>
        <w:t xml:space="preserve">the </w:t>
      </w:r>
      <w:r>
        <w:rPr>
          <w:b/>
          <w:bCs/>
        </w:rPr>
        <w:t xml:space="preserve">LEO scenario, the relaxed serving cell measurements in </w:t>
      </w:r>
      <w:r w:rsidR="000F53E5">
        <w:rPr>
          <w:b/>
          <w:bCs/>
        </w:rPr>
        <w:t xml:space="preserve">a </w:t>
      </w:r>
      <w:r>
        <w:rPr>
          <w:b/>
          <w:bCs/>
        </w:rPr>
        <w:t xml:space="preserve">connected mode </w:t>
      </w:r>
      <w:r w:rsidR="00733752">
        <w:rPr>
          <w:b/>
          <w:bCs/>
        </w:rPr>
        <w:t>need</w:t>
      </w:r>
      <w:r>
        <w:rPr>
          <w:b/>
          <w:bCs/>
        </w:rPr>
        <w:t xml:space="preserve"> to be modified to improve the effectiveness of </w:t>
      </w:r>
      <w:r w:rsidR="00053FAE">
        <w:rPr>
          <w:b/>
          <w:bCs/>
        </w:rPr>
        <w:t>measurements for RLF enhancement</w:t>
      </w:r>
    </w:p>
    <w:p w14:paraId="30FB7174" w14:textId="77777777" w:rsidR="00333B42" w:rsidRPr="00333B42" w:rsidRDefault="00333B42" w:rsidP="00333B42"/>
    <w:p w14:paraId="0B36CE01" w14:textId="62139452" w:rsidR="00C822FE" w:rsidRPr="00C205B2" w:rsidRDefault="00C822FE" w:rsidP="00C205B2">
      <w:pPr>
        <w:pStyle w:val="Heading2"/>
        <w:numPr>
          <w:ilvl w:val="1"/>
          <w:numId w:val="23"/>
        </w:numPr>
        <w:jc w:val="both"/>
        <w:rPr>
          <w:rStyle w:val="Emphasis"/>
          <w:i w:val="0"/>
          <w:iCs w:val="0"/>
        </w:rPr>
      </w:pPr>
      <w:r w:rsidRPr="00C205B2">
        <w:rPr>
          <w:rStyle w:val="Emphasis"/>
          <w:i w:val="0"/>
          <w:iCs w:val="0"/>
        </w:rPr>
        <w:t>CHO Modifications for eMTC connected mode mobility.</w:t>
      </w:r>
    </w:p>
    <w:p w14:paraId="0AB7B8C9" w14:textId="726D03BD" w:rsidR="00554593" w:rsidRDefault="00554593" w:rsidP="00C205B2">
      <w:pPr>
        <w:jc w:val="both"/>
      </w:pPr>
      <w:r>
        <w:t xml:space="preserve">As part of Rel-17 work, </w:t>
      </w:r>
      <w:r w:rsidR="4B6BC00A">
        <w:t>NR NTN enhancements for conditional handover</w:t>
      </w:r>
      <w:r>
        <w:t xml:space="preserve"> (CHO)</w:t>
      </w:r>
      <w:r w:rsidR="4B6BC00A">
        <w:t xml:space="preserve"> introduce</w:t>
      </w:r>
      <w:r>
        <w:t>d</w:t>
      </w:r>
      <w:r w:rsidR="4B6BC00A">
        <w:t xml:space="preserve"> additional </w:t>
      </w:r>
      <w:r>
        <w:t xml:space="preserve">CHO </w:t>
      </w:r>
      <w:r w:rsidR="4B6BC00A">
        <w:t>execution condition</w:t>
      </w:r>
      <w:r>
        <w:t>s</w:t>
      </w:r>
      <w:r w:rsidR="4B6BC00A">
        <w:t xml:space="preserve"> based on location and time values over the </w:t>
      </w:r>
      <w:r w:rsidR="00EC2C84">
        <w:t>measurement event</w:t>
      </w:r>
      <w:r w:rsidR="4B6BC00A">
        <w:t xml:space="preserve"> for </w:t>
      </w:r>
      <w:r w:rsidR="006C6BC7">
        <w:t xml:space="preserve">enhanced </w:t>
      </w:r>
      <w:r w:rsidR="4B6BC00A">
        <w:t xml:space="preserve">connected mode mobility. </w:t>
      </w:r>
      <w:r w:rsidR="00C205B2">
        <w:t xml:space="preserve">The specification of the CHO events for NR NTN is captured in TS 38.8311 </w:t>
      </w:r>
      <w:r w:rsidR="00C205B2" w:rsidRPr="00A33044">
        <w:t>[</w:t>
      </w:r>
      <w:r w:rsidR="00A33044" w:rsidRPr="00A33044">
        <w:t>4</w:t>
      </w:r>
      <w:r w:rsidR="00C205B2" w:rsidRPr="00A33044">
        <w:t>]</w:t>
      </w:r>
      <w:r w:rsidR="00C205B2">
        <w:t xml:space="preserve"> as:</w:t>
      </w:r>
    </w:p>
    <w:tbl>
      <w:tblPr>
        <w:tblStyle w:val="TableGrid"/>
        <w:tblW w:w="0" w:type="auto"/>
        <w:tblCellMar>
          <w:top w:w="85" w:type="dxa"/>
        </w:tblCellMar>
        <w:tblLook w:val="04A0" w:firstRow="1" w:lastRow="0" w:firstColumn="1" w:lastColumn="0" w:noHBand="0" w:noVBand="1"/>
      </w:tblPr>
      <w:tblGrid>
        <w:gridCol w:w="9631"/>
      </w:tblGrid>
      <w:tr w:rsidR="00C205B2" w14:paraId="5839BB53" w14:textId="77777777" w:rsidTr="00C24AE2">
        <w:tc>
          <w:tcPr>
            <w:tcW w:w="9631" w:type="dxa"/>
            <w:vAlign w:val="center"/>
          </w:tcPr>
          <w:p w14:paraId="13EE823A" w14:textId="77777777" w:rsidR="00C205B2" w:rsidRPr="0054535E" w:rsidRDefault="00C205B2" w:rsidP="00C205B2">
            <w:pPr>
              <w:pStyle w:val="B2"/>
              <w:numPr>
                <w:ilvl w:val="0"/>
                <w:numId w:val="19"/>
              </w:numPr>
              <w:jc w:val="both"/>
              <w:rPr>
                <w:lang w:val="en-US"/>
              </w:rPr>
            </w:pPr>
            <w:r w:rsidRPr="000E63F2">
              <w:t xml:space="preserve">CondEvent D1: Distance between UE and a reference location </w:t>
            </w:r>
            <w:r w:rsidRPr="00C205B2">
              <w:rPr>
                <w:i/>
                <w:iCs/>
              </w:rPr>
              <w:t>referenceLocation1</w:t>
            </w:r>
            <w:r w:rsidRPr="000E63F2">
              <w:t xml:space="preserve"> becomes larger than configured threshold </w:t>
            </w:r>
            <w:r w:rsidRPr="00C205B2">
              <w:rPr>
                <w:i/>
                <w:iCs/>
              </w:rPr>
              <w:t>Thresh1</w:t>
            </w:r>
            <w:r w:rsidRPr="000E63F2">
              <w:t xml:space="preserve"> and distance between UE and a reference location </w:t>
            </w:r>
            <w:r w:rsidRPr="00C205B2">
              <w:rPr>
                <w:i/>
                <w:iCs/>
              </w:rPr>
              <w:t>referenceLocation2</w:t>
            </w:r>
            <w:r w:rsidRPr="000E63F2">
              <w:t xml:space="preserve"> of</w:t>
            </w:r>
            <w:r>
              <w:t xml:space="preserve"> </w:t>
            </w:r>
            <w:r w:rsidRPr="000E63F2">
              <w:t xml:space="preserve">conditional reconfiguration candidate becomes shorter than configured threshold </w:t>
            </w:r>
            <w:r w:rsidRPr="00C205B2">
              <w:rPr>
                <w:i/>
                <w:iCs/>
              </w:rPr>
              <w:t>Thresh2</w:t>
            </w:r>
            <w:r w:rsidRPr="000E63F2">
              <w:t>;</w:t>
            </w:r>
          </w:p>
          <w:p w14:paraId="40069974" w14:textId="77777777" w:rsidR="00C205B2" w:rsidRPr="000E63F2" w:rsidRDefault="00C205B2" w:rsidP="00C205B2">
            <w:pPr>
              <w:pStyle w:val="B2"/>
              <w:numPr>
                <w:ilvl w:val="0"/>
                <w:numId w:val="19"/>
              </w:numPr>
              <w:jc w:val="both"/>
              <w:rPr>
                <w:lang w:val="en-US"/>
              </w:rPr>
            </w:pPr>
            <w:r w:rsidRPr="000E63F2">
              <w:t xml:space="preserve">CondEvent T1: Time measured at UE becomes more than configured threshold </w:t>
            </w:r>
            <w:r w:rsidRPr="003E416C">
              <w:rPr>
                <w:i/>
                <w:iCs/>
              </w:rPr>
              <w:t>Thresh1</w:t>
            </w:r>
            <w:r w:rsidRPr="000E63F2">
              <w:t xml:space="preserve"> but is less than </w:t>
            </w:r>
            <w:r w:rsidRPr="003E416C">
              <w:rPr>
                <w:i/>
                <w:iCs/>
              </w:rPr>
              <w:t>Thresh1+duration</w:t>
            </w:r>
            <w:r w:rsidRPr="000E63F2">
              <w:t>;</w:t>
            </w:r>
          </w:p>
        </w:tc>
      </w:tr>
    </w:tbl>
    <w:p w14:paraId="687E5798" w14:textId="77777777" w:rsidR="00C205B2" w:rsidRDefault="00C205B2" w:rsidP="00C205B2">
      <w:pPr>
        <w:jc w:val="both"/>
      </w:pPr>
    </w:p>
    <w:p w14:paraId="4CB7A1EB" w14:textId="3E1E8EB5" w:rsidR="00133129" w:rsidRDefault="0013087B" w:rsidP="00C205B2">
      <w:pPr>
        <w:jc w:val="both"/>
      </w:pPr>
      <w:r>
        <w:t>The</w:t>
      </w:r>
      <w:r w:rsidR="00F076BC">
        <w:t xml:space="preserve"> Rel-18</w:t>
      </w:r>
      <w:r>
        <w:t xml:space="preserve"> WID on IoT</w:t>
      </w:r>
      <w:r w:rsidR="00AF432A">
        <w:t xml:space="preserve"> </w:t>
      </w:r>
      <w:r>
        <w:t>NTN enhancements</w:t>
      </w:r>
      <w:r w:rsidR="00165BC6">
        <w:t xml:space="preserve"> [</w:t>
      </w:r>
      <w:r w:rsidR="00C205B2">
        <w:t>1</w:t>
      </w:r>
      <w:r w:rsidR="00165BC6">
        <w:t>]</w:t>
      </w:r>
      <w:r>
        <w:t xml:space="preserve"> </w:t>
      </w:r>
      <w:r w:rsidR="00AD50EE">
        <w:t>includes an objective, noted above, which propose to reuse mobility enhancements</w:t>
      </w:r>
      <w:r w:rsidR="00D3798F">
        <w:t xml:space="preserve"> from NR NTN for eMTC NTN. In our view, it will be beneficial for RAN2 to focus on re-using the Rel-17 NR NTN </w:t>
      </w:r>
      <w:r w:rsidR="00A368A0">
        <w:t xml:space="preserve">CHO </w:t>
      </w:r>
      <w:r w:rsidR="00FC10E3">
        <w:t>enhancements</w:t>
      </w:r>
      <w:r w:rsidR="009447AA">
        <w:t xml:space="preserve"> in eMTC</w:t>
      </w:r>
      <w:r w:rsidR="00AF432A">
        <w:t xml:space="preserve"> </w:t>
      </w:r>
      <w:r w:rsidR="009447AA">
        <w:t>NTN</w:t>
      </w:r>
      <w:r w:rsidR="00902C06">
        <w:t>,</w:t>
      </w:r>
      <w:r w:rsidR="009447AA">
        <w:t xml:space="preserve"> </w:t>
      </w:r>
      <w:r w:rsidR="00902C06">
        <w:t>i</w:t>
      </w:r>
      <w:r w:rsidR="009447AA">
        <w:t>.</w:t>
      </w:r>
      <w:r w:rsidR="00902C06">
        <w:t>e</w:t>
      </w:r>
      <w:r w:rsidR="009447AA">
        <w:t>. location-based D1 event and time-based T1 event</w:t>
      </w:r>
      <w:r w:rsidR="00955C50">
        <w:t>.</w:t>
      </w:r>
    </w:p>
    <w:p w14:paraId="6403D584" w14:textId="2F79FD58" w:rsidR="00C205B2" w:rsidRDefault="00C205B2" w:rsidP="00C205B2">
      <w:pPr>
        <w:jc w:val="both"/>
      </w:pPr>
      <w:r>
        <w:t xml:space="preserve">For measurement-based CHO events, i.e. </w:t>
      </w:r>
      <w:r w:rsidRPr="004B53F5">
        <w:t>CondEvent A3, CondEvent A4 and CondEvent A5</w:t>
      </w:r>
      <w:r>
        <w:t xml:space="preserve">, the UE makes use of RRM measurements to trigger the event conditions. However, for </w:t>
      </w:r>
      <w:r w:rsidRPr="005A015F">
        <w:rPr>
          <w:i/>
          <w:iCs/>
        </w:rPr>
        <w:t>CondEvent D1</w:t>
      </w:r>
      <w:r>
        <w:t xml:space="preserve"> and </w:t>
      </w:r>
      <w:r w:rsidRPr="005A015F">
        <w:rPr>
          <w:i/>
          <w:iCs/>
        </w:rPr>
        <w:t xml:space="preserve">CondEvent </w:t>
      </w:r>
      <w:r>
        <w:rPr>
          <w:i/>
          <w:iCs/>
        </w:rPr>
        <w:t>T</w:t>
      </w:r>
      <w:r w:rsidRPr="005A015F">
        <w:rPr>
          <w:i/>
          <w:iCs/>
        </w:rPr>
        <w:t>1</w:t>
      </w:r>
      <w:r>
        <w:t xml:space="preserve"> the UE relies on the distance between the UE and cells reference location and a time window evaluated by the UE, respectively. Note that in RAN2#117 </w:t>
      </w:r>
      <w:r w:rsidRPr="008104BC">
        <w:t>[</w:t>
      </w:r>
      <w:r w:rsidR="00F72357">
        <w:t>5</w:t>
      </w:r>
      <w:r w:rsidRPr="008104BC">
        <w:t>]</w:t>
      </w:r>
      <w:r>
        <w:t xml:space="preserve"> was agreed for Rel-17 NR NTN that joint configuration of location-based and time-based CHO events will not be supported in Rel-17.</w:t>
      </w:r>
    </w:p>
    <w:p w14:paraId="022325F0" w14:textId="77777777" w:rsidR="00C205B2" w:rsidRDefault="00C205B2" w:rsidP="00C205B2">
      <w:pPr>
        <w:jc w:val="both"/>
      </w:pPr>
      <w:r>
        <w:lastRenderedPageBreak/>
        <w:t xml:space="preserve">In this paper, the applicability of the events </w:t>
      </w:r>
      <w:r w:rsidRPr="00935C12">
        <w:rPr>
          <w:i/>
          <w:iCs/>
        </w:rPr>
        <w:t>CondEvent D1</w:t>
      </w:r>
      <w:r>
        <w:t xml:space="preserve"> and </w:t>
      </w:r>
      <w:r w:rsidRPr="00935C12">
        <w:rPr>
          <w:i/>
          <w:iCs/>
        </w:rPr>
        <w:t>CondEvent T1</w:t>
      </w:r>
      <w:r>
        <w:t xml:space="preserve">, are analysed considering cell mobility and UE mobility. The following aims to summarize the advantages and disadvantages of </w:t>
      </w:r>
      <w:r w:rsidRPr="005A015F">
        <w:rPr>
          <w:i/>
          <w:iCs/>
        </w:rPr>
        <w:t>CondEvent D1</w:t>
      </w:r>
      <w:r>
        <w:t xml:space="preserve"> and </w:t>
      </w:r>
      <w:r w:rsidRPr="005A015F">
        <w:rPr>
          <w:i/>
          <w:iCs/>
        </w:rPr>
        <w:t>CondEvent T1</w:t>
      </w:r>
      <w:r>
        <w:t xml:space="preserve"> events in Quasi-Earth-fixed cells (EFC) and Earth-moving cells (EMC).  </w:t>
      </w:r>
    </w:p>
    <w:p w14:paraId="6BA34B45" w14:textId="03205376" w:rsidR="00C205B2" w:rsidRPr="00C205B2" w:rsidRDefault="00C205B2" w:rsidP="00C205B2">
      <w:pPr>
        <w:pStyle w:val="Heading3"/>
        <w:numPr>
          <w:ilvl w:val="2"/>
          <w:numId w:val="23"/>
        </w:numPr>
        <w:jc w:val="both"/>
      </w:pPr>
      <w:r w:rsidRPr="00C205B2">
        <w:t>EFC</w:t>
      </w:r>
    </w:p>
    <w:p w14:paraId="728B7CCA" w14:textId="77777777" w:rsidR="00C205B2" w:rsidRDefault="00C205B2" w:rsidP="00C205B2">
      <w:pPr>
        <w:jc w:val="both"/>
      </w:pPr>
      <w:r>
        <w:t xml:space="preserve">EFC scenarios are characterized by satellite beams covering one geographical area and providing service for a certain amount of time to that area. The time-based CHO event, i.e. </w:t>
      </w:r>
      <w:r w:rsidRPr="00935C12">
        <w:rPr>
          <w:i/>
          <w:iCs/>
        </w:rPr>
        <w:t>CondEvent T1</w:t>
      </w:r>
      <w:r>
        <w:t xml:space="preserve">, is based on the absolute time </w:t>
      </w:r>
      <w:r w:rsidRPr="00FF53FE">
        <w:rPr>
          <w:i/>
          <w:iCs/>
        </w:rPr>
        <w:t>Thresh1</w:t>
      </w:r>
      <w:r>
        <w:t xml:space="preserve"> measured by the UE and </w:t>
      </w:r>
      <w:r>
        <w:rPr>
          <w:i/>
          <w:iCs/>
        </w:rPr>
        <w:t>D</w:t>
      </w:r>
      <w:r w:rsidRPr="00F53B7D">
        <w:rPr>
          <w:i/>
          <w:iCs/>
        </w:rPr>
        <w:t>uration</w:t>
      </w:r>
      <w:r>
        <w:t xml:space="preserve"> as a duration started at T1. Given that the network can predict when the serving cell stops serving the area, time-based CHO events require low complexity for stationary UEs. However, moving UEs configured with time-based CHO events could present sub-optimal mobility performance.</w:t>
      </w:r>
    </w:p>
    <w:p w14:paraId="6C3F52C8" w14:textId="77777777" w:rsidR="00C205B2" w:rsidRDefault="00C205B2" w:rsidP="00C205B2">
      <w:pPr>
        <w:jc w:val="both"/>
        <w:rPr>
          <w:b/>
          <w:bCs/>
        </w:rPr>
      </w:pPr>
      <w:r>
        <w:t xml:space="preserve">The </w:t>
      </w:r>
      <w:r w:rsidRPr="00935C12">
        <w:rPr>
          <w:i/>
          <w:iCs/>
        </w:rPr>
        <w:t>CondEvent T1</w:t>
      </w:r>
      <w:r>
        <w:t xml:space="preserve"> is configured as the CHO execution condition, while measurement-based NR events, e.g. A3/A4/A5, are used for MR triggering. In this context, UEs in the serving cell edge can trigger multiple MR due to low RSRP variability among NTN cells. A clever network can disregard the MR based on the UE location, but it results in undesired signalling overhead. </w:t>
      </w:r>
    </w:p>
    <w:p w14:paraId="5457B72B" w14:textId="137F7DE1" w:rsidR="00C205B2" w:rsidRDefault="00C205B2" w:rsidP="00C205B2">
      <w:pPr>
        <w:jc w:val="both"/>
        <w:rPr>
          <w:b/>
          <w:bCs/>
        </w:rPr>
      </w:pPr>
      <w:r w:rsidRPr="00DC72D3">
        <w:rPr>
          <w:b/>
          <w:bCs/>
        </w:rPr>
        <w:t xml:space="preserve">Observation </w:t>
      </w:r>
      <w:r w:rsidR="00F61EE6">
        <w:rPr>
          <w:b/>
          <w:bCs/>
        </w:rPr>
        <w:t>2</w:t>
      </w:r>
      <w:r w:rsidRPr="00DC72D3">
        <w:rPr>
          <w:b/>
          <w:bCs/>
        </w:rPr>
        <w:t xml:space="preserve">: </w:t>
      </w:r>
      <w:r w:rsidRPr="000F53E5">
        <w:t>Time-based CHO event, i.e. CondEvent T1, does not reduce signalling overhead.</w:t>
      </w:r>
    </w:p>
    <w:p w14:paraId="441AD7D8" w14:textId="77777777" w:rsidR="00C205B2" w:rsidRDefault="00C205B2" w:rsidP="00C205B2">
      <w:pPr>
        <w:jc w:val="both"/>
      </w:pPr>
      <w:r>
        <w:t xml:space="preserve">UEs configured with </w:t>
      </w:r>
      <w:r w:rsidRPr="00935C12">
        <w:rPr>
          <w:i/>
          <w:iCs/>
        </w:rPr>
        <w:t>CondEvent T1</w:t>
      </w:r>
      <w:r>
        <w:t xml:space="preserve"> require to be signalled with time settings </w:t>
      </w:r>
      <w:r w:rsidRPr="00791773">
        <w:rPr>
          <w:i/>
          <w:iCs/>
        </w:rPr>
        <w:t>Thresh1</w:t>
      </w:r>
      <w:r>
        <w:t xml:space="preserve"> and </w:t>
      </w:r>
      <w:r>
        <w:rPr>
          <w:i/>
          <w:iCs/>
        </w:rPr>
        <w:t>D</w:t>
      </w:r>
      <w:r w:rsidRPr="00791773">
        <w:rPr>
          <w:i/>
          <w:iCs/>
        </w:rPr>
        <w:t>uration</w:t>
      </w:r>
      <w:r>
        <w:t xml:space="preserve">; UEs with mobility, located near the serving cell edge, can lead to a sub-optimal configuration of these parameters. Even those UEs following a predictable route require dedicated configuration of </w:t>
      </w:r>
      <w:r w:rsidRPr="00791773">
        <w:rPr>
          <w:i/>
          <w:iCs/>
        </w:rPr>
        <w:t>Thresh1</w:t>
      </w:r>
      <w:r>
        <w:t xml:space="preserve"> and </w:t>
      </w:r>
      <w:r>
        <w:rPr>
          <w:i/>
          <w:iCs/>
        </w:rPr>
        <w:t>D</w:t>
      </w:r>
      <w:r w:rsidRPr="00791773">
        <w:rPr>
          <w:i/>
          <w:iCs/>
        </w:rPr>
        <w:t>uration</w:t>
      </w:r>
      <w:r>
        <w:t xml:space="preserve"> as compared with stationary UEs. Such UE-specific configuration is only possible if the network is aware of the UE location and its movement direction.</w:t>
      </w:r>
    </w:p>
    <w:p w14:paraId="54D75089" w14:textId="0ECEC3D2" w:rsidR="00C205B2" w:rsidRPr="00733752" w:rsidRDefault="00C205B2" w:rsidP="00C205B2">
      <w:pPr>
        <w:jc w:val="both"/>
      </w:pPr>
      <w:r>
        <w:rPr>
          <w:b/>
          <w:bCs/>
        </w:rPr>
        <w:t xml:space="preserve">Observation </w:t>
      </w:r>
      <w:r w:rsidR="00F61EE6">
        <w:rPr>
          <w:b/>
          <w:bCs/>
        </w:rPr>
        <w:t>3</w:t>
      </w:r>
      <w:r>
        <w:rPr>
          <w:b/>
          <w:bCs/>
        </w:rPr>
        <w:t xml:space="preserve">: </w:t>
      </w:r>
      <w:r w:rsidRPr="00733752">
        <w:t xml:space="preserve">Time-based CHO events </w:t>
      </w:r>
      <w:r w:rsidR="00733752" w:rsidRPr="00733752">
        <w:t xml:space="preserve">will </w:t>
      </w:r>
      <w:r w:rsidRPr="00733752">
        <w:t xml:space="preserve">require frequent UE location reporting and UE-specific </w:t>
      </w:r>
      <w:r w:rsidR="00733752" w:rsidRPr="00733752">
        <w:t>signaling</w:t>
      </w:r>
      <w:r w:rsidRPr="00733752">
        <w:t xml:space="preserve"> of </w:t>
      </w:r>
      <w:r w:rsidRPr="00733752">
        <w:rPr>
          <w:i/>
          <w:iCs/>
        </w:rPr>
        <w:t>Thresh1</w:t>
      </w:r>
      <w:r w:rsidRPr="00733752">
        <w:t>/</w:t>
      </w:r>
      <w:r w:rsidRPr="00733752">
        <w:rPr>
          <w:i/>
          <w:iCs/>
        </w:rPr>
        <w:t>Duration</w:t>
      </w:r>
      <w:r w:rsidRPr="00733752">
        <w:t>.</w:t>
      </w:r>
    </w:p>
    <w:p w14:paraId="63397427" w14:textId="4E4A2F54" w:rsidR="00C205B2" w:rsidRPr="00DB1CCB" w:rsidRDefault="00C205B2" w:rsidP="00C205B2">
      <w:pPr>
        <w:jc w:val="both"/>
        <w:rPr>
          <w:b/>
          <w:bCs/>
        </w:rPr>
      </w:pPr>
      <w:r>
        <w:rPr>
          <w:b/>
          <w:bCs/>
        </w:rPr>
        <w:t>Proposal</w:t>
      </w:r>
      <w:r w:rsidRPr="00DB1CCB">
        <w:rPr>
          <w:b/>
          <w:bCs/>
        </w:rPr>
        <w:t xml:space="preserve"> </w:t>
      </w:r>
      <w:r w:rsidR="00F61EE6">
        <w:rPr>
          <w:b/>
          <w:bCs/>
        </w:rPr>
        <w:t>3</w:t>
      </w:r>
      <w:r w:rsidRPr="00DB1CCB">
        <w:rPr>
          <w:b/>
          <w:bCs/>
        </w:rPr>
        <w:t xml:space="preserve">: </w:t>
      </w:r>
      <w:r w:rsidR="00733752">
        <w:rPr>
          <w:b/>
          <w:bCs/>
        </w:rPr>
        <w:t>T</w:t>
      </w:r>
      <w:r w:rsidRPr="00DB1CCB">
        <w:rPr>
          <w:b/>
          <w:bCs/>
        </w:rPr>
        <w:t xml:space="preserve">he </w:t>
      </w:r>
      <w:r>
        <w:rPr>
          <w:b/>
          <w:bCs/>
        </w:rPr>
        <w:t>applicability</w:t>
      </w:r>
      <w:r w:rsidRPr="00DB1CCB">
        <w:rPr>
          <w:b/>
          <w:bCs/>
        </w:rPr>
        <w:t xml:space="preserve"> of time-based CHO events for moving UEs should be further studied</w:t>
      </w:r>
      <w:r>
        <w:rPr>
          <w:b/>
          <w:bCs/>
        </w:rPr>
        <w:t xml:space="preserve"> in RAN2</w:t>
      </w:r>
      <w:r w:rsidRPr="00DB1CCB">
        <w:rPr>
          <w:b/>
          <w:bCs/>
        </w:rPr>
        <w:t>.</w:t>
      </w:r>
    </w:p>
    <w:p w14:paraId="2E29FAF3" w14:textId="6ECD5C8D" w:rsidR="00C205B2" w:rsidRDefault="00C205B2" w:rsidP="00C205B2">
      <w:pPr>
        <w:jc w:val="both"/>
      </w:pPr>
      <w:r>
        <w:t xml:space="preserve">The location-based CHO enhancements for Rel-17 NR NTN allow to evaluate CHO execution condition considering distance information. Such triggering condition can be configured with the </w:t>
      </w:r>
      <w:r w:rsidRPr="00935C12">
        <w:rPr>
          <w:i/>
          <w:iCs/>
        </w:rPr>
        <w:t>CondEvent D1</w:t>
      </w:r>
      <w:r>
        <w:t xml:space="preserve">, which requires the UE to evaluate the distance between the UE location and two reference locations associated to serving cell and candidate </w:t>
      </w:r>
      <w:r w:rsidR="00733752">
        <w:t>target</w:t>
      </w:r>
      <w:r>
        <w:t xml:space="preserve"> cell. The reference locations, among other required elements, shall be signalled to the UE as part of the </w:t>
      </w:r>
      <w:r w:rsidRPr="009C1408">
        <w:rPr>
          <w:i/>
          <w:iCs/>
        </w:rPr>
        <w:t>ReportConfigNR</w:t>
      </w:r>
      <w:r>
        <w:t xml:space="preserve"> information element. </w:t>
      </w:r>
    </w:p>
    <w:p w14:paraId="1B8CFCA5" w14:textId="5901E2E1" w:rsidR="00C205B2" w:rsidRDefault="00C205B2" w:rsidP="00C205B2">
      <w:pPr>
        <w:jc w:val="both"/>
      </w:pPr>
      <w:r>
        <w:t xml:space="preserve">In EFC deployments, moving UEs near the cell edge could be configured with </w:t>
      </w:r>
      <w:r w:rsidRPr="00935C12">
        <w:rPr>
          <w:i/>
          <w:iCs/>
        </w:rPr>
        <w:t>CondEvent D1</w:t>
      </w:r>
      <w:r>
        <w:t xml:space="preserve"> to enhance mobility performance. Specially UEs following an unpredictable mobility pattern could be configured with the </w:t>
      </w:r>
      <w:r w:rsidRPr="00935C12">
        <w:rPr>
          <w:i/>
          <w:iCs/>
        </w:rPr>
        <w:t>CondEvent D1</w:t>
      </w:r>
      <w:r>
        <w:t xml:space="preserve"> to trigger the CHO execution condition when the UE is sufficiently close to the target cell reference location. Note that UEs are signalled via SIB-19 with </w:t>
      </w:r>
      <w:r w:rsidRPr="00935C12">
        <w:rPr>
          <w:i/>
          <w:iCs/>
        </w:rPr>
        <w:t>t-Service</w:t>
      </w:r>
      <w:r>
        <w:t xml:space="preserve">, i.e. the time that the cell stops serving the area. Thus, in EFC, moving UEs could jointly use </w:t>
      </w:r>
      <w:r w:rsidRPr="00935C12">
        <w:rPr>
          <w:i/>
          <w:iCs/>
        </w:rPr>
        <w:t>CondEvent D1</w:t>
      </w:r>
      <w:r>
        <w:t xml:space="preserve"> and </w:t>
      </w:r>
      <w:r w:rsidRPr="00935C12">
        <w:rPr>
          <w:i/>
          <w:iCs/>
        </w:rPr>
        <w:t>t-Service</w:t>
      </w:r>
      <w:r>
        <w:rPr>
          <w:i/>
          <w:iCs/>
        </w:rPr>
        <w:t xml:space="preserve"> </w:t>
      </w:r>
      <w:r>
        <w:t xml:space="preserve">to enhance the HO execution while considering when the serving cell will disappear. </w:t>
      </w:r>
    </w:p>
    <w:p w14:paraId="41CC6D9A" w14:textId="49303680" w:rsidR="00C205B2" w:rsidRPr="00C205B2" w:rsidRDefault="00C205B2" w:rsidP="00C205B2">
      <w:pPr>
        <w:jc w:val="both"/>
        <w:rPr>
          <w:b/>
          <w:bCs/>
          <w:highlight w:val="yellow"/>
          <w:lang w:val="da-DK"/>
        </w:rPr>
      </w:pPr>
      <w:r w:rsidRPr="007616E1">
        <w:rPr>
          <w:b/>
          <w:bCs/>
        </w:rPr>
        <w:t xml:space="preserve">Proposal </w:t>
      </w:r>
      <w:r w:rsidR="00F61EE6">
        <w:rPr>
          <w:b/>
          <w:bCs/>
        </w:rPr>
        <w:t>4</w:t>
      </w:r>
      <w:r w:rsidRPr="007616E1">
        <w:rPr>
          <w:b/>
          <w:bCs/>
        </w:rPr>
        <w:t>: RAN2 should further investigate the joint use of CondEvent D1 and t-Service for moving UEs in EFC.</w:t>
      </w:r>
    </w:p>
    <w:p w14:paraId="5A95953F" w14:textId="77777777" w:rsidR="00C205B2" w:rsidRDefault="00C205B2" w:rsidP="00C205B2">
      <w:pPr>
        <w:pStyle w:val="Heading3"/>
        <w:numPr>
          <w:ilvl w:val="2"/>
          <w:numId w:val="23"/>
        </w:numPr>
        <w:jc w:val="both"/>
      </w:pPr>
      <w:r>
        <w:t>EMC</w:t>
      </w:r>
    </w:p>
    <w:p w14:paraId="378B65BB" w14:textId="77777777" w:rsidR="00C205B2" w:rsidRDefault="00C205B2" w:rsidP="00C205B2">
      <w:pPr>
        <w:jc w:val="both"/>
      </w:pPr>
      <w:r>
        <w:t xml:space="preserve">With fixed satellite beam bearing, NTN cells sweeps the Earth in EMC deployments. Since cells are moving at very high-speed relative to Earth, the UE mobility can be disregarded, and the deterministic movement of these cells can be exploited. Location-based CHO events can be exploited in this context. For the UE to evaluate the distance between its own location and serving/target cell reference location, UE location capabilities are required. This requirement is not exclusive of location-based CHO events since an updated UE location is needed for UL pre-compensation and for time-based CHO events (as elaborated above). </w:t>
      </w:r>
    </w:p>
    <w:p w14:paraId="79CA9A96" w14:textId="0888249F" w:rsidR="00C205B2" w:rsidRPr="00367322" w:rsidRDefault="00C205B2" w:rsidP="00C205B2">
      <w:pPr>
        <w:jc w:val="both"/>
        <w:rPr>
          <w:b/>
          <w:bCs/>
        </w:rPr>
      </w:pPr>
      <w:r w:rsidRPr="00367322">
        <w:rPr>
          <w:b/>
          <w:bCs/>
        </w:rPr>
        <w:t xml:space="preserve">Observation </w:t>
      </w:r>
      <w:r w:rsidR="00F61EE6">
        <w:rPr>
          <w:b/>
          <w:bCs/>
        </w:rPr>
        <w:t>4</w:t>
      </w:r>
      <w:r w:rsidRPr="00367322">
        <w:rPr>
          <w:b/>
          <w:bCs/>
        </w:rPr>
        <w:t>: UE location capabilities are required</w:t>
      </w:r>
      <w:r>
        <w:rPr>
          <w:b/>
          <w:bCs/>
        </w:rPr>
        <w:t>, at least,</w:t>
      </w:r>
      <w:r w:rsidRPr="00367322">
        <w:rPr>
          <w:b/>
          <w:bCs/>
        </w:rPr>
        <w:t xml:space="preserve"> for UL pre-compensation</w:t>
      </w:r>
      <w:r>
        <w:rPr>
          <w:b/>
          <w:bCs/>
        </w:rPr>
        <w:t>, CondEvent D1 and CondEvent T1</w:t>
      </w:r>
      <w:r w:rsidRPr="00367322">
        <w:rPr>
          <w:b/>
          <w:bCs/>
        </w:rPr>
        <w:t>.</w:t>
      </w:r>
    </w:p>
    <w:p w14:paraId="6C995CA8" w14:textId="77777777" w:rsidR="00C205B2" w:rsidRPr="00B24B25" w:rsidRDefault="00C205B2" w:rsidP="00C205B2">
      <w:pPr>
        <w:jc w:val="both"/>
      </w:pPr>
      <w:r>
        <w:t xml:space="preserve">Time-based CHO events in EMC scenarios present disadvantages as compared with location-based CHO events. Figure 3 shows three UEs randomly distributed within </w:t>
      </w:r>
      <w:r w:rsidRPr="00B24B25">
        <w:rPr>
          <w:i/>
          <w:iCs/>
        </w:rPr>
        <w:t>Cell-A</w:t>
      </w:r>
      <w:r>
        <w:t xml:space="preserve">. In such context, each UE requires dedicated </w:t>
      </w:r>
      <w:r w:rsidRPr="007C33D2">
        <w:rPr>
          <w:i/>
          <w:iCs/>
        </w:rPr>
        <w:t>CondEvent T1</w:t>
      </w:r>
      <w:r>
        <w:t xml:space="preserve"> parameters. Furthermore, the network will require updated UE location to estimate the optimal value of </w:t>
      </w:r>
      <w:r w:rsidRPr="00791773">
        <w:rPr>
          <w:i/>
          <w:iCs/>
        </w:rPr>
        <w:t>Thresh1</w:t>
      </w:r>
      <w:r>
        <w:t xml:space="preserve"> and </w:t>
      </w:r>
      <w:r>
        <w:rPr>
          <w:i/>
          <w:iCs/>
        </w:rPr>
        <w:t>D</w:t>
      </w:r>
      <w:r w:rsidRPr="00791773">
        <w:rPr>
          <w:i/>
          <w:iCs/>
        </w:rPr>
        <w:t>uration</w:t>
      </w:r>
      <w:r>
        <w:t>.</w:t>
      </w:r>
    </w:p>
    <w:p w14:paraId="52849616" w14:textId="75531F87" w:rsidR="00C205B2" w:rsidRDefault="00C205B2" w:rsidP="00C205B2">
      <w:pPr>
        <w:jc w:val="both"/>
        <w:rPr>
          <w:b/>
          <w:bCs/>
        </w:rPr>
      </w:pPr>
      <w:r w:rsidRPr="00295F59">
        <w:rPr>
          <w:b/>
          <w:bCs/>
        </w:rPr>
        <w:t xml:space="preserve">Observation </w:t>
      </w:r>
      <w:r w:rsidR="00F61EE6">
        <w:rPr>
          <w:b/>
          <w:bCs/>
        </w:rPr>
        <w:t>5</w:t>
      </w:r>
      <w:r w:rsidRPr="00295F59">
        <w:rPr>
          <w:b/>
          <w:bCs/>
        </w:rPr>
        <w:t xml:space="preserve">: </w:t>
      </w:r>
      <w:r>
        <w:rPr>
          <w:b/>
          <w:bCs/>
        </w:rPr>
        <w:t>In EMC, time-based CHO events require UE-specific Thresh1/Duration and UE location reporting, which results in additional UL signalling as compared with location-based CHO events.</w:t>
      </w:r>
    </w:p>
    <w:p w14:paraId="437EA9FA" w14:textId="77777777" w:rsidR="00C205B2" w:rsidRDefault="00C205B2" w:rsidP="00C205B2">
      <w:pPr>
        <w:keepNext/>
        <w:jc w:val="center"/>
      </w:pPr>
      <w:r>
        <w:rPr>
          <w:noProof/>
        </w:rPr>
        <w:lastRenderedPageBreak/>
        <w:drawing>
          <wp:inline distT="0" distB="0" distL="0" distR="0" wp14:anchorId="665F98D8" wp14:editId="7C778B21">
            <wp:extent cx="1802519" cy="1771870"/>
            <wp:effectExtent l="0" t="0" r="762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07123" cy="1776396"/>
                    </a:xfrm>
                    <a:prstGeom prst="rect">
                      <a:avLst/>
                    </a:prstGeom>
                  </pic:spPr>
                </pic:pic>
              </a:graphicData>
            </a:graphic>
          </wp:inline>
        </w:drawing>
      </w:r>
    </w:p>
    <w:p w14:paraId="6D4BA972" w14:textId="77777777" w:rsidR="00C205B2" w:rsidRDefault="00C205B2" w:rsidP="00C205B2">
      <w:pPr>
        <w:pStyle w:val="Caption"/>
        <w:jc w:val="center"/>
      </w:pPr>
      <w:r>
        <w:t xml:space="preserve">Figure </w:t>
      </w:r>
      <w:r>
        <w:fldChar w:fldCharType="begin"/>
      </w:r>
      <w:r>
        <w:instrText>SEQ Figure \* ARABIC</w:instrText>
      </w:r>
      <w:r>
        <w:fldChar w:fldCharType="separate"/>
      </w:r>
      <w:r>
        <w:rPr>
          <w:noProof/>
        </w:rPr>
        <w:t>3</w:t>
      </w:r>
      <w:r>
        <w:fldChar w:fldCharType="end"/>
      </w:r>
      <w:r>
        <w:t xml:space="preserve"> EMC scenario:</w:t>
      </w:r>
      <w:r>
        <w:rPr>
          <w:noProof/>
        </w:rPr>
        <w:t xml:space="preserve"> UEs configured with CondEvent T1 requires UE-specific Thresh1 and Thresh2</w:t>
      </w:r>
    </w:p>
    <w:p w14:paraId="0AB05B26" w14:textId="77777777" w:rsidR="00C205B2" w:rsidRDefault="00C205B2" w:rsidP="00C205B2">
      <w:pPr>
        <w:jc w:val="both"/>
      </w:pPr>
    </w:p>
    <w:p w14:paraId="2AA58777" w14:textId="68E9D37E" w:rsidR="00C205B2" w:rsidRPr="00274AAA" w:rsidRDefault="00C205B2" w:rsidP="00C205B2">
      <w:pPr>
        <w:jc w:val="both"/>
      </w:pPr>
      <w:r>
        <w:t xml:space="preserve">The following agreement was taken as part of RAN2#119 </w:t>
      </w:r>
      <w:r w:rsidRPr="008104BC">
        <w:t>[</w:t>
      </w:r>
      <w:r w:rsidR="00F72357">
        <w:t>3</w:t>
      </w:r>
      <w:r w:rsidRPr="008104BC">
        <w:t>]</w:t>
      </w:r>
      <w:r>
        <w:t>:</w:t>
      </w:r>
    </w:p>
    <w:tbl>
      <w:tblPr>
        <w:tblStyle w:val="TableGrid"/>
        <w:tblW w:w="0" w:type="auto"/>
        <w:tblCellMar>
          <w:top w:w="85" w:type="dxa"/>
        </w:tblCellMar>
        <w:tblLook w:val="04A0" w:firstRow="1" w:lastRow="0" w:firstColumn="1" w:lastColumn="0" w:noHBand="0" w:noVBand="1"/>
      </w:tblPr>
      <w:tblGrid>
        <w:gridCol w:w="9631"/>
      </w:tblGrid>
      <w:tr w:rsidR="00C205B2" w14:paraId="68B7E56A" w14:textId="77777777" w:rsidTr="00C24AE2">
        <w:tc>
          <w:tcPr>
            <w:tcW w:w="9631" w:type="dxa"/>
            <w:vAlign w:val="center"/>
          </w:tcPr>
          <w:p w14:paraId="2B4A9EB9" w14:textId="77777777" w:rsidR="00C205B2" w:rsidRPr="006747F3" w:rsidRDefault="00C205B2" w:rsidP="00C205B2">
            <w:pPr>
              <w:pStyle w:val="B2"/>
              <w:numPr>
                <w:ilvl w:val="0"/>
                <w:numId w:val="19"/>
              </w:numPr>
              <w:jc w:val="both"/>
              <w:rPr>
                <w:lang w:val="en-US"/>
              </w:rPr>
            </w:pPr>
            <w:r w:rsidRPr="006747F3">
              <w:rPr>
                <w:rStyle w:val="normaltextrun"/>
                <w:color w:val="000000"/>
                <w:shd w:val="clear" w:color="auto" w:fill="FFFFFF"/>
              </w:rPr>
              <w:t>CHO enhancements for eMTC NTN (i.e. time/timer based solution) are introduced based on the R17 NR NTN solution. FFS on location-based solution</w:t>
            </w:r>
          </w:p>
        </w:tc>
      </w:tr>
    </w:tbl>
    <w:p w14:paraId="71E8F4E9" w14:textId="77777777" w:rsidR="00C205B2" w:rsidRDefault="00C205B2" w:rsidP="00C205B2">
      <w:pPr>
        <w:jc w:val="both"/>
      </w:pPr>
    </w:p>
    <w:p w14:paraId="110893F2" w14:textId="1B715430" w:rsidR="00C205B2" w:rsidRPr="00EA697D" w:rsidRDefault="00C205B2" w:rsidP="00C205B2">
      <w:pPr>
        <w:jc w:val="both"/>
        <w:rPr>
          <w:lang w:val="en-US"/>
        </w:rPr>
      </w:pPr>
      <w:r>
        <w:t xml:space="preserve">The objectives in the WI </w:t>
      </w:r>
      <w:r w:rsidRPr="007D6A58">
        <w:rPr>
          <w:lang w:val="en-US"/>
        </w:rPr>
        <w:t>[</w:t>
      </w:r>
      <w:r w:rsidR="00F72357">
        <w:rPr>
          <w:lang w:val="en-US"/>
        </w:rPr>
        <w:t>6</w:t>
      </w:r>
      <w:r w:rsidRPr="007D6A58">
        <w:rPr>
          <w:lang w:val="en-US"/>
        </w:rPr>
        <w:t>]</w:t>
      </w:r>
      <w:r>
        <w:rPr>
          <w:lang w:val="en-US"/>
        </w:rPr>
        <w:t xml:space="preserve"> for Rel-18 NR NTN, captures the following:</w:t>
      </w:r>
    </w:p>
    <w:tbl>
      <w:tblPr>
        <w:tblStyle w:val="TableGrid"/>
        <w:tblW w:w="0" w:type="auto"/>
        <w:tblCellMar>
          <w:top w:w="85" w:type="dxa"/>
          <w:bottom w:w="85" w:type="dxa"/>
        </w:tblCellMar>
        <w:tblLook w:val="04A0" w:firstRow="1" w:lastRow="0" w:firstColumn="1" w:lastColumn="0" w:noHBand="0" w:noVBand="1"/>
      </w:tblPr>
      <w:tblGrid>
        <w:gridCol w:w="9631"/>
      </w:tblGrid>
      <w:tr w:rsidR="00C205B2" w14:paraId="22A0EAB1" w14:textId="77777777" w:rsidTr="00C24AE2">
        <w:trPr>
          <w:trHeight w:val="567"/>
        </w:trPr>
        <w:tc>
          <w:tcPr>
            <w:tcW w:w="9631" w:type="dxa"/>
            <w:vAlign w:val="center"/>
          </w:tcPr>
          <w:p w14:paraId="112063CA" w14:textId="77777777" w:rsidR="00C205B2" w:rsidRPr="006747F3" w:rsidRDefault="00C205B2" w:rsidP="00C205B2">
            <w:pPr>
              <w:numPr>
                <w:ilvl w:val="0"/>
                <w:numId w:val="19"/>
              </w:numPr>
              <w:overflowPunct w:val="0"/>
              <w:autoSpaceDE w:val="0"/>
              <w:autoSpaceDN w:val="0"/>
              <w:adjustRightInd w:val="0"/>
              <w:spacing w:after="0"/>
              <w:jc w:val="both"/>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tc>
      </w:tr>
    </w:tbl>
    <w:p w14:paraId="12584585" w14:textId="77777777" w:rsidR="00C205B2" w:rsidRDefault="00C205B2" w:rsidP="00C205B2">
      <w:pPr>
        <w:jc w:val="both"/>
      </w:pPr>
    </w:p>
    <w:p w14:paraId="5F6FC227" w14:textId="77777777" w:rsidR="00C205B2" w:rsidRDefault="00C205B2" w:rsidP="00C205B2">
      <w:pPr>
        <w:jc w:val="both"/>
      </w:pPr>
      <w:r>
        <w:t>Time-based CHO events may lead to increased UL signalling as compared with location-based CHO events. Since in IoT NTN signalling overhead is even more critical than in NR NTN, location-based CHO events, which require less UL signalling, shall be introduced for Rel-18 eMTC NTN.</w:t>
      </w:r>
    </w:p>
    <w:p w14:paraId="15B62438" w14:textId="0EB973E3" w:rsidR="00042AE1" w:rsidRDefault="00C205B2" w:rsidP="007C0C0D">
      <w:pPr>
        <w:jc w:val="both"/>
        <w:rPr>
          <w:b/>
          <w:bCs/>
        </w:rPr>
      </w:pPr>
      <w:r w:rsidRPr="00C0510C">
        <w:rPr>
          <w:b/>
          <w:bCs/>
        </w:rPr>
        <w:t xml:space="preserve">Proposal </w:t>
      </w:r>
      <w:r w:rsidR="00F61EE6">
        <w:rPr>
          <w:b/>
          <w:bCs/>
        </w:rPr>
        <w:t>5</w:t>
      </w:r>
      <w:r>
        <w:rPr>
          <w:b/>
          <w:bCs/>
        </w:rPr>
        <w:t>: CHO enhancements for Rel-18 eMTC NTN should be based on the R17 NR NTN solutions, considering, both</w:t>
      </w:r>
      <w:r w:rsidRPr="00C0510C">
        <w:rPr>
          <w:b/>
          <w:bCs/>
        </w:rPr>
        <w:t xml:space="preserve"> time-based and location-based CHO events</w:t>
      </w:r>
      <w:r>
        <w:rPr>
          <w:b/>
          <w:bCs/>
        </w:rPr>
        <w:t>.</w:t>
      </w:r>
    </w:p>
    <w:p w14:paraId="1E91AD68" w14:textId="3E23BB28" w:rsidR="00133129" w:rsidRDefault="00013F68" w:rsidP="00F72357">
      <w:pPr>
        <w:jc w:val="both"/>
      </w:pPr>
      <w:bookmarkStart w:id="1" w:name="_Hlk115087031"/>
      <w:r>
        <w:t>For eMTC-NTN, CHO execution condition can be defined as combination of A3/A4/A5 event and location</w:t>
      </w:r>
      <w:r w:rsidR="00342657">
        <w:t xml:space="preserve"> or timer based events for </w:t>
      </w:r>
      <w:r w:rsidR="007C0C0D">
        <w:t>EMC</w:t>
      </w:r>
      <w:r w:rsidR="00342657">
        <w:t xml:space="preserve"> scenario.  This combined evaluation is needed to ensure that execution considers the radio condition changes at UE along with conditions linked to NTN cell mobility. In case of power limited and stationary UE the target cell radio measurements can be skipped if the radio conditions observed over successive execution for the same time/distance trigger remains </w:t>
      </w:r>
      <w:r w:rsidR="00337766">
        <w:t xml:space="preserve">the </w:t>
      </w:r>
      <w:r w:rsidR="00342657">
        <w:t>same and also the result of CHO execution. The UE may internally decide to consider only the timer/</w:t>
      </w:r>
      <w:r w:rsidR="00337766">
        <w:t>distance-based</w:t>
      </w:r>
      <w:r w:rsidR="00342657">
        <w:t xml:space="preserve"> trigger without radio measurements depending on the estimated stability of these measurements. The UE may resume the radio measurements for evaluation if the CHO execution based on time/distance trigger was not successful earlier. </w:t>
      </w:r>
    </w:p>
    <w:p w14:paraId="1C5682F6" w14:textId="2FAAC2AD" w:rsidR="00342657" w:rsidRPr="00916FC6" w:rsidRDefault="00342657" w:rsidP="00F72357">
      <w:pPr>
        <w:jc w:val="both"/>
        <w:rPr>
          <w:b/>
          <w:bCs/>
        </w:rPr>
      </w:pPr>
      <w:r w:rsidRPr="00916FC6">
        <w:rPr>
          <w:b/>
          <w:bCs/>
        </w:rPr>
        <w:t xml:space="preserve">Proposal </w:t>
      </w:r>
      <w:r w:rsidR="00F61EE6">
        <w:rPr>
          <w:b/>
          <w:bCs/>
        </w:rPr>
        <w:t>6</w:t>
      </w:r>
      <w:r w:rsidRPr="00916FC6">
        <w:rPr>
          <w:b/>
          <w:bCs/>
        </w:rPr>
        <w:t>:</w:t>
      </w:r>
      <w:r>
        <w:rPr>
          <w:b/>
          <w:bCs/>
        </w:rPr>
        <w:t xml:space="preserve"> RAN2 to consider mechanism where CHO condition is evaluated only against the time/</w:t>
      </w:r>
      <w:r w:rsidR="00733752">
        <w:rPr>
          <w:b/>
          <w:bCs/>
        </w:rPr>
        <w:t>distance-based</w:t>
      </w:r>
      <w:r>
        <w:rPr>
          <w:b/>
          <w:bCs/>
        </w:rPr>
        <w:t xml:space="preserve"> event skipping radio condition evaluation</w:t>
      </w:r>
      <w:r w:rsidR="002D3702">
        <w:rPr>
          <w:b/>
          <w:bCs/>
        </w:rPr>
        <w:t xml:space="preserve"> dynamically based on </w:t>
      </w:r>
      <w:r w:rsidR="00337766">
        <w:rPr>
          <w:b/>
          <w:bCs/>
        </w:rPr>
        <w:t xml:space="preserve">the </w:t>
      </w:r>
      <w:r w:rsidR="002D3702">
        <w:rPr>
          <w:b/>
          <w:bCs/>
        </w:rPr>
        <w:t>history of measurements and CHO execution results.</w:t>
      </w:r>
    </w:p>
    <w:bookmarkEnd w:id="1"/>
    <w:p w14:paraId="5C6B52DB" w14:textId="77777777" w:rsidR="00342657" w:rsidRPr="00013F68" w:rsidRDefault="00342657" w:rsidP="00340AFB"/>
    <w:p w14:paraId="69B7B8E6" w14:textId="69E07FC9" w:rsidR="009339CB" w:rsidRPr="006E13D1" w:rsidRDefault="005A13AB" w:rsidP="009339CB">
      <w:pPr>
        <w:pStyle w:val="Heading1"/>
      </w:pPr>
      <w:r>
        <w:t>3</w:t>
      </w:r>
      <w:r w:rsidR="009339CB" w:rsidRPr="006E13D1">
        <w:tab/>
      </w:r>
      <w:r w:rsidR="009339CB">
        <w:t>Conclusion</w:t>
      </w:r>
    </w:p>
    <w:p w14:paraId="3EEF9C24" w14:textId="63E69636" w:rsidR="00B22625" w:rsidRDefault="000F53E5" w:rsidP="000F53E5">
      <w:r>
        <w:t>Based on the analysis related to the applicability of mobility enhancement features to IOT-NTN, we make the following observations and proposals.</w:t>
      </w:r>
    </w:p>
    <w:p w14:paraId="3021ABE3" w14:textId="62DB72D4" w:rsidR="000F53E5" w:rsidRPr="000F53E5" w:rsidRDefault="000F53E5" w:rsidP="000F53E5">
      <w:pPr>
        <w:rPr>
          <w:i/>
          <w:iCs/>
        </w:rPr>
      </w:pPr>
      <w:r w:rsidRPr="000F53E5">
        <w:rPr>
          <w:i/>
          <w:iCs/>
        </w:rPr>
        <w:t>Observation 1: Evaluation of location/distance-based event can make use of available GNSS Fix which is already valid until the validity timer for uplink synchronization.</w:t>
      </w:r>
    </w:p>
    <w:p w14:paraId="509BF2B0" w14:textId="3EAAEF92" w:rsidR="000F53E5" w:rsidRDefault="000F53E5" w:rsidP="000F53E5">
      <w:pPr>
        <w:rPr>
          <w:b/>
          <w:bCs/>
        </w:rPr>
      </w:pPr>
      <w:r w:rsidRPr="00333B42">
        <w:rPr>
          <w:b/>
          <w:bCs/>
        </w:rPr>
        <w:t xml:space="preserve">Proposal </w:t>
      </w:r>
      <w:r>
        <w:rPr>
          <w:b/>
          <w:bCs/>
        </w:rPr>
        <w:t>1</w:t>
      </w:r>
      <w:r w:rsidRPr="00333B42">
        <w:rPr>
          <w:b/>
          <w:bCs/>
        </w:rPr>
        <w:t xml:space="preserve">: </w:t>
      </w:r>
      <w:r>
        <w:rPr>
          <w:b/>
          <w:bCs/>
        </w:rPr>
        <w:t>Distance-based</w:t>
      </w:r>
      <w:r w:rsidRPr="00333B42">
        <w:rPr>
          <w:b/>
          <w:bCs/>
        </w:rPr>
        <w:t xml:space="preserve"> triggering condition to start connected mode measurements is supported for IoT-NTN</w:t>
      </w:r>
      <w:r>
        <w:rPr>
          <w:b/>
          <w:bCs/>
        </w:rPr>
        <w:t>.</w:t>
      </w:r>
    </w:p>
    <w:p w14:paraId="700B31F8" w14:textId="563642CE" w:rsidR="000F53E5" w:rsidRDefault="000F53E5" w:rsidP="000F53E5">
      <w:pPr>
        <w:rPr>
          <w:b/>
          <w:bCs/>
        </w:rPr>
      </w:pPr>
      <w:r>
        <w:rPr>
          <w:b/>
          <w:bCs/>
        </w:rPr>
        <w:lastRenderedPageBreak/>
        <w:t>Proposal 2</w:t>
      </w:r>
      <w:r w:rsidRPr="0009178E">
        <w:rPr>
          <w:b/>
          <w:bCs/>
        </w:rPr>
        <w:t xml:space="preserve">: </w:t>
      </w:r>
      <w:r>
        <w:rPr>
          <w:b/>
          <w:bCs/>
        </w:rPr>
        <w:t>For the LEO scenario, the relaxed serving cell measurements in a connected mode need to be modified to improve the effectiveness of measurements for RLF enhancement.</w:t>
      </w:r>
    </w:p>
    <w:p w14:paraId="4490FFC0" w14:textId="77777777" w:rsidR="000F53E5" w:rsidRDefault="000F53E5" w:rsidP="000F53E5">
      <w:pPr>
        <w:rPr>
          <w:i/>
          <w:iCs/>
        </w:rPr>
      </w:pPr>
    </w:p>
    <w:p w14:paraId="2B57ED36" w14:textId="6C7AF0C6" w:rsidR="000F53E5" w:rsidRPr="000F53E5" w:rsidRDefault="000F53E5" w:rsidP="000F53E5">
      <w:pPr>
        <w:jc w:val="both"/>
        <w:rPr>
          <w:i/>
          <w:iCs/>
        </w:rPr>
      </w:pPr>
      <w:r w:rsidRPr="000F53E5">
        <w:rPr>
          <w:i/>
          <w:iCs/>
        </w:rPr>
        <w:t xml:space="preserve">Observation </w:t>
      </w:r>
      <w:r w:rsidR="00F61EE6">
        <w:rPr>
          <w:i/>
          <w:iCs/>
        </w:rPr>
        <w:t>3</w:t>
      </w:r>
      <w:r w:rsidRPr="000F53E5">
        <w:rPr>
          <w:i/>
          <w:iCs/>
        </w:rPr>
        <w:t>: Time-based CHO event, i.e. CondEvent T1, does not reduce signaling overhead.</w:t>
      </w:r>
    </w:p>
    <w:p w14:paraId="1CD9CDA5" w14:textId="4D414800" w:rsidR="000F53E5" w:rsidRPr="000F53E5" w:rsidRDefault="000F53E5" w:rsidP="000F53E5">
      <w:pPr>
        <w:jc w:val="both"/>
        <w:rPr>
          <w:i/>
          <w:iCs/>
        </w:rPr>
      </w:pPr>
      <w:r w:rsidRPr="000F53E5">
        <w:rPr>
          <w:i/>
          <w:iCs/>
        </w:rPr>
        <w:t xml:space="preserve">Observation </w:t>
      </w:r>
      <w:r w:rsidR="00F61EE6">
        <w:rPr>
          <w:i/>
          <w:iCs/>
        </w:rPr>
        <w:t>4</w:t>
      </w:r>
      <w:r w:rsidRPr="000F53E5">
        <w:rPr>
          <w:i/>
          <w:iCs/>
        </w:rPr>
        <w:t>: Time-based CHO events will require frequent UE location reporting and UE-specific signaling of Thresh1/Duration.</w:t>
      </w:r>
    </w:p>
    <w:p w14:paraId="6AB2ECEF" w14:textId="69018C14" w:rsidR="000F53E5" w:rsidRPr="00DB1CCB" w:rsidRDefault="000F53E5" w:rsidP="000F53E5">
      <w:pPr>
        <w:jc w:val="both"/>
        <w:rPr>
          <w:b/>
          <w:bCs/>
        </w:rPr>
      </w:pPr>
      <w:r>
        <w:rPr>
          <w:b/>
          <w:bCs/>
        </w:rPr>
        <w:t>Proposal</w:t>
      </w:r>
      <w:r w:rsidRPr="00DB1CCB">
        <w:rPr>
          <w:b/>
          <w:bCs/>
        </w:rPr>
        <w:t xml:space="preserve"> </w:t>
      </w:r>
      <w:r w:rsidR="00F61EE6">
        <w:rPr>
          <w:b/>
          <w:bCs/>
        </w:rPr>
        <w:t>3</w:t>
      </w:r>
      <w:r w:rsidRPr="00DB1CCB">
        <w:rPr>
          <w:b/>
          <w:bCs/>
        </w:rPr>
        <w:t xml:space="preserve">: </w:t>
      </w:r>
      <w:r>
        <w:rPr>
          <w:b/>
          <w:bCs/>
        </w:rPr>
        <w:t>T</w:t>
      </w:r>
      <w:r w:rsidRPr="00DB1CCB">
        <w:rPr>
          <w:b/>
          <w:bCs/>
        </w:rPr>
        <w:t xml:space="preserve">he </w:t>
      </w:r>
      <w:r>
        <w:rPr>
          <w:b/>
          <w:bCs/>
        </w:rPr>
        <w:t>applicability</w:t>
      </w:r>
      <w:r w:rsidRPr="00DB1CCB">
        <w:rPr>
          <w:b/>
          <w:bCs/>
        </w:rPr>
        <w:t xml:space="preserve"> of time-based CHO events for moving UEs should be further studied</w:t>
      </w:r>
      <w:r>
        <w:rPr>
          <w:b/>
          <w:bCs/>
        </w:rPr>
        <w:t xml:space="preserve"> in RAN2</w:t>
      </w:r>
      <w:r w:rsidRPr="00DB1CCB">
        <w:rPr>
          <w:b/>
          <w:bCs/>
        </w:rPr>
        <w:t>.</w:t>
      </w:r>
    </w:p>
    <w:p w14:paraId="701031E2" w14:textId="56DD647C" w:rsidR="000F53E5" w:rsidRPr="00C205B2" w:rsidRDefault="000F53E5" w:rsidP="000F53E5">
      <w:pPr>
        <w:jc w:val="both"/>
        <w:rPr>
          <w:b/>
          <w:bCs/>
          <w:highlight w:val="yellow"/>
          <w:lang w:val="da-DK"/>
        </w:rPr>
      </w:pPr>
      <w:r w:rsidRPr="007616E1">
        <w:rPr>
          <w:b/>
          <w:bCs/>
        </w:rPr>
        <w:t xml:space="preserve">Proposal </w:t>
      </w:r>
      <w:r w:rsidR="00F61EE6">
        <w:rPr>
          <w:b/>
          <w:bCs/>
        </w:rPr>
        <w:t>4</w:t>
      </w:r>
      <w:r w:rsidRPr="007616E1">
        <w:rPr>
          <w:b/>
          <w:bCs/>
        </w:rPr>
        <w:t>: RAN2 should further investigate the joint use of CondEvent D1 and t-Service for moving UEs in EFC.</w:t>
      </w:r>
    </w:p>
    <w:p w14:paraId="6BFD0EDD" w14:textId="64DFB5C1" w:rsidR="000F53E5" w:rsidRPr="000F53E5" w:rsidRDefault="000F53E5" w:rsidP="000F53E5">
      <w:pPr>
        <w:jc w:val="both"/>
        <w:rPr>
          <w:i/>
          <w:iCs/>
        </w:rPr>
      </w:pPr>
      <w:r w:rsidRPr="000F53E5">
        <w:rPr>
          <w:i/>
          <w:iCs/>
        </w:rPr>
        <w:t>Observation</w:t>
      </w:r>
      <w:r w:rsidR="00F61EE6">
        <w:rPr>
          <w:i/>
          <w:iCs/>
        </w:rPr>
        <w:t>5</w:t>
      </w:r>
      <w:r w:rsidRPr="000F53E5">
        <w:rPr>
          <w:i/>
          <w:iCs/>
        </w:rPr>
        <w:t>: UE location capabilities are required, at least, for UL pre-compensation, CondEvent D1 and CondEvent T1.</w:t>
      </w:r>
    </w:p>
    <w:p w14:paraId="5DBD063C" w14:textId="144F4B67" w:rsidR="000F53E5" w:rsidRPr="000F53E5" w:rsidRDefault="000F53E5" w:rsidP="000F53E5">
      <w:pPr>
        <w:jc w:val="both"/>
        <w:rPr>
          <w:i/>
          <w:iCs/>
        </w:rPr>
      </w:pPr>
      <w:r w:rsidRPr="000F53E5">
        <w:rPr>
          <w:i/>
          <w:iCs/>
        </w:rPr>
        <w:t xml:space="preserve">Observation </w:t>
      </w:r>
      <w:r w:rsidR="00F61EE6">
        <w:rPr>
          <w:i/>
          <w:iCs/>
        </w:rPr>
        <w:t>6</w:t>
      </w:r>
      <w:r w:rsidRPr="000F53E5">
        <w:rPr>
          <w:i/>
          <w:iCs/>
        </w:rPr>
        <w:t>: In EMC, time-based CHO events require UE-specific Thresh1/Duration and UE location reporting, which results in additional UL signaling as compared with location-based CHO events.</w:t>
      </w:r>
    </w:p>
    <w:p w14:paraId="72486741" w14:textId="128A6613" w:rsidR="000F53E5" w:rsidRDefault="000F53E5" w:rsidP="000F53E5">
      <w:pPr>
        <w:jc w:val="both"/>
        <w:rPr>
          <w:b/>
          <w:bCs/>
        </w:rPr>
      </w:pPr>
      <w:r w:rsidRPr="00C0510C">
        <w:rPr>
          <w:b/>
          <w:bCs/>
        </w:rPr>
        <w:t xml:space="preserve">Proposal </w:t>
      </w:r>
      <w:r w:rsidR="00F61EE6">
        <w:rPr>
          <w:b/>
          <w:bCs/>
        </w:rPr>
        <w:t>5</w:t>
      </w:r>
      <w:r>
        <w:rPr>
          <w:b/>
          <w:bCs/>
        </w:rPr>
        <w:t>: CHO enhancements for Rel-18 eMTC NTN should be based on the R17 NR NTN solutions, considering, both</w:t>
      </w:r>
      <w:r w:rsidRPr="00C0510C">
        <w:rPr>
          <w:b/>
          <w:bCs/>
        </w:rPr>
        <w:t xml:space="preserve"> time-based and location-based CHO events</w:t>
      </w:r>
      <w:r>
        <w:rPr>
          <w:b/>
          <w:bCs/>
        </w:rPr>
        <w:t>.</w:t>
      </w:r>
    </w:p>
    <w:p w14:paraId="3D7022D9" w14:textId="6A3C93DC" w:rsidR="00EB0FE7" w:rsidRPr="006346D4" w:rsidRDefault="000F53E5" w:rsidP="009D3458">
      <w:pPr>
        <w:jc w:val="both"/>
      </w:pPr>
      <w:r w:rsidRPr="00916FC6">
        <w:rPr>
          <w:b/>
          <w:bCs/>
        </w:rPr>
        <w:t xml:space="preserve">Proposal </w:t>
      </w:r>
      <w:r w:rsidR="00F61EE6">
        <w:rPr>
          <w:b/>
          <w:bCs/>
        </w:rPr>
        <w:t>6</w:t>
      </w:r>
      <w:r w:rsidRPr="00916FC6">
        <w:rPr>
          <w:b/>
          <w:bCs/>
        </w:rPr>
        <w:t>:</w:t>
      </w:r>
      <w:r>
        <w:rPr>
          <w:b/>
          <w:bCs/>
        </w:rPr>
        <w:t xml:space="preserve"> RAN2 to consider mechanism where CHO condition is evaluated only against the time/distance-based event skipping radio condition evaluation dynamically based on the history of measurements and CHO execution results.</w:t>
      </w:r>
    </w:p>
    <w:p w14:paraId="0945E992" w14:textId="77777777" w:rsidR="00B22625" w:rsidRDefault="00B22625" w:rsidP="00B22625">
      <w:pPr>
        <w:pStyle w:val="Heading1"/>
        <w:ind w:left="0" w:firstLine="0"/>
      </w:pPr>
      <w:r>
        <w:t>References</w:t>
      </w:r>
    </w:p>
    <w:p w14:paraId="0DB01FA9" w14:textId="3C90A910" w:rsidR="003424E9" w:rsidRDefault="00EB0FE7" w:rsidP="00EB0FE7">
      <w:pPr>
        <w:rPr>
          <w:bCs/>
        </w:rPr>
      </w:pPr>
      <w:r>
        <w:rPr>
          <w:bCs/>
        </w:rPr>
        <w:t xml:space="preserve">[1] </w:t>
      </w:r>
      <w:r w:rsidR="003424E9" w:rsidRPr="00EB0FE7">
        <w:rPr>
          <w:bCs/>
        </w:rPr>
        <w:t>RP-221806, WID on IoT NTN enhancements, 3GPP TSG RAN Meeting #96, June 6 - 9, 2022.</w:t>
      </w:r>
    </w:p>
    <w:p w14:paraId="14B296DE" w14:textId="57001B5C" w:rsidR="00EB0FE7" w:rsidRPr="00EB0FE7" w:rsidRDefault="00EB0FE7" w:rsidP="00EB0FE7">
      <w:pPr>
        <w:rPr>
          <w:bCs/>
        </w:rPr>
      </w:pPr>
      <w:r>
        <w:rPr>
          <w:bCs/>
        </w:rPr>
        <w:t xml:space="preserve">[2] </w:t>
      </w:r>
      <w:r w:rsidRPr="00EB0FE7">
        <w:rPr>
          <w:bCs/>
        </w:rPr>
        <w:t>R2-2105224,</w:t>
      </w:r>
      <w:r w:rsidR="00F90819">
        <w:rPr>
          <w:bCs/>
        </w:rPr>
        <w:t xml:space="preserve"> </w:t>
      </w:r>
      <w:r w:rsidRPr="00EB0FE7">
        <w:rPr>
          <w:bCs/>
        </w:rPr>
        <w:t>Enhancements for Re-establishment time reduction, 3GPP RAN2 meeting #114</w:t>
      </w:r>
    </w:p>
    <w:p w14:paraId="667F5631" w14:textId="15AD78E0" w:rsidR="00A33044" w:rsidRDefault="00A33044" w:rsidP="00A33044">
      <w:pPr>
        <w:jc w:val="both"/>
        <w:rPr>
          <w:bCs/>
        </w:rPr>
      </w:pPr>
      <w:r>
        <w:rPr>
          <w:bCs/>
        </w:rPr>
        <w:t xml:space="preserve">[3] R2-2208701, </w:t>
      </w:r>
      <w:r w:rsidRPr="002D298F">
        <w:rPr>
          <w:bCs/>
        </w:rPr>
        <w:t>Report from Break-out session on R17 NTN, REDCAP and CE 3GPP TSG-RAN WG2 Meeting #11</w:t>
      </w:r>
      <w:r>
        <w:rPr>
          <w:bCs/>
        </w:rPr>
        <w:t>9</w:t>
      </w:r>
      <w:r w:rsidRPr="002D298F">
        <w:rPr>
          <w:bCs/>
        </w:rPr>
        <w:t xml:space="preserve"> Online, </w:t>
      </w:r>
      <w:r>
        <w:rPr>
          <w:bCs/>
        </w:rPr>
        <w:t>August</w:t>
      </w:r>
      <w:r w:rsidRPr="002D298F">
        <w:rPr>
          <w:bCs/>
        </w:rPr>
        <w:t xml:space="preserve"> 2022</w:t>
      </w:r>
      <w:r>
        <w:rPr>
          <w:bCs/>
        </w:rPr>
        <w:t>.</w:t>
      </w:r>
    </w:p>
    <w:p w14:paraId="3E1A8CDD" w14:textId="7A57CC6A" w:rsidR="00A33044" w:rsidRDefault="00A33044" w:rsidP="00A33044">
      <w:pPr>
        <w:jc w:val="both"/>
        <w:rPr>
          <w:bCs/>
        </w:rPr>
      </w:pPr>
      <w:r>
        <w:rPr>
          <w:bCs/>
        </w:rPr>
        <w:t xml:space="preserve">[4] </w:t>
      </w:r>
      <w:r w:rsidRPr="00E01396">
        <w:rPr>
          <w:bCs/>
        </w:rPr>
        <w:t>3GPP Technical Specification 38.331, version 17.</w:t>
      </w:r>
      <w:r>
        <w:rPr>
          <w:bCs/>
        </w:rPr>
        <w:t>1</w:t>
      </w:r>
      <w:r w:rsidRPr="00E01396">
        <w:rPr>
          <w:bCs/>
        </w:rPr>
        <w:t xml:space="preserve">.0, </w:t>
      </w:r>
      <w:r>
        <w:rPr>
          <w:bCs/>
        </w:rPr>
        <w:t>June</w:t>
      </w:r>
      <w:r w:rsidRPr="00E01396">
        <w:rPr>
          <w:bCs/>
        </w:rPr>
        <w:t xml:space="preserve"> 2022</w:t>
      </w:r>
      <w:r>
        <w:rPr>
          <w:bCs/>
        </w:rPr>
        <w:t>.</w:t>
      </w:r>
    </w:p>
    <w:p w14:paraId="1B9AC5D1" w14:textId="4F08C88A" w:rsidR="00A33044" w:rsidRDefault="00A33044" w:rsidP="00A33044">
      <w:pPr>
        <w:jc w:val="both"/>
        <w:rPr>
          <w:bCs/>
        </w:rPr>
      </w:pPr>
      <w:r>
        <w:rPr>
          <w:bCs/>
        </w:rPr>
        <w:t xml:space="preserve">[5] </w:t>
      </w:r>
      <w:r w:rsidRPr="002D298F">
        <w:rPr>
          <w:bCs/>
        </w:rPr>
        <w:t>R2-2203512 Report from Break-out session on R17 NTN, REDCAP and CE 3GPP TSG-RAN WG2 Meeting #117 Online, Feb 21st - Mar 3rd, 2022</w:t>
      </w:r>
      <w:r>
        <w:rPr>
          <w:bCs/>
        </w:rPr>
        <w:t>.</w:t>
      </w:r>
    </w:p>
    <w:p w14:paraId="1BA39A00" w14:textId="35866C22" w:rsidR="00A33044" w:rsidRDefault="00A33044" w:rsidP="00A33044">
      <w:pPr>
        <w:jc w:val="both"/>
        <w:rPr>
          <w:bCs/>
        </w:rPr>
      </w:pPr>
      <w:r>
        <w:rPr>
          <w:bCs/>
        </w:rPr>
        <w:t xml:space="preserve">[6] </w:t>
      </w:r>
      <w:r w:rsidRPr="00EB0FE7">
        <w:rPr>
          <w:bCs/>
        </w:rPr>
        <w:t>RP-2218</w:t>
      </w:r>
      <w:r>
        <w:rPr>
          <w:bCs/>
        </w:rPr>
        <w:t>19</w:t>
      </w:r>
      <w:r w:rsidRPr="00EB0FE7">
        <w:rPr>
          <w:bCs/>
        </w:rPr>
        <w:t xml:space="preserve">, WID on </w:t>
      </w:r>
      <w:r>
        <w:rPr>
          <w:bCs/>
        </w:rPr>
        <w:t>NR</w:t>
      </w:r>
      <w:r w:rsidRPr="00EB0FE7">
        <w:rPr>
          <w:bCs/>
        </w:rPr>
        <w:t xml:space="preserve"> NTN enhancements, 3GPP TSG RAN Meeting #</w:t>
      </w:r>
      <w:r>
        <w:rPr>
          <w:bCs/>
        </w:rPr>
        <w:t>96</w:t>
      </w:r>
      <w:r w:rsidRPr="00EB0FE7">
        <w:rPr>
          <w:bCs/>
        </w:rPr>
        <w:t>, June 6 - 9, 2022.</w:t>
      </w:r>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97519" w14:textId="77777777" w:rsidR="00B91018" w:rsidRDefault="00B91018">
      <w:r>
        <w:separator/>
      </w:r>
    </w:p>
  </w:endnote>
  <w:endnote w:type="continuationSeparator" w:id="0">
    <w:p w14:paraId="566AEF58" w14:textId="77777777" w:rsidR="00B91018" w:rsidRDefault="00B91018">
      <w:r>
        <w:continuationSeparator/>
      </w:r>
    </w:p>
  </w:endnote>
  <w:endnote w:type="continuationNotice" w:id="1">
    <w:p w14:paraId="6E17E61A" w14:textId="77777777" w:rsidR="00B91018" w:rsidRDefault="00B910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680EB" w14:textId="77777777" w:rsidR="00B91018" w:rsidRDefault="00B91018">
      <w:r>
        <w:separator/>
      </w:r>
    </w:p>
  </w:footnote>
  <w:footnote w:type="continuationSeparator" w:id="0">
    <w:p w14:paraId="19492866" w14:textId="77777777" w:rsidR="00B91018" w:rsidRDefault="00B91018">
      <w:r>
        <w:continuationSeparator/>
      </w:r>
    </w:p>
  </w:footnote>
  <w:footnote w:type="continuationNotice" w:id="1">
    <w:p w14:paraId="50D46544" w14:textId="77777777" w:rsidR="00B91018" w:rsidRDefault="00B910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A5412"/>
    <w:multiLevelType w:val="hybridMultilevel"/>
    <w:tmpl w:val="FF4A5226"/>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8D7908"/>
    <w:multiLevelType w:val="hybridMultilevel"/>
    <w:tmpl w:val="05F83DCC"/>
    <w:lvl w:ilvl="0" w:tplc="24483584">
      <w:start w:val="1"/>
      <w:numFmt w:val="bullet"/>
      <w:lvlText w:val="•"/>
      <w:lvlJc w:val="left"/>
      <w:pPr>
        <w:tabs>
          <w:tab w:val="num" w:pos="720"/>
        </w:tabs>
        <w:ind w:left="720" w:hanging="360"/>
      </w:pPr>
      <w:rPr>
        <w:rFonts w:ascii="Arial" w:hAnsi="Arial" w:hint="default"/>
      </w:rPr>
    </w:lvl>
    <w:lvl w:ilvl="1" w:tplc="78723A90">
      <w:start w:val="1"/>
      <w:numFmt w:val="bullet"/>
      <w:lvlText w:val="•"/>
      <w:lvlJc w:val="left"/>
      <w:pPr>
        <w:tabs>
          <w:tab w:val="num" w:pos="1440"/>
        </w:tabs>
        <w:ind w:left="1440" w:hanging="360"/>
      </w:pPr>
      <w:rPr>
        <w:rFonts w:ascii="Arial" w:hAnsi="Arial" w:hint="default"/>
      </w:rPr>
    </w:lvl>
    <w:lvl w:ilvl="2" w:tplc="2898D0D4">
      <w:numFmt w:val="bullet"/>
      <w:lvlText w:val="•"/>
      <w:lvlJc w:val="left"/>
      <w:pPr>
        <w:tabs>
          <w:tab w:val="num" w:pos="2160"/>
        </w:tabs>
        <w:ind w:left="2160" w:hanging="360"/>
      </w:pPr>
      <w:rPr>
        <w:rFonts w:ascii="Arial" w:hAnsi="Arial" w:hint="default"/>
      </w:rPr>
    </w:lvl>
    <w:lvl w:ilvl="3" w:tplc="D6980B80">
      <w:numFmt w:val="bullet"/>
      <w:lvlText w:val="•"/>
      <w:lvlJc w:val="left"/>
      <w:pPr>
        <w:tabs>
          <w:tab w:val="num" w:pos="2880"/>
        </w:tabs>
        <w:ind w:left="2880" w:hanging="360"/>
      </w:pPr>
      <w:rPr>
        <w:rFonts w:ascii="Arial" w:hAnsi="Arial" w:hint="default"/>
      </w:rPr>
    </w:lvl>
    <w:lvl w:ilvl="4" w:tplc="ADE26DE4" w:tentative="1">
      <w:start w:val="1"/>
      <w:numFmt w:val="bullet"/>
      <w:lvlText w:val="•"/>
      <w:lvlJc w:val="left"/>
      <w:pPr>
        <w:tabs>
          <w:tab w:val="num" w:pos="3600"/>
        </w:tabs>
        <w:ind w:left="3600" w:hanging="360"/>
      </w:pPr>
      <w:rPr>
        <w:rFonts w:ascii="Arial" w:hAnsi="Arial" w:hint="default"/>
      </w:rPr>
    </w:lvl>
    <w:lvl w:ilvl="5" w:tplc="1CCC0FBA" w:tentative="1">
      <w:start w:val="1"/>
      <w:numFmt w:val="bullet"/>
      <w:lvlText w:val="•"/>
      <w:lvlJc w:val="left"/>
      <w:pPr>
        <w:tabs>
          <w:tab w:val="num" w:pos="4320"/>
        </w:tabs>
        <w:ind w:left="4320" w:hanging="360"/>
      </w:pPr>
      <w:rPr>
        <w:rFonts w:ascii="Arial" w:hAnsi="Arial" w:hint="default"/>
      </w:rPr>
    </w:lvl>
    <w:lvl w:ilvl="6" w:tplc="9264A134" w:tentative="1">
      <w:start w:val="1"/>
      <w:numFmt w:val="bullet"/>
      <w:lvlText w:val="•"/>
      <w:lvlJc w:val="left"/>
      <w:pPr>
        <w:tabs>
          <w:tab w:val="num" w:pos="5040"/>
        </w:tabs>
        <w:ind w:left="5040" w:hanging="360"/>
      </w:pPr>
      <w:rPr>
        <w:rFonts w:ascii="Arial" w:hAnsi="Arial" w:hint="default"/>
      </w:rPr>
    </w:lvl>
    <w:lvl w:ilvl="7" w:tplc="DAA2251C" w:tentative="1">
      <w:start w:val="1"/>
      <w:numFmt w:val="bullet"/>
      <w:lvlText w:val="•"/>
      <w:lvlJc w:val="left"/>
      <w:pPr>
        <w:tabs>
          <w:tab w:val="num" w:pos="5760"/>
        </w:tabs>
        <w:ind w:left="5760" w:hanging="360"/>
      </w:pPr>
      <w:rPr>
        <w:rFonts w:ascii="Arial" w:hAnsi="Arial" w:hint="default"/>
      </w:rPr>
    </w:lvl>
    <w:lvl w:ilvl="8" w:tplc="1AAA4D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CB23D8"/>
    <w:multiLevelType w:val="hybridMultilevel"/>
    <w:tmpl w:val="AE185F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3636F7E"/>
    <w:multiLevelType w:val="hybridMultilevel"/>
    <w:tmpl w:val="5054336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48076587"/>
    <w:multiLevelType w:val="hybridMultilevel"/>
    <w:tmpl w:val="56B6F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D4380"/>
    <w:multiLevelType w:val="multilevel"/>
    <w:tmpl w:val="9C724556"/>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48DF49F1"/>
    <w:multiLevelType w:val="multilevel"/>
    <w:tmpl w:val="DB50376C"/>
    <w:lvl w:ilvl="0">
      <w:start w:val="2"/>
      <w:numFmt w:val="decimal"/>
      <w:lvlText w:val="%1"/>
      <w:lvlJc w:val="left"/>
      <w:pPr>
        <w:ind w:left="360" w:hanging="360"/>
      </w:pPr>
      <w:rPr>
        <w:i w:val="0"/>
        <w:iCs w:val="0"/>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AE91BF5"/>
    <w:multiLevelType w:val="hybridMultilevel"/>
    <w:tmpl w:val="99467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4B6B1D"/>
    <w:multiLevelType w:val="multilevel"/>
    <w:tmpl w:val="9C724556"/>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4F1657A4"/>
    <w:multiLevelType w:val="hybridMultilevel"/>
    <w:tmpl w:val="EE501A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4784971"/>
    <w:multiLevelType w:val="multilevel"/>
    <w:tmpl w:val="9C724556"/>
    <w:lvl w:ilvl="0">
      <w:start w:val="2"/>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548E17CB"/>
    <w:multiLevelType w:val="hybridMultilevel"/>
    <w:tmpl w:val="0180D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3DA3060"/>
    <w:multiLevelType w:val="hybridMultilevel"/>
    <w:tmpl w:val="477238AE"/>
    <w:lvl w:ilvl="0" w:tplc="6CF8E0CA">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3"/>
  </w:num>
  <w:num w:numId="7">
    <w:abstractNumId w:val="14"/>
  </w:num>
  <w:num w:numId="8">
    <w:abstractNumId w:val="6"/>
  </w:num>
  <w:num w:numId="9">
    <w:abstractNumId w:val="3"/>
  </w:num>
  <w:num w:numId="10">
    <w:abstractNumId w:val="19"/>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5"/>
  </w:num>
  <w:num w:numId="15">
    <w:abstractNumId w:val="9"/>
  </w:num>
  <w:num w:numId="16">
    <w:abstractNumId w:val="10"/>
  </w:num>
  <w:num w:numId="17">
    <w:abstractNumId w:val="4"/>
  </w:num>
  <w:num w:numId="18">
    <w:abstractNumId w:val="5"/>
  </w:num>
  <w:num w:numId="19">
    <w:abstractNumId w:val="21"/>
  </w:num>
  <w:num w:numId="20">
    <w:abstractNumId w:val="12"/>
  </w:num>
  <w:num w:numId="21">
    <w:abstractNumId w:val="11"/>
  </w:num>
  <w:num w:numId="22">
    <w:abstractNumId w:val="16"/>
  </w:num>
  <w:num w:numId="23">
    <w:abstractNumId w:val="18"/>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wszAxMDc2NTa2NDFX0lEKTi0uzszPAykwqQUAmAp9diwAAAA="/>
  </w:docVars>
  <w:rsids>
    <w:rsidRoot w:val="000B7BCF"/>
    <w:rsid w:val="00005381"/>
    <w:rsid w:val="00005B69"/>
    <w:rsid w:val="00013F68"/>
    <w:rsid w:val="00016557"/>
    <w:rsid w:val="00023C40"/>
    <w:rsid w:val="0002524F"/>
    <w:rsid w:val="00031FED"/>
    <w:rsid w:val="00033397"/>
    <w:rsid w:val="00040095"/>
    <w:rsid w:val="00042AE1"/>
    <w:rsid w:val="00051B24"/>
    <w:rsid w:val="00052CFB"/>
    <w:rsid w:val="00053FAE"/>
    <w:rsid w:val="000609F4"/>
    <w:rsid w:val="00065268"/>
    <w:rsid w:val="00073C9C"/>
    <w:rsid w:val="00076412"/>
    <w:rsid w:val="00080512"/>
    <w:rsid w:val="00086D16"/>
    <w:rsid w:val="00090468"/>
    <w:rsid w:val="0009178E"/>
    <w:rsid w:val="00094568"/>
    <w:rsid w:val="000A336A"/>
    <w:rsid w:val="000A386E"/>
    <w:rsid w:val="000A711C"/>
    <w:rsid w:val="000B7BCF"/>
    <w:rsid w:val="000C22C7"/>
    <w:rsid w:val="000C4E72"/>
    <w:rsid w:val="000C522B"/>
    <w:rsid w:val="000D58AB"/>
    <w:rsid w:val="000D6A47"/>
    <w:rsid w:val="000E0F6D"/>
    <w:rsid w:val="000E4A53"/>
    <w:rsid w:val="000F0132"/>
    <w:rsid w:val="000F53E5"/>
    <w:rsid w:val="00104A5B"/>
    <w:rsid w:val="00104E14"/>
    <w:rsid w:val="001069AF"/>
    <w:rsid w:val="00107960"/>
    <w:rsid w:val="00112F1A"/>
    <w:rsid w:val="0012151F"/>
    <w:rsid w:val="001259E8"/>
    <w:rsid w:val="0013087B"/>
    <w:rsid w:val="00133129"/>
    <w:rsid w:val="00145075"/>
    <w:rsid w:val="00155E0D"/>
    <w:rsid w:val="00160392"/>
    <w:rsid w:val="00161E9B"/>
    <w:rsid w:val="00165BC6"/>
    <w:rsid w:val="00171BDB"/>
    <w:rsid w:val="001741A0"/>
    <w:rsid w:val="00175FA0"/>
    <w:rsid w:val="001932CB"/>
    <w:rsid w:val="001933FA"/>
    <w:rsid w:val="00194CD0"/>
    <w:rsid w:val="001B49C9"/>
    <w:rsid w:val="001B7C93"/>
    <w:rsid w:val="001C00DF"/>
    <w:rsid w:val="001C23F4"/>
    <w:rsid w:val="001C4F79"/>
    <w:rsid w:val="001D13AB"/>
    <w:rsid w:val="001D24C8"/>
    <w:rsid w:val="001D2BEE"/>
    <w:rsid w:val="001D6AA7"/>
    <w:rsid w:val="001E2E78"/>
    <w:rsid w:val="001E5DEA"/>
    <w:rsid w:val="001F168B"/>
    <w:rsid w:val="001F347E"/>
    <w:rsid w:val="001F61FE"/>
    <w:rsid w:val="001F7831"/>
    <w:rsid w:val="0020289F"/>
    <w:rsid w:val="002033A1"/>
    <w:rsid w:val="00204045"/>
    <w:rsid w:val="0020712B"/>
    <w:rsid w:val="0021033D"/>
    <w:rsid w:val="00216961"/>
    <w:rsid w:val="0022606D"/>
    <w:rsid w:val="00231728"/>
    <w:rsid w:val="002354EE"/>
    <w:rsid w:val="00237E18"/>
    <w:rsid w:val="002403A5"/>
    <w:rsid w:val="00241FF1"/>
    <w:rsid w:val="002437A3"/>
    <w:rsid w:val="002439D7"/>
    <w:rsid w:val="00244A05"/>
    <w:rsid w:val="00250404"/>
    <w:rsid w:val="0025415E"/>
    <w:rsid w:val="00256B74"/>
    <w:rsid w:val="002610D8"/>
    <w:rsid w:val="002724A0"/>
    <w:rsid w:val="00273DFF"/>
    <w:rsid w:val="002747EC"/>
    <w:rsid w:val="00275220"/>
    <w:rsid w:val="002855BF"/>
    <w:rsid w:val="002A6BB7"/>
    <w:rsid w:val="002B1558"/>
    <w:rsid w:val="002B2988"/>
    <w:rsid w:val="002B4068"/>
    <w:rsid w:val="002B6442"/>
    <w:rsid w:val="002D3702"/>
    <w:rsid w:val="002D3D39"/>
    <w:rsid w:val="002D46DB"/>
    <w:rsid w:val="002E3059"/>
    <w:rsid w:val="002F07B4"/>
    <w:rsid w:val="002F0D22"/>
    <w:rsid w:val="002F3221"/>
    <w:rsid w:val="002F47B9"/>
    <w:rsid w:val="002F4CFD"/>
    <w:rsid w:val="00303852"/>
    <w:rsid w:val="003054F4"/>
    <w:rsid w:val="00311B17"/>
    <w:rsid w:val="003172DC"/>
    <w:rsid w:val="0032416D"/>
    <w:rsid w:val="00325AE3"/>
    <w:rsid w:val="00326069"/>
    <w:rsid w:val="00333B42"/>
    <w:rsid w:val="00337766"/>
    <w:rsid w:val="00340AFB"/>
    <w:rsid w:val="003424E9"/>
    <w:rsid w:val="00342657"/>
    <w:rsid w:val="00343375"/>
    <w:rsid w:val="00351652"/>
    <w:rsid w:val="003535DF"/>
    <w:rsid w:val="0035462D"/>
    <w:rsid w:val="0035698D"/>
    <w:rsid w:val="00356FE0"/>
    <w:rsid w:val="00362C83"/>
    <w:rsid w:val="0036459E"/>
    <w:rsid w:val="00364B41"/>
    <w:rsid w:val="00364B65"/>
    <w:rsid w:val="00364EFE"/>
    <w:rsid w:val="00383096"/>
    <w:rsid w:val="00383924"/>
    <w:rsid w:val="0039346C"/>
    <w:rsid w:val="003A019C"/>
    <w:rsid w:val="003A1437"/>
    <w:rsid w:val="003A41EF"/>
    <w:rsid w:val="003A630A"/>
    <w:rsid w:val="003B3DC7"/>
    <w:rsid w:val="003B40AD"/>
    <w:rsid w:val="003B624D"/>
    <w:rsid w:val="003C0719"/>
    <w:rsid w:val="003C4E37"/>
    <w:rsid w:val="003E16BE"/>
    <w:rsid w:val="003E1D86"/>
    <w:rsid w:val="003F03E2"/>
    <w:rsid w:val="003F49E2"/>
    <w:rsid w:val="003F4E28"/>
    <w:rsid w:val="004006E8"/>
    <w:rsid w:val="00401855"/>
    <w:rsid w:val="00403CDF"/>
    <w:rsid w:val="004131C0"/>
    <w:rsid w:val="00423926"/>
    <w:rsid w:val="00431CB0"/>
    <w:rsid w:val="0043662B"/>
    <w:rsid w:val="00445314"/>
    <w:rsid w:val="00446C3A"/>
    <w:rsid w:val="00446C9E"/>
    <w:rsid w:val="0045109D"/>
    <w:rsid w:val="004543FA"/>
    <w:rsid w:val="004625FB"/>
    <w:rsid w:val="00465587"/>
    <w:rsid w:val="004705C4"/>
    <w:rsid w:val="00476854"/>
    <w:rsid w:val="00477455"/>
    <w:rsid w:val="00483872"/>
    <w:rsid w:val="00485154"/>
    <w:rsid w:val="00492E65"/>
    <w:rsid w:val="00494D2A"/>
    <w:rsid w:val="004A1F7B"/>
    <w:rsid w:val="004B7159"/>
    <w:rsid w:val="004B76D2"/>
    <w:rsid w:val="004C44D2"/>
    <w:rsid w:val="004C51DF"/>
    <w:rsid w:val="004D1840"/>
    <w:rsid w:val="004D2A7C"/>
    <w:rsid w:val="004D3578"/>
    <w:rsid w:val="004D380D"/>
    <w:rsid w:val="004D5126"/>
    <w:rsid w:val="004D5EA7"/>
    <w:rsid w:val="004D719A"/>
    <w:rsid w:val="004E213A"/>
    <w:rsid w:val="004E28A8"/>
    <w:rsid w:val="004F4540"/>
    <w:rsid w:val="004F73A7"/>
    <w:rsid w:val="00500DC7"/>
    <w:rsid w:val="005028B5"/>
    <w:rsid w:val="00503171"/>
    <w:rsid w:val="005065C2"/>
    <w:rsid w:val="00506C28"/>
    <w:rsid w:val="00507C78"/>
    <w:rsid w:val="005143AF"/>
    <w:rsid w:val="00521EBA"/>
    <w:rsid w:val="0052716C"/>
    <w:rsid w:val="00534DA0"/>
    <w:rsid w:val="00542152"/>
    <w:rsid w:val="00543E6C"/>
    <w:rsid w:val="00554593"/>
    <w:rsid w:val="00565087"/>
    <w:rsid w:val="0056573F"/>
    <w:rsid w:val="00571279"/>
    <w:rsid w:val="005821A4"/>
    <w:rsid w:val="00585376"/>
    <w:rsid w:val="00586027"/>
    <w:rsid w:val="0058605D"/>
    <w:rsid w:val="00592B0C"/>
    <w:rsid w:val="005A13AB"/>
    <w:rsid w:val="005A49C6"/>
    <w:rsid w:val="005B0EB2"/>
    <w:rsid w:val="005C3B7C"/>
    <w:rsid w:val="005C766E"/>
    <w:rsid w:val="005C7CD5"/>
    <w:rsid w:val="005D54BB"/>
    <w:rsid w:val="005E08D1"/>
    <w:rsid w:val="005E2663"/>
    <w:rsid w:val="005F35C2"/>
    <w:rsid w:val="006022EC"/>
    <w:rsid w:val="00611566"/>
    <w:rsid w:val="00624E08"/>
    <w:rsid w:val="006306F0"/>
    <w:rsid w:val="00634626"/>
    <w:rsid w:val="00636C69"/>
    <w:rsid w:val="00644DC5"/>
    <w:rsid w:val="00646D98"/>
    <w:rsid w:val="00646D99"/>
    <w:rsid w:val="00654BC0"/>
    <w:rsid w:val="00655F3B"/>
    <w:rsid w:val="00656910"/>
    <w:rsid w:val="00656EC9"/>
    <w:rsid w:val="00657363"/>
    <w:rsid w:val="006574C0"/>
    <w:rsid w:val="00661419"/>
    <w:rsid w:val="00663D0D"/>
    <w:rsid w:val="00667F3E"/>
    <w:rsid w:val="00676A77"/>
    <w:rsid w:val="00676E2D"/>
    <w:rsid w:val="00677864"/>
    <w:rsid w:val="00696821"/>
    <w:rsid w:val="006A4D6B"/>
    <w:rsid w:val="006B18A6"/>
    <w:rsid w:val="006B2D85"/>
    <w:rsid w:val="006C66D8"/>
    <w:rsid w:val="006C6BC7"/>
    <w:rsid w:val="006D1E24"/>
    <w:rsid w:val="006D3255"/>
    <w:rsid w:val="006D35DE"/>
    <w:rsid w:val="006D57A4"/>
    <w:rsid w:val="006E1057"/>
    <w:rsid w:val="006E1417"/>
    <w:rsid w:val="006E3871"/>
    <w:rsid w:val="006E7C59"/>
    <w:rsid w:val="006E7F3C"/>
    <w:rsid w:val="006F1C1F"/>
    <w:rsid w:val="006F4E88"/>
    <w:rsid w:val="006F6A2C"/>
    <w:rsid w:val="007069DC"/>
    <w:rsid w:val="00706D52"/>
    <w:rsid w:val="00710201"/>
    <w:rsid w:val="0071240C"/>
    <w:rsid w:val="0072073A"/>
    <w:rsid w:val="00723410"/>
    <w:rsid w:val="00733752"/>
    <w:rsid w:val="007342B5"/>
    <w:rsid w:val="00734A5B"/>
    <w:rsid w:val="00744E76"/>
    <w:rsid w:val="0074767B"/>
    <w:rsid w:val="00752AE8"/>
    <w:rsid w:val="00757D40"/>
    <w:rsid w:val="007662B5"/>
    <w:rsid w:val="007716DC"/>
    <w:rsid w:val="00776122"/>
    <w:rsid w:val="00781F0F"/>
    <w:rsid w:val="007828E0"/>
    <w:rsid w:val="00782D10"/>
    <w:rsid w:val="0078727C"/>
    <w:rsid w:val="0079049D"/>
    <w:rsid w:val="0079363B"/>
    <w:rsid w:val="00793DC5"/>
    <w:rsid w:val="00796823"/>
    <w:rsid w:val="007A2E55"/>
    <w:rsid w:val="007A7815"/>
    <w:rsid w:val="007B18D8"/>
    <w:rsid w:val="007B7FF9"/>
    <w:rsid w:val="007C095F"/>
    <w:rsid w:val="007C0C0D"/>
    <w:rsid w:val="007C2DD0"/>
    <w:rsid w:val="007C6A3F"/>
    <w:rsid w:val="007D3003"/>
    <w:rsid w:val="007D3EFD"/>
    <w:rsid w:val="007E106C"/>
    <w:rsid w:val="007F2E08"/>
    <w:rsid w:val="007F46CD"/>
    <w:rsid w:val="007F4880"/>
    <w:rsid w:val="007F6B25"/>
    <w:rsid w:val="007F7AF1"/>
    <w:rsid w:val="008024FA"/>
    <w:rsid w:val="008028A4"/>
    <w:rsid w:val="00803BE0"/>
    <w:rsid w:val="00807420"/>
    <w:rsid w:val="00810585"/>
    <w:rsid w:val="00813245"/>
    <w:rsid w:val="0081391C"/>
    <w:rsid w:val="00822FBD"/>
    <w:rsid w:val="00827147"/>
    <w:rsid w:val="00834AAE"/>
    <w:rsid w:val="00840DE0"/>
    <w:rsid w:val="00847CD0"/>
    <w:rsid w:val="008531AE"/>
    <w:rsid w:val="00853242"/>
    <w:rsid w:val="008607A8"/>
    <w:rsid w:val="0086354A"/>
    <w:rsid w:val="00863EE2"/>
    <w:rsid w:val="008768CA"/>
    <w:rsid w:val="00877EF9"/>
    <w:rsid w:val="00880559"/>
    <w:rsid w:val="0089365D"/>
    <w:rsid w:val="008971C4"/>
    <w:rsid w:val="0089780B"/>
    <w:rsid w:val="008A783C"/>
    <w:rsid w:val="008B4509"/>
    <w:rsid w:val="008B5306"/>
    <w:rsid w:val="008B5777"/>
    <w:rsid w:val="008C2E2A"/>
    <w:rsid w:val="008C3057"/>
    <w:rsid w:val="008C58C3"/>
    <w:rsid w:val="008D2E4D"/>
    <w:rsid w:val="008D7E2E"/>
    <w:rsid w:val="008F193C"/>
    <w:rsid w:val="008F396F"/>
    <w:rsid w:val="008F3DCD"/>
    <w:rsid w:val="00901E64"/>
    <w:rsid w:val="0090271F"/>
    <w:rsid w:val="00902C06"/>
    <w:rsid w:val="00902DB9"/>
    <w:rsid w:val="0090466A"/>
    <w:rsid w:val="00910F81"/>
    <w:rsid w:val="00914DBC"/>
    <w:rsid w:val="00916C2C"/>
    <w:rsid w:val="00916FC6"/>
    <w:rsid w:val="00922569"/>
    <w:rsid w:val="00922C30"/>
    <w:rsid w:val="00922DF7"/>
    <w:rsid w:val="00923655"/>
    <w:rsid w:val="009279D4"/>
    <w:rsid w:val="009339CB"/>
    <w:rsid w:val="00936071"/>
    <w:rsid w:val="009376CD"/>
    <w:rsid w:val="00940212"/>
    <w:rsid w:val="0094265F"/>
    <w:rsid w:val="00942EC2"/>
    <w:rsid w:val="009447AA"/>
    <w:rsid w:val="00954535"/>
    <w:rsid w:val="00955C50"/>
    <w:rsid w:val="00961B32"/>
    <w:rsid w:val="00962509"/>
    <w:rsid w:val="00963E34"/>
    <w:rsid w:val="00970DB3"/>
    <w:rsid w:val="00973836"/>
    <w:rsid w:val="00974304"/>
    <w:rsid w:val="00974BB0"/>
    <w:rsid w:val="00975BCD"/>
    <w:rsid w:val="009928A9"/>
    <w:rsid w:val="009A0AF3"/>
    <w:rsid w:val="009A0E87"/>
    <w:rsid w:val="009A59D2"/>
    <w:rsid w:val="009B07CD"/>
    <w:rsid w:val="009B407C"/>
    <w:rsid w:val="009C19E9"/>
    <w:rsid w:val="009C7F0F"/>
    <w:rsid w:val="009D0DE9"/>
    <w:rsid w:val="009D3458"/>
    <w:rsid w:val="009D74A6"/>
    <w:rsid w:val="009E0E87"/>
    <w:rsid w:val="009F236B"/>
    <w:rsid w:val="00A00CAB"/>
    <w:rsid w:val="00A10F02"/>
    <w:rsid w:val="00A16584"/>
    <w:rsid w:val="00A204CA"/>
    <w:rsid w:val="00A209D6"/>
    <w:rsid w:val="00A22738"/>
    <w:rsid w:val="00A246FB"/>
    <w:rsid w:val="00A24E87"/>
    <w:rsid w:val="00A250A3"/>
    <w:rsid w:val="00A32082"/>
    <w:rsid w:val="00A3297B"/>
    <w:rsid w:val="00A33044"/>
    <w:rsid w:val="00A368A0"/>
    <w:rsid w:val="00A36F5F"/>
    <w:rsid w:val="00A427D1"/>
    <w:rsid w:val="00A430EC"/>
    <w:rsid w:val="00A431B6"/>
    <w:rsid w:val="00A53724"/>
    <w:rsid w:val="00A53D04"/>
    <w:rsid w:val="00A54B2B"/>
    <w:rsid w:val="00A5783B"/>
    <w:rsid w:val="00A66102"/>
    <w:rsid w:val="00A703B6"/>
    <w:rsid w:val="00A80DDE"/>
    <w:rsid w:val="00A82346"/>
    <w:rsid w:val="00A85A06"/>
    <w:rsid w:val="00A860B2"/>
    <w:rsid w:val="00A9671C"/>
    <w:rsid w:val="00AA066F"/>
    <w:rsid w:val="00AA1553"/>
    <w:rsid w:val="00AA3390"/>
    <w:rsid w:val="00AA52C5"/>
    <w:rsid w:val="00AB27D5"/>
    <w:rsid w:val="00AB565B"/>
    <w:rsid w:val="00AD50EE"/>
    <w:rsid w:val="00AE2A3F"/>
    <w:rsid w:val="00AE37F0"/>
    <w:rsid w:val="00AE7900"/>
    <w:rsid w:val="00AF432A"/>
    <w:rsid w:val="00AF7A8F"/>
    <w:rsid w:val="00AF7AB2"/>
    <w:rsid w:val="00B05380"/>
    <w:rsid w:val="00B05962"/>
    <w:rsid w:val="00B06D66"/>
    <w:rsid w:val="00B15449"/>
    <w:rsid w:val="00B16C2F"/>
    <w:rsid w:val="00B22625"/>
    <w:rsid w:val="00B2572D"/>
    <w:rsid w:val="00B27303"/>
    <w:rsid w:val="00B30611"/>
    <w:rsid w:val="00B44257"/>
    <w:rsid w:val="00B45056"/>
    <w:rsid w:val="00B47FD1"/>
    <w:rsid w:val="00B516BB"/>
    <w:rsid w:val="00B529A9"/>
    <w:rsid w:val="00B72F27"/>
    <w:rsid w:val="00B7538C"/>
    <w:rsid w:val="00B76535"/>
    <w:rsid w:val="00B77FF9"/>
    <w:rsid w:val="00B84DB2"/>
    <w:rsid w:val="00B91018"/>
    <w:rsid w:val="00BB09F4"/>
    <w:rsid w:val="00BB3C35"/>
    <w:rsid w:val="00BC1A0E"/>
    <w:rsid w:val="00BC3555"/>
    <w:rsid w:val="00BE2356"/>
    <w:rsid w:val="00BE6A02"/>
    <w:rsid w:val="00BF0F9A"/>
    <w:rsid w:val="00C0666B"/>
    <w:rsid w:val="00C06875"/>
    <w:rsid w:val="00C076AE"/>
    <w:rsid w:val="00C12B51"/>
    <w:rsid w:val="00C1301A"/>
    <w:rsid w:val="00C17117"/>
    <w:rsid w:val="00C205B2"/>
    <w:rsid w:val="00C2309D"/>
    <w:rsid w:val="00C24650"/>
    <w:rsid w:val="00C25465"/>
    <w:rsid w:val="00C32F9D"/>
    <w:rsid w:val="00C33079"/>
    <w:rsid w:val="00C4443E"/>
    <w:rsid w:val="00C51C05"/>
    <w:rsid w:val="00C52648"/>
    <w:rsid w:val="00C534AE"/>
    <w:rsid w:val="00C55984"/>
    <w:rsid w:val="00C55A12"/>
    <w:rsid w:val="00C6553E"/>
    <w:rsid w:val="00C66012"/>
    <w:rsid w:val="00C67B4A"/>
    <w:rsid w:val="00C708A8"/>
    <w:rsid w:val="00C822FE"/>
    <w:rsid w:val="00C83A13"/>
    <w:rsid w:val="00C83F75"/>
    <w:rsid w:val="00C852ED"/>
    <w:rsid w:val="00C86F10"/>
    <w:rsid w:val="00C9053B"/>
    <w:rsid w:val="00C9068C"/>
    <w:rsid w:val="00C92967"/>
    <w:rsid w:val="00C96C8F"/>
    <w:rsid w:val="00CA0E07"/>
    <w:rsid w:val="00CA3D0C"/>
    <w:rsid w:val="00CA654B"/>
    <w:rsid w:val="00CB5416"/>
    <w:rsid w:val="00CB708A"/>
    <w:rsid w:val="00CB72B8"/>
    <w:rsid w:val="00CC6917"/>
    <w:rsid w:val="00CD0BA8"/>
    <w:rsid w:val="00CD4C7B"/>
    <w:rsid w:val="00CD58FE"/>
    <w:rsid w:val="00CD74C6"/>
    <w:rsid w:val="00CF2581"/>
    <w:rsid w:val="00CF45D3"/>
    <w:rsid w:val="00D011AC"/>
    <w:rsid w:val="00D01BC3"/>
    <w:rsid w:val="00D11295"/>
    <w:rsid w:val="00D33BE3"/>
    <w:rsid w:val="00D3792D"/>
    <w:rsid w:val="00D3798F"/>
    <w:rsid w:val="00D40CCA"/>
    <w:rsid w:val="00D413D8"/>
    <w:rsid w:val="00D55E47"/>
    <w:rsid w:val="00D6020D"/>
    <w:rsid w:val="00D62E19"/>
    <w:rsid w:val="00D67CD1"/>
    <w:rsid w:val="00D738D6"/>
    <w:rsid w:val="00D80795"/>
    <w:rsid w:val="00D854BE"/>
    <w:rsid w:val="00D87E00"/>
    <w:rsid w:val="00D9134D"/>
    <w:rsid w:val="00D96D11"/>
    <w:rsid w:val="00DA43F9"/>
    <w:rsid w:val="00DA74AE"/>
    <w:rsid w:val="00DA7A03"/>
    <w:rsid w:val="00DB0DB8"/>
    <w:rsid w:val="00DB1818"/>
    <w:rsid w:val="00DB3152"/>
    <w:rsid w:val="00DB4291"/>
    <w:rsid w:val="00DB52DC"/>
    <w:rsid w:val="00DB789B"/>
    <w:rsid w:val="00DC073E"/>
    <w:rsid w:val="00DC309B"/>
    <w:rsid w:val="00DC4DA2"/>
    <w:rsid w:val="00DC5261"/>
    <w:rsid w:val="00DD19C2"/>
    <w:rsid w:val="00DD3826"/>
    <w:rsid w:val="00DE25D2"/>
    <w:rsid w:val="00DF1E8B"/>
    <w:rsid w:val="00DF4D57"/>
    <w:rsid w:val="00DF7C20"/>
    <w:rsid w:val="00E16793"/>
    <w:rsid w:val="00E25CB2"/>
    <w:rsid w:val="00E43DA6"/>
    <w:rsid w:val="00E46804"/>
    <w:rsid w:val="00E46C08"/>
    <w:rsid w:val="00E471CF"/>
    <w:rsid w:val="00E53152"/>
    <w:rsid w:val="00E62835"/>
    <w:rsid w:val="00E62D25"/>
    <w:rsid w:val="00E7159F"/>
    <w:rsid w:val="00E72657"/>
    <w:rsid w:val="00E72EDA"/>
    <w:rsid w:val="00E77645"/>
    <w:rsid w:val="00E81FEF"/>
    <w:rsid w:val="00E83697"/>
    <w:rsid w:val="00E859B6"/>
    <w:rsid w:val="00E9279A"/>
    <w:rsid w:val="00E946EA"/>
    <w:rsid w:val="00E9510A"/>
    <w:rsid w:val="00EA5826"/>
    <w:rsid w:val="00EA66C9"/>
    <w:rsid w:val="00EB0FE7"/>
    <w:rsid w:val="00EB1498"/>
    <w:rsid w:val="00EB5D32"/>
    <w:rsid w:val="00EB6B5C"/>
    <w:rsid w:val="00EC2C84"/>
    <w:rsid w:val="00EC4A25"/>
    <w:rsid w:val="00ED317C"/>
    <w:rsid w:val="00EE0F3B"/>
    <w:rsid w:val="00EE79FB"/>
    <w:rsid w:val="00EF2036"/>
    <w:rsid w:val="00EF612C"/>
    <w:rsid w:val="00F000A6"/>
    <w:rsid w:val="00F023D9"/>
    <w:rsid w:val="00F025A2"/>
    <w:rsid w:val="00F036E9"/>
    <w:rsid w:val="00F03A26"/>
    <w:rsid w:val="00F07388"/>
    <w:rsid w:val="00F076BC"/>
    <w:rsid w:val="00F07AA1"/>
    <w:rsid w:val="00F07CF2"/>
    <w:rsid w:val="00F1028C"/>
    <w:rsid w:val="00F102E8"/>
    <w:rsid w:val="00F11981"/>
    <w:rsid w:val="00F12C58"/>
    <w:rsid w:val="00F13D32"/>
    <w:rsid w:val="00F15E36"/>
    <w:rsid w:val="00F2026E"/>
    <w:rsid w:val="00F2210A"/>
    <w:rsid w:val="00F24CD3"/>
    <w:rsid w:val="00F31372"/>
    <w:rsid w:val="00F37743"/>
    <w:rsid w:val="00F53801"/>
    <w:rsid w:val="00F54A3D"/>
    <w:rsid w:val="00F54CB0"/>
    <w:rsid w:val="00F579CD"/>
    <w:rsid w:val="00F61EE6"/>
    <w:rsid w:val="00F623D9"/>
    <w:rsid w:val="00F62AAB"/>
    <w:rsid w:val="00F653B8"/>
    <w:rsid w:val="00F65950"/>
    <w:rsid w:val="00F71B89"/>
    <w:rsid w:val="00F72357"/>
    <w:rsid w:val="00F7353C"/>
    <w:rsid w:val="00F76F8F"/>
    <w:rsid w:val="00F87257"/>
    <w:rsid w:val="00F90819"/>
    <w:rsid w:val="00F9227C"/>
    <w:rsid w:val="00F941DF"/>
    <w:rsid w:val="00F9447F"/>
    <w:rsid w:val="00FA1266"/>
    <w:rsid w:val="00FB36FA"/>
    <w:rsid w:val="00FC10E3"/>
    <w:rsid w:val="00FC1192"/>
    <w:rsid w:val="00FC2DED"/>
    <w:rsid w:val="00FD22E8"/>
    <w:rsid w:val="00FE106D"/>
    <w:rsid w:val="00FE251B"/>
    <w:rsid w:val="00FE709D"/>
    <w:rsid w:val="00FF520D"/>
    <w:rsid w:val="00FF78A5"/>
    <w:rsid w:val="0BF0ACD3"/>
    <w:rsid w:val="0D47EAEC"/>
    <w:rsid w:val="17E4AF7C"/>
    <w:rsid w:val="2E8BD77A"/>
    <w:rsid w:val="3491DBE7"/>
    <w:rsid w:val="4B6BC00A"/>
    <w:rsid w:val="533853C3"/>
    <w:rsid w:val="551E961F"/>
    <w:rsid w:val="61949D09"/>
    <w:rsid w:val="6360B91B"/>
    <w:rsid w:val="7C52925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8E24B03-2586-4A77-814C-71BE1A1E9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F4D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424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3424E9"/>
    <w:pPr>
      <w:spacing w:after="0" w:line="259" w:lineRule="auto"/>
      <w:ind w:left="720"/>
      <w:contextualSpacing/>
    </w:pPr>
    <w:rPr>
      <w:rFonts w:asciiTheme="minorHAnsi" w:eastAsiaTheme="minorEastAsia" w:hAnsiTheme="minorHAnsi" w:cstheme="minorBidi"/>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3424E9"/>
    <w:rPr>
      <w:rFonts w:asciiTheme="minorHAnsi" w:eastAsiaTheme="minorEastAsia" w:hAnsiTheme="minorHAnsi" w:cstheme="minorBidi"/>
      <w:sz w:val="24"/>
      <w:szCs w:val="24"/>
      <w:lang w:val="fi-FI" w:eastAsia="zh-CN"/>
    </w:rPr>
  </w:style>
  <w:style w:type="character" w:customStyle="1" w:styleId="Heading2Char">
    <w:name w:val="Heading 2 Char"/>
    <w:basedOn w:val="DefaultParagraphFont"/>
    <w:link w:val="Heading2"/>
    <w:rsid w:val="005821A4"/>
    <w:rPr>
      <w:rFonts w:ascii="Arial" w:hAnsi="Arial"/>
      <w:sz w:val="32"/>
      <w:lang w:eastAsia="en-US"/>
    </w:rPr>
  </w:style>
  <w:style w:type="character" w:styleId="CommentReference">
    <w:name w:val="annotation reference"/>
    <w:basedOn w:val="DefaultParagraphFont"/>
    <w:rsid w:val="00C52648"/>
    <w:rPr>
      <w:sz w:val="16"/>
      <w:szCs w:val="16"/>
    </w:rPr>
  </w:style>
  <w:style w:type="paragraph" w:styleId="CommentText">
    <w:name w:val="annotation text"/>
    <w:basedOn w:val="Normal"/>
    <w:link w:val="CommentTextChar"/>
    <w:rsid w:val="00C52648"/>
  </w:style>
  <w:style w:type="character" w:customStyle="1" w:styleId="CommentTextChar">
    <w:name w:val="Comment Text Char"/>
    <w:basedOn w:val="DefaultParagraphFont"/>
    <w:link w:val="CommentText"/>
    <w:rsid w:val="00C52648"/>
    <w:rPr>
      <w:lang w:eastAsia="en-US"/>
    </w:rPr>
  </w:style>
  <w:style w:type="paragraph" w:styleId="CommentSubject">
    <w:name w:val="annotation subject"/>
    <w:basedOn w:val="CommentText"/>
    <w:next w:val="CommentText"/>
    <w:link w:val="CommentSubjectChar"/>
    <w:rsid w:val="00C52648"/>
    <w:rPr>
      <w:b/>
      <w:bCs/>
    </w:rPr>
  </w:style>
  <w:style w:type="character" w:customStyle="1" w:styleId="CommentSubjectChar">
    <w:name w:val="Comment Subject Char"/>
    <w:basedOn w:val="CommentTextChar"/>
    <w:link w:val="CommentSubject"/>
    <w:rsid w:val="00C52648"/>
    <w:rPr>
      <w:b/>
      <w:bCs/>
      <w:lang w:eastAsia="en-US"/>
    </w:rPr>
  </w:style>
  <w:style w:type="character" w:styleId="Emphasis">
    <w:name w:val="Emphasis"/>
    <w:basedOn w:val="DefaultParagraphFont"/>
    <w:qFormat/>
    <w:rsid w:val="00521EBA"/>
    <w:rPr>
      <w:i/>
      <w:iCs/>
    </w:rPr>
  </w:style>
  <w:style w:type="character" w:customStyle="1" w:styleId="PLChar">
    <w:name w:val="PL Char"/>
    <w:link w:val="PL"/>
    <w:qFormat/>
    <w:rsid w:val="00C66012"/>
    <w:rPr>
      <w:rFonts w:ascii="Courier New" w:hAnsi="Courier New"/>
      <w:noProof/>
      <w:sz w:val="16"/>
      <w:lang w:eastAsia="en-US"/>
    </w:rPr>
  </w:style>
  <w:style w:type="character" w:customStyle="1" w:styleId="B1Zchn">
    <w:name w:val="B1 Zchn"/>
    <w:basedOn w:val="DefaultParagraphFont"/>
    <w:link w:val="B1"/>
    <w:qFormat/>
    <w:rsid w:val="00F65950"/>
    <w:rPr>
      <w:lang w:eastAsia="en-US"/>
    </w:rPr>
  </w:style>
  <w:style w:type="character" w:customStyle="1" w:styleId="B2Char">
    <w:name w:val="B2 Char"/>
    <w:link w:val="B2"/>
    <w:qFormat/>
    <w:rsid w:val="00F65950"/>
    <w:rPr>
      <w:lang w:eastAsia="en-US"/>
    </w:rPr>
  </w:style>
  <w:style w:type="paragraph" w:styleId="NormalWeb">
    <w:name w:val="Normal (Web)"/>
    <w:basedOn w:val="Normal"/>
    <w:uiPriority w:val="99"/>
    <w:unhideWhenUsed/>
    <w:rsid w:val="007B7FF9"/>
    <w:pPr>
      <w:spacing w:before="100" w:beforeAutospacing="1" w:after="100" w:afterAutospacing="1"/>
    </w:pPr>
    <w:rPr>
      <w:rFonts w:eastAsia="Times New Roman"/>
      <w:sz w:val="24"/>
      <w:szCs w:val="24"/>
      <w:lang w:val="en-US"/>
    </w:rPr>
  </w:style>
  <w:style w:type="paragraph" w:customStyle="1" w:styleId="Doc-text2">
    <w:name w:val="Doc-text2"/>
    <w:basedOn w:val="Normal"/>
    <w:link w:val="Doc-text2Char"/>
    <w:qFormat/>
    <w:rsid w:val="00DD19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D19C2"/>
    <w:rPr>
      <w:rFonts w:ascii="Arial" w:eastAsia="MS Mincho" w:hAnsi="Arial"/>
      <w:szCs w:val="24"/>
    </w:rPr>
  </w:style>
  <w:style w:type="character" w:customStyle="1" w:styleId="Heading3Char">
    <w:name w:val="Heading 3 Char"/>
    <w:basedOn w:val="DefaultParagraphFont"/>
    <w:link w:val="Heading3"/>
    <w:rsid w:val="00C205B2"/>
    <w:rPr>
      <w:rFonts w:ascii="Arial" w:hAnsi="Arial"/>
      <w:sz w:val="28"/>
      <w:lang w:eastAsia="en-US"/>
    </w:rPr>
  </w:style>
  <w:style w:type="paragraph" w:styleId="Caption">
    <w:name w:val="caption"/>
    <w:basedOn w:val="Normal"/>
    <w:next w:val="Normal"/>
    <w:unhideWhenUsed/>
    <w:qFormat/>
    <w:rsid w:val="00C205B2"/>
    <w:pPr>
      <w:spacing w:after="200"/>
    </w:pPr>
    <w:rPr>
      <w:i/>
      <w:iCs/>
      <w:color w:val="44546A" w:themeColor="text2"/>
      <w:sz w:val="18"/>
      <w:szCs w:val="18"/>
    </w:rPr>
  </w:style>
  <w:style w:type="character" w:customStyle="1" w:styleId="normaltextrun">
    <w:name w:val="normaltextrun"/>
    <w:basedOn w:val="DefaultParagraphFont"/>
    <w:rsid w:val="00C205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9416">
      <w:bodyDiv w:val="1"/>
      <w:marLeft w:val="0"/>
      <w:marRight w:val="0"/>
      <w:marTop w:val="0"/>
      <w:marBottom w:val="0"/>
      <w:divBdr>
        <w:top w:val="none" w:sz="0" w:space="0" w:color="auto"/>
        <w:left w:val="none" w:sz="0" w:space="0" w:color="auto"/>
        <w:bottom w:val="none" w:sz="0" w:space="0" w:color="auto"/>
        <w:right w:val="none" w:sz="0" w:space="0" w:color="auto"/>
      </w:divBdr>
    </w:div>
    <w:div w:id="109590351">
      <w:bodyDiv w:val="1"/>
      <w:marLeft w:val="0"/>
      <w:marRight w:val="0"/>
      <w:marTop w:val="0"/>
      <w:marBottom w:val="0"/>
      <w:divBdr>
        <w:top w:val="none" w:sz="0" w:space="0" w:color="auto"/>
        <w:left w:val="none" w:sz="0" w:space="0" w:color="auto"/>
        <w:bottom w:val="none" w:sz="0" w:space="0" w:color="auto"/>
        <w:right w:val="none" w:sz="0" w:space="0" w:color="auto"/>
      </w:divBdr>
    </w:div>
    <w:div w:id="625357493">
      <w:bodyDiv w:val="1"/>
      <w:marLeft w:val="0"/>
      <w:marRight w:val="0"/>
      <w:marTop w:val="0"/>
      <w:marBottom w:val="0"/>
      <w:divBdr>
        <w:top w:val="none" w:sz="0" w:space="0" w:color="auto"/>
        <w:left w:val="none" w:sz="0" w:space="0" w:color="auto"/>
        <w:bottom w:val="none" w:sz="0" w:space="0" w:color="auto"/>
        <w:right w:val="none" w:sz="0" w:space="0" w:color="auto"/>
      </w:divBdr>
    </w:div>
    <w:div w:id="85485276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0061180">
      <w:bodyDiv w:val="1"/>
      <w:marLeft w:val="0"/>
      <w:marRight w:val="0"/>
      <w:marTop w:val="0"/>
      <w:marBottom w:val="0"/>
      <w:divBdr>
        <w:top w:val="none" w:sz="0" w:space="0" w:color="auto"/>
        <w:left w:val="none" w:sz="0" w:space="0" w:color="auto"/>
        <w:bottom w:val="none" w:sz="0" w:space="0" w:color="auto"/>
        <w:right w:val="none" w:sz="0" w:space="0" w:color="auto"/>
      </w:divBdr>
    </w:div>
    <w:div w:id="1179387217">
      <w:bodyDiv w:val="1"/>
      <w:marLeft w:val="0"/>
      <w:marRight w:val="0"/>
      <w:marTop w:val="0"/>
      <w:marBottom w:val="0"/>
      <w:divBdr>
        <w:top w:val="none" w:sz="0" w:space="0" w:color="auto"/>
        <w:left w:val="none" w:sz="0" w:space="0" w:color="auto"/>
        <w:bottom w:val="none" w:sz="0" w:space="0" w:color="auto"/>
        <w:right w:val="none" w:sz="0" w:space="0" w:color="auto"/>
      </w:divBdr>
      <w:divsChild>
        <w:div w:id="353960446">
          <w:marLeft w:val="1541"/>
          <w:marRight w:val="0"/>
          <w:marTop w:val="0"/>
          <w:marBottom w:val="120"/>
          <w:divBdr>
            <w:top w:val="none" w:sz="0" w:space="0" w:color="auto"/>
            <w:left w:val="none" w:sz="0" w:space="0" w:color="auto"/>
            <w:bottom w:val="none" w:sz="0" w:space="0" w:color="auto"/>
            <w:right w:val="none" w:sz="0" w:space="0" w:color="auto"/>
          </w:divBdr>
        </w:div>
        <w:div w:id="409620904">
          <w:marLeft w:val="1181"/>
          <w:marRight w:val="0"/>
          <w:marTop w:val="0"/>
          <w:marBottom w:val="120"/>
          <w:divBdr>
            <w:top w:val="none" w:sz="0" w:space="0" w:color="auto"/>
            <w:left w:val="none" w:sz="0" w:space="0" w:color="auto"/>
            <w:bottom w:val="none" w:sz="0" w:space="0" w:color="auto"/>
            <w:right w:val="none" w:sz="0" w:space="0" w:color="auto"/>
          </w:divBdr>
        </w:div>
        <w:div w:id="1080062292">
          <w:marLeft w:val="1181"/>
          <w:marRight w:val="0"/>
          <w:marTop w:val="0"/>
          <w:marBottom w:val="120"/>
          <w:divBdr>
            <w:top w:val="none" w:sz="0" w:space="0" w:color="auto"/>
            <w:left w:val="none" w:sz="0" w:space="0" w:color="auto"/>
            <w:bottom w:val="none" w:sz="0" w:space="0" w:color="auto"/>
            <w:right w:val="none" w:sz="0" w:space="0" w:color="auto"/>
          </w:divBdr>
        </w:div>
        <w:div w:id="1444960930">
          <w:marLeft w:val="806"/>
          <w:marRight w:val="0"/>
          <w:marTop w:val="0"/>
          <w:marBottom w:val="120"/>
          <w:divBdr>
            <w:top w:val="none" w:sz="0" w:space="0" w:color="auto"/>
            <w:left w:val="none" w:sz="0" w:space="0" w:color="auto"/>
            <w:bottom w:val="none" w:sz="0" w:space="0" w:color="auto"/>
            <w:right w:val="none" w:sz="0" w:space="0" w:color="auto"/>
          </w:divBdr>
        </w:div>
        <w:div w:id="1907304173">
          <w:marLeft w:val="1181"/>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9825748">
      <w:bodyDiv w:val="1"/>
      <w:marLeft w:val="0"/>
      <w:marRight w:val="0"/>
      <w:marTop w:val="0"/>
      <w:marBottom w:val="0"/>
      <w:divBdr>
        <w:top w:val="none" w:sz="0" w:space="0" w:color="auto"/>
        <w:left w:val="none" w:sz="0" w:space="0" w:color="auto"/>
        <w:bottom w:val="none" w:sz="0" w:space="0" w:color="auto"/>
        <w:right w:val="none" w:sz="0" w:space="0" w:color="auto"/>
      </w:divBdr>
    </w:div>
    <w:div w:id="1249771990">
      <w:bodyDiv w:val="1"/>
      <w:marLeft w:val="0"/>
      <w:marRight w:val="0"/>
      <w:marTop w:val="0"/>
      <w:marBottom w:val="0"/>
      <w:divBdr>
        <w:top w:val="none" w:sz="0" w:space="0" w:color="auto"/>
        <w:left w:val="none" w:sz="0" w:space="0" w:color="auto"/>
        <w:bottom w:val="none" w:sz="0" w:space="0" w:color="auto"/>
        <w:right w:val="none" w:sz="0" w:space="0" w:color="auto"/>
      </w:divBdr>
    </w:div>
    <w:div w:id="1459225323">
      <w:bodyDiv w:val="1"/>
      <w:marLeft w:val="0"/>
      <w:marRight w:val="0"/>
      <w:marTop w:val="0"/>
      <w:marBottom w:val="0"/>
      <w:divBdr>
        <w:top w:val="none" w:sz="0" w:space="0" w:color="auto"/>
        <w:left w:val="none" w:sz="0" w:space="0" w:color="auto"/>
        <w:bottom w:val="none" w:sz="0" w:space="0" w:color="auto"/>
        <w:right w:val="none" w:sz="0" w:space="0" w:color="auto"/>
      </w:divBdr>
      <w:divsChild>
        <w:div w:id="468283595">
          <w:marLeft w:val="446"/>
          <w:marRight w:val="0"/>
          <w:marTop w:val="0"/>
          <w:marBottom w:val="240"/>
          <w:divBdr>
            <w:top w:val="none" w:sz="0" w:space="0" w:color="auto"/>
            <w:left w:val="none" w:sz="0" w:space="0" w:color="auto"/>
            <w:bottom w:val="none" w:sz="0" w:space="0" w:color="auto"/>
            <w:right w:val="none" w:sz="0" w:space="0" w:color="auto"/>
          </w:divBdr>
        </w:div>
      </w:divsChild>
    </w:div>
    <w:div w:id="1574730927">
      <w:bodyDiv w:val="1"/>
      <w:marLeft w:val="0"/>
      <w:marRight w:val="0"/>
      <w:marTop w:val="0"/>
      <w:marBottom w:val="0"/>
      <w:divBdr>
        <w:top w:val="none" w:sz="0" w:space="0" w:color="auto"/>
        <w:left w:val="none" w:sz="0" w:space="0" w:color="auto"/>
        <w:bottom w:val="none" w:sz="0" w:space="0" w:color="auto"/>
        <w:right w:val="none" w:sz="0" w:space="0" w:color="auto"/>
      </w:divBdr>
    </w:div>
    <w:div w:id="1835997921">
      <w:bodyDiv w:val="1"/>
      <w:marLeft w:val="0"/>
      <w:marRight w:val="0"/>
      <w:marTop w:val="0"/>
      <w:marBottom w:val="0"/>
      <w:divBdr>
        <w:top w:val="none" w:sz="0" w:space="0" w:color="auto"/>
        <w:left w:val="none" w:sz="0" w:space="0" w:color="auto"/>
        <w:bottom w:val="none" w:sz="0" w:space="0" w:color="auto"/>
        <w:right w:val="none" w:sz="0" w:space="0" w:color="auto"/>
      </w:divBdr>
    </w:div>
    <w:div w:id="1836073863">
      <w:bodyDiv w:val="1"/>
      <w:marLeft w:val="0"/>
      <w:marRight w:val="0"/>
      <w:marTop w:val="0"/>
      <w:marBottom w:val="0"/>
      <w:divBdr>
        <w:top w:val="none" w:sz="0" w:space="0" w:color="auto"/>
        <w:left w:val="none" w:sz="0" w:space="0" w:color="auto"/>
        <w:bottom w:val="none" w:sz="0" w:space="0" w:color="auto"/>
        <w:right w:val="none" w:sz="0" w:space="0" w:color="auto"/>
      </w:divBdr>
    </w:div>
    <w:div w:id="190062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5AIRPNAIUNRU-859666464-12968</_dlc_DocId>
    <_dlc_DocIdUrl xmlns="71c5aaf6-e6ce-465b-b873-5148d2a4c105">
      <Url>https://nokia.sharepoint.com/sites/c5g/e2earch/_layouts/15/DocIdRedir.aspx?ID=5AIRPNAIUNRU-859666464-12968</Url>
      <Description>5AIRPNAIUNRU-859666464-12968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A9A439B-1B61-40B2-A2FD-1227F6659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9423DC9-18CD-4ED5-A2F9-F7065DFF7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2217</Words>
  <Characters>12638</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3</cp:revision>
  <dcterms:created xsi:type="dcterms:W3CDTF">2022-11-03T15:46:00Z</dcterms:created>
  <dcterms:modified xsi:type="dcterms:W3CDTF">2022-11-04T06:51:00Z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ba336296-04ef-49ce-a847-6a666acfb0d1</vt:lpwstr>
  </property>
  <property fmtid="{D5CDD505-2E9C-101B-9397-08002B2CF9AE}" pid="4" name="GrammarlyDocumentId">
    <vt:lpwstr>0fdfcba1040ad23c62a53a146db04eff9f311bc58077cbf0263fd2227663a1b0</vt:lpwstr>
  </property>
</Properties>
</file>