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1: gNB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2: gNB is expected to turn off its transmission / reception only for data traffic during Cell DTX / DRX OFF duration (i.e. gNB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Example 3: gNB is expected to turn off its dynamic transmission / reception during Cell DTX / DRX OFF duration (i.e. gNB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Example 4: gNB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gNB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gNB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Dynamic L1/L2 group signalling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b) or gNB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gNB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0137D5" w:rsidRPr="00CE0FE0" w14:paraId="73A0D0EA" w14:textId="77777777" w:rsidTr="004770A7">
        <w:trPr>
          <w:trHeight w:val="127"/>
        </w:trPr>
        <w:tc>
          <w:tcPr>
            <w:tcW w:w="1126" w:type="dxa"/>
            <w:shd w:val="clear" w:color="auto" w:fill="auto"/>
          </w:tcPr>
          <w:p w14:paraId="1658C6C2" w14:textId="77777777" w:rsidR="000137D5" w:rsidRPr="00F248B0" w:rsidRDefault="000137D5" w:rsidP="000137D5">
            <w:pPr>
              <w:spacing w:after="0"/>
              <w:rPr>
                <w:rFonts w:eastAsiaTheme="minorEastAsia"/>
                <w:bCs/>
                <w:lang w:eastAsia="zh-CN"/>
              </w:rPr>
            </w:pPr>
          </w:p>
        </w:tc>
        <w:tc>
          <w:tcPr>
            <w:tcW w:w="1846" w:type="dxa"/>
          </w:tcPr>
          <w:p w14:paraId="66CDC63C" w14:textId="77777777" w:rsidR="000137D5" w:rsidRPr="00F248B0" w:rsidRDefault="000137D5" w:rsidP="000137D5">
            <w:pPr>
              <w:spacing w:after="0"/>
              <w:rPr>
                <w:rFonts w:eastAsiaTheme="minorEastAsia"/>
                <w:bCs/>
                <w:lang w:eastAsia="zh-CN"/>
              </w:rPr>
            </w:pPr>
          </w:p>
        </w:tc>
        <w:tc>
          <w:tcPr>
            <w:tcW w:w="2835" w:type="dxa"/>
          </w:tcPr>
          <w:p w14:paraId="7F3AC9C1" w14:textId="77777777" w:rsidR="000137D5" w:rsidRPr="00CE0FE0" w:rsidRDefault="000137D5" w:rsidP="000137D5">
            <w:pPr>
              <w:spacing w:after="0"/>
              <w:rPr>
                <w:rFonts w:eastAsiaTheme="minorEastAsia"/>
                <w:bCs/>
                <w:lang w:eastAsia="zh-CN"/>
              </w:rPr>
            </w:pPr>
          </w:p>
        </w:tc>
        <w:tc>
          <w:tcPr>
            <w:tcW w:w="4049" w:type="dxa"/>
            <w:shd w:val="clear" w:color="auto" w:fill="auto"/>
          </w:tcPr>
          <w:p w14:paraId="0D5AE8C7" w14:textId="77777777" w:rsidR="000137D5" w:rsidRPr="00CE0FE0" w:rsidRDefault="000137D5" w:rsidP="000137D5">
            <w:pPr>
              <w:spacing w:after="0"/>
              <w:rPr>
                <w:rFonts w:eastAsiaTheme="minorEastAsia"/>
                <w:bCs/>
                <w:lang w:eastAsia="zh-CN"/>
              </w:rPr>
            </w:pPr>
          </w:p>
        </w:tc>
      </w:tr>
    </w:tbl>
    <w:p w14:paraId="159E745F" w14:textId="7B7B8ACE" w:rsidR="0019132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Periodic DTX is assumed as a baseline. The gNB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was captured in the agreement, not clear what it meant. The online discussion seemed to e related to NW behaviour (</w:t>
            </w:r>
            <w:r w:rsidRPr="00093134">
              <w:rPr>
                <w:rFonts w:eastAsiaTheme="minorEastAsia"/>
                <w:bCs/>
                <w:lang w:eastAsia="zh-CN"/>
              </w:rPr>
              <w:t>Proposal 7: RAN2 discuss whether to allow multiple expected gNB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D60329" w:rsidRPr="00CE0FE0" w14:paraId="6831E109" w14:textId="77777777" w:rsidTr="004B2D18">
        <w:trPr>
          <w:trHeight w:val="127"/>
        </w:trPr>
        <w:tc>
          <w:tcPr>
            <w:tcW w:w="1271" w:type="dxa"/>
            <w:shd w:val="clear" w:color="auto" w:fill="auto"/>
          </w:tcPr>
          <w:p w14:paraId="04D9EEF6" w14:textId="77777777" w:rsidR="00D60329" w:rsidRPr="00F248B0" w:rsidRDefault="00D60329" w:rsidP="00D60329">
            <w:pPr>
              <w:spacing w:after="0"/>
              <w:rPr>
                <w:rFonts w:eastAsiaTheme="minorEastAsia"/>
                <w:bCs/>
                <w:lang w:eastAsia="zh-CN"/>
              </w:rPr>
            </w:pPr>
          </w:p>
        </w:tc>
        <w:tc>
          <w:tcPr>
            <w:tcW w:w="4394" w:type="dxa"/>
          </w:tcPr>
          <w:p w14:paraId="37B0F4A3" w14:textId="77777777" w:rsidR="00D60329" w:rsidRPr="00F248B0" w:rsidRDefault="00D60329" w:rsidP="00D60329">
            <w:pPr>
              <w:spacing w:after="0"/>
              <w:rPr>
                <w:rFonts w:eastAsiaTheme="minorEastAsia"/>
                <w:bCs/>
                <w:lang w:eastAsia="zh-CN"/>
              </w:rPr>
            </w:pPr>
          </w:p>
        </w:tc>
        <w:tc>
          <w:tcPr>
            <w:tcW w:w="4191" w:type="dxa"/>
          </w:tcPr>
          <w:p w14:paraId="1AA5DD92" w14:textId="77777777" w:rsidR="00D60329" w:rsidRPr="00CE0FE0" w:rsidRDefault="00D60329" w:rsidP="00D60329">
            <w:pPr>
              <w:spacing w:after="0"/>
              <w:rPr>
                <w:rFonts w:eastAsiaTheme="minorEastAsia"/>
                <w:bCs/>
                <w:lang w:eastAsia="zh-CN"/>
              </w:rPr>
            </w:pPr>
          </w:p>
        </w:tc>
      </w:tr>
      <w:tr w:rsidR="00D60329" w:rsidRPr="00CE0FE0" w14:paraId="7743D49E" w14:textId="77777777" w:rsidTr="004B2D18">
        <w:trPr>
          <w:trHeight w:val="127"/>
        </w:trPr>
        <w:tc>
          <w:tcPr>
            <w:tcW w:w="1271" w:type="dxa"/>
            <w:shd w:val="clear" w:color="auto" w:fill="auto"/>
          </w:tcPr>
          <w:p w14:paraId="4B31CDCE" w14:textId="77777777" w:rsidR="00D60329" w:rsidRPr="00F248B0" w:rsidRDefault="00D60329" w:rsidP="00D60329">
            <w:pPr>
              <w:spacing w:after="0"/>
              <w:rPr>
                <w:rFonts w:eastAsiaTheme="minorEastAsia"/>
                <w:bCs/>
                <w:lang w:eastAsia="zh-CN"/>
              </w:rPr>
            </w:pPr>
          </w:p>
        </w:tc>
        <w:tc>
          <w:tcPr>
            <w:tcW w:w="4394" w:type="dxa"/>
          </w:tcPr>
          <w:p w14:paraId="50B140CF" w14:textId="77777777" w:rsidR="00D60329" w:rsidRPr="00F248B0" w:rsidRDefault="00D60329" w:rsidP="00D60329">
            <w:pPr>
              <w:spacing w:after="0"/>
              <w:rPr>
                <w:rFonts w:eastAsiaTheme="minorEastAsia"/>
                <w:bCs/>
                <w:lang w:eastAsia="zh-CN"/>
              </w:rPr>
            </w:pPr>
          </w:p>
        </w:tc>
        <w:tc>
          <w:tcPr>
            <w:tcW w:w="4191" w:type="dxa"/>
          </w:tcPr>
          <w:p w14:paraId="3B103165" w14:textId="77777777" w:rsidR="00D60329" w:rsidRPr="00CE0FE0" w:rsidRDefault="00D60329" w:rsidP="00D60329">
            <w:pPr>
              <w:spacing w:after="0"/>
              <w:rPr>
                <w:rFonts w:eastAsiaTheme="minorEastAsia"/>
                <w:bCs/>
                <w:lang w:eastAsia="zh-CN"/>
              </w:rPr>
            </w:pPr>
          </w:p>
        </w:tc>
      </w:tr>
    </w:tbl>
    <w:p w14:paraId="60073AFA" w14:textId="77777777" w:rsidR="00337B72"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Example 1: gNB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2: gNB is expected to turn off its transmission / reception only for data traffic during Cell DTX / DRX OFF duration (i.e. gNB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Example 3: gNB is expected to turn off its dynamic transmission / reception during Cell DTX / DRX OFF duration (i.e. gNB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Example 4: gNB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RAN2 assumes that the options above are possible for gNB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gNB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Dynamic L1/L2 group signalling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lastRenderedPageBreak/>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0137D5" w:rsidRPr="00CE0FE0" w14:paraId="245552FD" w14:textId="77777777" w:rsidTr="00D30FE2">
        <w:trPr>
          <w:trHeight w:val="127"/>
        </w:trPr>
        <w:tc>
          <w:tcPr>
            <w:tcW w:w="1555" w:type="dxa"/>
            <w:shd w:val="clear" w:color="auto" w:fill="auto"/>
          </w:tcPr>
          <w:p w14:paraId="3D005A21" w14:textId="77777777" w:rsidR="000137D5" w:rsidRPr="00F248B0" w:rsidRDefault="000137D5" w:rsidP="000137D5">
            <w:pPr>
              <w:spacing w:after="0"/>
              <w:rPr>
                <w:rFonts w:eastAsiaTheme="minorEastAsia"/>
                <w:bCs/>
                <w:lang w:eastAsia="zh-CN"/>
              </w:rPr>
            </w:pPr>
          </w:p>
        </w:tc>
        <w:tc>
          <w:tcPr>
            <w:tcW w:w="1559" w:type="dxa"/>
          </w:tcPr>
          <w:p w14:paraId="518E86F8" w14:textId="77777777" w:rsidR="000137D5" w:rsidRPr="00F248B0" w:rsidRDefault="000137D5" w:rsidP="000137D5">
            <w:pPr>
              <w:spacing w:after="0"/>
              <w:rPr>
                <w:rFonts w:eastAsiaTheme="minorEastAsia"/>
                <w:bCs/>
                <w:lang w:eastAsia="zh-CN"/>
              </w:rPr>
            </w:pPr>
          </w:p>
        </w:tc>
        <w:tc>
          <w:tcPr>
            <w:tcW w:w="6742" w:type="dxa"/>
          </w:tcPr>
          <w:p w14:paraId="63DCAFE8" w14:textId="77777777" w:rsidR="000137D5" w:rsidRPr="00CE0FE0" w:rsidRDefault="000137D5" w:rsidP="000137D5">
            <w:pPr>
              <w:spacing w:after="0"/>
              <w:rPr>
                <w:rFonts w:eastAsiaTheme="minorEastAsia"/>
                <w:bCs/>
                <w:lang w:eastAsia="zh-CN"/>
              </w:rPr>
            </w:pP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gNB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NES gain will be maximized when the gNB turns off the functionalities as much as possible. Then, multiple configurations or separate DTX&amp;DRX seems not necessary. NW may have multiple NES options, but one configuration is sufficient at a time for a UE.</w:t>
            </w:r>
          </w:p>
        </w:tc>
      </w:tr>
      <w:tr w:rsidR="000137D5" w:rsidRPr="00CE0FE0" w14:paraId="70DD5B86" w14:textId="77777777" w:rsidTr="00D30FE2">
        <w:trPr>
          <w:trHeight w:val="127"/>
        </w:trPr>
        <w:tc>
          <w:tcPr>
            <w:tcW w:w="1555" w:type="dxa"/>
            <w:shd w:val="clear" w:color="auto" w:fill="auto"/>
          </w:tcPr>
          <w:p w14:paraId="5C204628" w14:textId="77777777" w:rsidR="000137D5" w:rsidRPr="00F248B0" w:rsidRDefault="000137D5" w:rsidP="000137D5">
            <w:pPr>
              <w:spacing w:after="0"/>
              <w:rPr>
                <w:rFonts w:eastAsiaTheme="minorEastAsia"/>
                <w:bCs/>
                <w:lang w:eastAsia="zh-CN"/>
              </w:rPr>
            </w:pPr>
          </w:p>
        </w:tc>
        <w:tc>
          <w:tcPr>
            <w:tcW w:w="1559" w:type="dxa"/>
          </w:tcPr>
          <w:p w14:paraId="5D304445" w14:textId="77777777" w:rsidR="000137D5" w:rsidRPr="00F248B0" w:rsidRDefault="000137D5" w:rsidP="000137D5">
            <w:pPr>
              <w:spacing w:after="0"/>
              <w:rPr>
                <w:rFonts w:eastAsiaTheme="minorEastAsia"/>
                <w:bCs/>
                <w:lang w:eastAsia="zh-CN"/>
              </w:rPr>
            </w:pPr>
          </w:p>
        </w:tc>
        <w:tc>
          <w:tcPr>
            <w:tcW w:w="6742" w:type="dxa"/>
          </w:tcPr>
          <w:p w14:paraId="1FB7FFCF" w14:textId="77777777" w:rsidR="000137D5" w:rsidRPr="00CE0FE0" w:rsidRDefault="000137D5" w:rsidP="000137D5">
            <w:pPr>
              <w:spacing w:after="0"/>
              <w:rPr>
                <w:rFonts w:eastAsiaTheme="minorEastAsia"/>
                <w:bCs/>
                <w:lang w:eastAsia="zh-CN"/>
              </w:rPr>
            </w:pPr>
          </w:p>
        </w:tc>
      </w:tr>
    </w:tbl>
    <w:p w14:paraId="46287C3F" w14:textId="77777777" w:rsidR="00D30FE2" w:rsidRDefault="00D30FE2" w:rsidP="00F90980">
      <w:pPr>
        <w:rPr>
          <w:rFonts w:eastAsiaTheme="minorEastAsia"/>
          <w:lang w:val="en-GB"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gNB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the scenarios where DTX/DRX is already configured and the gNB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lastRenderedPageBreak/>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scenarios where DTX/DRX is already configured and the gNB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lastRenderedPageBreak/>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0137D5" w:rsidRPr="00CE0FE0" w14:paraId="25ED06ED" w14:textId="77777777" w:rsidTr="00D30FE2">
        <w:trPr>
          <w:trHeight w:val="127"/>
        </w:trPr>
        <w:tc>
          <w:tcPr>
            <w:tcW w:w="1555" w:type="dxa"/>
            <w:shd w:val="clear" w:color="auto" w:fill="auto"/>
          </w:tcPr>
          <w:p w14:paraId="44527594" w14:textId="77777777" w:rsidR="000137D5" w:rsidRPr="00F248B0" w:rsidRDefault="000137D5" w:rsidP="000137D5">
            <w:pPr>
              <w:spacing w:after="0"/>
              <w:rPr>
                <w:rFonts w:eastAsiaTheme="minorEastAsia"/>
                <w:bCs/>
                <w:lang w:eastAsia="zh-CN"/>
              </w:rPr>
            </w:pPr>
          </w:p>
        </w:tc>
        <w:tc>
          <w:tcPr>
            <w:tcW w:w="1559" w:type="dxa"/>
          </w:tcPr>
          <w:p w14:paraId="2A757B58" w14:textId="77777777" w:rsidR="000137D5" w:rsidRPr="00F248B0" w:rsidRDefault="000137D5" w:rsidP="000137D5">
            <w:pPr>
              <w:spacing w:after="0"/>
              <w:rPr>
                <w:rFonts w:eastAsiaTheme="minorEastAsia"/>
                <w:bCs/>
                <w:lang w:eastAsia="zh-CN"/>
              </w:rPr>
            </w:pPr>
          </w:p>
        </w:tc>
        <w:tc>
          <w:tcPr>
            <w:tcW w:w="6742" w:type="dxa"/>
          </w:tcPr>
          <w:p w14:paraId="7809AADE" w14:textId="77777777" w:rsidR="000137D5" w:rsidRPr="00CE0FE0" w:rsidRDefault="000137D5" w:rsidP="000137D5">
            <w:pPr>
              <w:spacing w:after="0"/>
              <w:rPr>
                <w:rFonts w:eastAsiaTheme="minorEastAsia"/>
                <w:bCs/>
                <w:lang w:eastAsia="zh-CN"/>
              </w:rPr>
            </w:pP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#2 UE behaviour and gNB behavior</w:t>
      </w:r>
    </w:p>
    <w:p w14:paraId="3A58D454" w14:textId="0598B427" w:rsidR="00F90980" w:rsidRDefault="00F90980" w:rsidP="00F90980">
      <w:pPr>
        <w:rPr>
          <w:lang w:val="en-GB"/>
        </w:rPr>
      </w:pPr>
      <w:r w:rsidRPr="00E63F29">
        <w:rPr>
          <w:lang w:val="en-GB"/>
        </w:rPr>
        <w:t>There are 4 examples agreed for DTX/DRX. It would be good that for each example, the detailed UE and gNB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rom gNB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gNB/UE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0137D5" w:rsidRPr="00CE0FE0" w14:paraId="29CB2424" w14:textId="77777777" w:rsidTr="00D30FE2">
        <w:trPr>
          <w:trHeight w:val="127"/>
        </w:trPr>
        <w:tc>
          <w:tcPr>
            <w:tcW w:w="1555" w:type="dxa"/>
            <w:shd w:val="clear" w:color="auto" w:fill="auto"/>
          </w:tcPr>
          <w:p w14:paraId="2BBC01E2" w14:textId="77777777" w:rsidR="000137D5" w:rsidRPr="00F248B0" w:rsidRDefault="000137D5" w:rsidP="000137D5">
            <w:pPr>
              <w:spacing w:after="0"/>
              <w:rPr>
                <w:rFonts w:eastAsiaTheme="minorEastAsia"/>
                <w:bCs/>
                <w:lang w:eastAsia="zh-CN"/>
              </w:rPr>
            </w:pPr>
          </w:p>
        </w:tc>
        <w:tc>
          <w:tcPr>
            <w:tcW w:w="1559" w:type="dxa"/>
          </w:tcPr>
          <w:p w14:paraId="66A10D5F" w14:textId="77777777" w:rsidR="000137D5" w:rsidRPr="00F248B0" w:rsidRDefault="000137D5" w:rsidP="000137D5">
            <w:pPr>
              <w:spacing w:after="0"/>
              <w:rPr>
                <w:rFonts w:eastAsiaTheme="minorEastAsia"/>
                <w:bCs/>
                <w:lang w:eastAsia="zh-CN"/>
              </w:rPr>
            </w:pPr>
          </w:p>
        </w:tc>
        <w:tc>
          <w:tcPr>
            <w:tcW w:w="6742" w:type="dxa"/>
          </w:tcPr>
          <w:p w14:paraId="4B8AE049" w14:textId="77777777" w:rsidR="000137D5" w:rsidRPr="00CE0FE0" w:rsidRDefault="000137D5" w:rsidP="000137D5">
            <w:pPr>
              <w:spacing w:after="0"/>
              <w:rPr>
                <w:rFonts w:eastAsiaTheme="minorEastAsia"/>
                <w:bCs/>
                <w:lang w:eastAsia="zh-CN"/>
              </w:rPr>
            </w:pPr>
          </w:p>
        </w:tc>
      </w:tr>
    </w:tbl>
    <w:p w14:paraId="500D59B6" w14:textId="77777777" w:rsidR="00F90980" w:rsidRDefault="00F90980" w:rsidP="00F90980">
      <w:pPr>
        <w:rPr>
          <w:rFonts w:eastAsiaTheme="minorEastAsia"/>
          <w:lang w:val="en-GB"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5C5D18">
      <w:pPr>
        <w:pStyle w:val="ListParagraph"/>
        <w:numPr>
          <w:ilvl w:val="0"/>
          <w:numId w:val="17"/>
        </w:numPr>
        <w:ind w:firstLineChars="0"/>
      </w:pPr>
      <w:r w:rsidRPr="00A51898">
        <w:rPr>
          <w:rFonts w:eastAsiaTheme="minorEastAsia"/>
          <w:lang w:val="en-GB" w:eastAsia="zh-CN"/>
        </w:rPr>
        <w:t>Whether/how to align UE DRX with network DTX, including UE transmission/reception behavior during DTX</w:t>
      </w:r>
      <w:bookmarkStart w:id="1" w:name="_GoBack"/>
      <w:bookmarkEnd w:id="1"/>
    </w:p>
    <w:p w14:paraId="64BD9654" w14:textId="057289BF" w:rsidR="00F90980" w:rsidRDefault="00F90980" w:rsidP="005C5D18">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0137D5" w:rsidRPr="00CE0FE0" w14:paraId="5C57C5D7" w14:textId="77777777" w:rsidTr="00D30FE2">
        <w:trPr>
          <w:trHeight w:val="127"/>
        </w:trPr>
        <w:tc>
          <w:tcPr>
            <w:tcW w:w="1555" w:type="dxa"/>
            <w:shd w:val="clear" w:color="auto" w:fill="auto"/>
          </w:tcPr>
          <w:p w14:paraId="61944C88" w14:textId="77777777" w:rsidR="000137D5" w:rsidRPr="00F248B0" w:rsidRDefault="000137D5" w:rsidP="000137D5">
            <w:pPr>
              <w:spacing w:after="0"/>
              <w:rPr>
                <w:rFonts w:eastAsiaTheme="minorEastAsia"/>
                <w:bCs/>
                <w:lang w:eastAsia="zh-CN"/>
              </w:rPr>
            </w:pPr>
          </w:p>
        </w:tc>
        <w:tc>
          <w:tcPr>
            <w:tcW w:w="1559" w:type="dxa"/>
          </w:tcPr>
          <w:p w14:paraId="1148DE71" w14:textId="77777777" w:rsidR="000137D5" w:rsidRPr="00F248B0" w:rsidRDefault="000137D5" w:rsidP="000137D5">
            <w:pPr>
              <w:spacing w:after="0"/>
              <w:rPr>
                <w:rFonts w:eastAsiaTheme="minorEastAsia"/>
                <w:bCs/>
                <w:lang w:eastAsia="zh-CN"/>
              </w:rPr>
            </w:pPr>
          </w:p>
        </w:tc>
        <w:tc>
          <w:tcPr>
            <w:tcW w:w="6742" w:type="dxa"/>
          </w:tcPr>
          <w:p w14:paraId="338A5125" w14:textId="77777777" w:rsidR="000137D5" w:rsidRPr="00CE0FE0" w:rsidRDefault="000137D5" w:rsidP="000137D5">
            <w:pPr>
              <w:spacing w:after="0"/>
              <w:rPr>
                <w:rFonts w:eastAsiaTheme="minorEastAsia"/>
                <w:bCs/>
                <w:lang w:eastAsia="zh-CN"/>
              </w:rPr>
            </w:pPr>
          </w:p>
        </w:tc>
      </w:tr>
    </w:tbl>
    <w:p w14:paraId="15A7123A" w14:textId="541B23EA" w:rsidR="00F90980"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lastRenderedPageBreak/>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9C332" w14:textId="77777777" w:rsidR="00AF4A67" w:rsidRDefault="00AF4A67">
      <w:r>
        <w:separator/>
      </w:r>
    </w:p>
    <w:p w14:paraId="0D023F1E" w14:textId="77777777" w:rsidR="00AF4A67" w:rsidRDefault="00AF4A67"/>
  </w:endnote>
  <w:endnote w:type="continuationSeparator" w:id="0">
    <w:p w14:paraId="5D212026" w14:textId="77777777" w:rsidR="00AF4A67" w:rsidRDefault="00AF4A67">
      <w:r>
        <w:continuationSeparator/>
      </w:r>
    </w:p>
    <w:p w14:paraId="5ADB4A37" w14:textId="77777777" w:rsidR="00AF4A67" w:rsidRDefault="00AF4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B530E" w14:textId="77777777" w:rsidR="00AF4A67" w:rsidRDefault="00AF4A67">
      <w:r>
        <w:separator/>
      </w:r>
    </w:p>
    <w:p w14:paraId="038DE601" w14:textId="77777777" w:rsidR="00AF4A67" w:rsidRDefault="00AF4A67"/>
  </w:footnote>
  <w:footnote w:type="continuationSeparator" w:id="0">
    <w:p w14:paraId="7DC13AB9" w14:textId="77777777" w:rsidR="00AF4A67" w:rsidRDefault="00AF4A67">
      <w:r>
        <w:continuationSeparator/>
      </w:r>
    </w:p>
    <w:p w14:paraId="78F6C8B5" w14:textId="77777777" w:rsidR="00AF4A67" w:rsidRDefault="00AF4A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12B3" w14:textId="77777777" w:rsidR="00D30FE2" w:rsidRDefault="00D30FE2"/>
  <w:p w14:paraId="11C851D8" w14:textId="77777777" w:rsidR="00D30FE2" w:rsidRDefault="00D30F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3C07" w14:textId="5D0711BD" w:rsidR="00D30FE2" w:rsidRDefault="00D30FE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0137D5">
      <w:rPr>
        <w:rFonts w:ascii="Arial" w:hAnsi="Arial" w:cs="Arial"/>
        <w:b/>
        <w:bCs/>
        <w:noProof/>
        <w:sz w:val="18"/>
      </w:rPr>
      <w:t>5</w:t>
    </w:r>
    <w:r>
      <w:rPr>
        <w:rFonts w:ascii="Arial" w:hAnsi="Arial" w:cs="Arial"/>
        <w:b/>
        <w:bCs/>
        <w:sz w:val="18"/>
      </w:rPr>
      <w:fldChar w:fldCharType="end"/>
    </w:r>
  </w:p>
  <w:p w14:paraId="4653D034" w14:textId="77777777" w:rsidR="00D30FE2" w:rsidRDefault="00D30FE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9"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6C1E1B12"/>
    <w:multiLevelType w:val="hybridMultilevel"/>
    <w:tmpl w:val="6C6E4252"/>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8"/>
  </w:num>
  <w:num w:numId="4">
    <w:abstractNumId w:val="0"/>
  </w:num>
  <w:num w:numId="5">
    <w:abstractNumId w:val="11"/>
  </w:num>
  <w:num w:numId="6">
    <w:abstractNumId w:val="12"/>
  </w:num>
  <w:num w:numId="7">
    <w:abstractNumId w:val="5"/>
  </w:num>
  <w:num w:numId="8">
    <w:abstractNumId w:val="16"/>
  </w:num>
  <w:num w:numId="9">
    <w:abstractNumId w:val="7"/>
  </w:num>
  <w:num w:numId="10">
    <w:abstractNumId w:val="6"/>
  </w:num>
  <w:num w:numId="11">
    <w:abstractNumId w:val="3"/>
  </w:num>
  <w:num w:numId="12">
    <w:abstractNumId w:val="20"/>
  </w:num>
  <w:num w:numId="13">
    <w:abstractNumId w:val="10"/>
  </w:num>
  <w:num w:numId="14">
    <w:abstractNumId w:val="17"/>
  </w:num>
  <w:num w:numId="15">
    <w:abstractNumId w:val="18"/>
  </w:num>
  <w:num w:numId="16">
    <w:abstractNumId w:val="14"/>
  </w:num>
  <w:num w:numId="17">
    <w:abstractNumId w:val="25"/>
  </w:num>
  <w:num w:numId="18">
    <w:abstractNumId w:val="4"/>
  </w:num>
  <w:num w:numId="19">
    <w:abstractNumId w:val="21"/>
  </w:num>
  <w:num w:numId="20">
    <w:abstractNumId w:val="26"/>
  </w:num>
  <w:num w:numId="21">
    <w:abstractNumId w:val="2"/>
  </w:num>
  <w:num w:numId="22">
    <w:abstractNumId w:val="31"/>
  </w:num>
  <w:num w:numId="23">
    <w:abstractNumId w:val="13"/>
  </w:num>
  <w:num w:numId="24">
    <w:abstractNumId w:val="29"/>
  </w:num>
  <w:num w:numId="25">
    <w:abstractNumId w:val="8"/>
  </w:num>
  <w:num w:numId="26">
    <w:abstractNumId w:val="19"/>
  </w:num>
  <w:num w:numId="27">
    <w:abstractNumId w:val="24"/>
  </w:num>
  <w:num w:numId="28">
    <w:abstractNumId w:val="9"/>
  </w:num>
  <w:num w:numId="29">
    <w:abstractNumId w:val="22"/>
  </w:num>
  <w:num w:numId="30">
    <w:abstractNumId w:val="1"/>
  </w:num>
  <w:num w:numId="31">
    <w:abstractNumId w:val="27"/>
  </w:num>
  <w:num w:numId="32">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6B0"/>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맑은 고딕" w:hAnsi="Calibri" w:cs="바탕"/>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맑은 고딕" w:hAnsi="Calibri" w:cs="바탕"/>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93CF-387E-4AFF-A256-7A35DE9ED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14105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Samsung - Sangkyu Baek</cp:lastModifiedBy>
  <cp:revision>16</cp:revision>
  <cp:lastPrinted>2017-03-22T08:13:00Z</cp:lastPrinted>
  <dcterms:created xsi:type="dcterms:W3CDTF">2022-10-18T08:05:00Z</dcterms:created>
  <dcterms:modified xsi:type="dcterms:W3CDTF">2022-10-18T14:41:00Z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ies>
</file>