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68519" w14:textId="6061CF7D"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A70F44">
        <w:rPr>
          <w:rFonts w:ascii="Arial" w:hAnsi="Arial" w:cs="Arial"/>
          <w:b/>
          <w:bCs/>
          <w:sz w:val="24"/>
          <w:lang w:val="en-US"/>
        </w:rPr>
        <w:t>9</w:t>
      </w:r>
      <w:r w:rsidR="00FE3F2A">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102BA71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B4066C">
        <w:rPr>
          <w:rFonts w:ascii="Arial" w:hAnsi="Arial" w:cs="Arial"/>
          <w:b/>
          <w:bCs/>
          <w:sz w:val="24"/>
          <w:lang w:val="en-US"/>
        </w:rPr>
        <w:t>1</w:t>
      </w:r>
      <w:r w:rsidR="00FE3F2A">
        <w:rPr>
          <w:rFonts w:ascii="Arial" w:hAnsi="Arial" w:cs="Arial"/>
          <w:b/>
          <w:bCs/>
          <w:sz w:val="24"/>
          <w:lang w:val="en-US"/>
        </w:rPr>
        <w:t>0</w:t>
      </w:r>
      <w:r w:rsidR="00372858" w:rsidRPr="00372858">
        <w:rPr>
          <w:rFonts w:ascii="Arial" w:hAnsi="Arial" w:cs="Arial"/>
          <w:b/>
          <w:bCs/>
          <w:sz w:val="24"/>
          <w:vertAlign w:val="superscript"/>
          <w:lang w:val="en-US"/>
        </w:rPr>
        <w:t>th</w:t>
      </w:r>
      <w:r w:rsidR="00372858">
        <w:rPr>
          <w:rFonts w:ascii="Arial" w:hAnsi="Arial" w:cs="Arial"/>
          <w:b/>
          <w:bCs/>
          <w:sz w:val="24"/>
          <w:lang w:val="en-US"/>
        </w:rPr>
        <w:t xml:space="preserve"> </w:t>
      </w:r>
      <w:r w:rsidRPr="16DA9373">
        <w:rPr>
          <w:rFonts w:ascii="Arial" w:hAnsi="Arial" w:cs="Arial"/>
          <w:b/>
          <w:bCs/>
          <w:sz w:val="24"/>
          <w:lang w:val="en-US"/>
        </w:rPr>
        <w:t>–</w:t>
      </w:r>
      <w:r w:rsidR="00034900" w:rsidRPr="16DA9373">
        <w:rPr>
          <w:rFonts w:ascii="Arial" w:hAnsi="Arial" w:cs="Arial"/>
          <w:b/>
          <w:bCs/>
          <w:sz w:val="24"/>
          <w:lang w:val="en-US"/>
        </w:rPr>
        <w:t xml:space="preserve"> </w:t>
      </w:r>
      <w:r w:rsidR="00FE3F2A">
        <w:rPr>
          <w:rFonts w:ascii="Arial" w:hAnsi="Arial" w:cs="Arial"/>
          <w:b/>
          <w:bCs/>
          <w:sz w:val="24"/>
          <w:lang w:val="en-US"/>
        </w:rPr>
        <w:t>1</w:t>
      </w:r>
      <w:r w:rsidR="00B4066C">
        <w:rPr>
          <w:rFonts w:ascii="Arial" w:hAnsi="Arial" w:cs="Arial"/>
          <w:b/>
          <w:bCs/>
          <w:sz w:val="24"/>
          <w:lang w:val="en-US"/>
        </w:rPr>
        <w:t>9</w:t>
      </w:r>
      <w:r w:rsidR="00164FD0" w:rsidRPr="00164FD0">
        <w:rPr>
          <w:rFonts w:ascii="Arial" w:hAnsi="Arial" w:cs="Arial"/>
          <w:b/>
          <w:bCs/>
          <w:sz w:val="24"/>
          <w:vertAlign w:val="superscript"/>
          <w:lang w:val="en-US"/>
        </w:rPr>
        <w:t>th</w:t>
      </w:r>
      <w:r w:rsidR="00164FD0">
        <w:rPr>
          <w:rFonts w:ascii="Arial" w:hAnsi="Arial" w:cs="Arial"/>
          <w:b/>
          <w:bCs/>
          <w:sz w:val="24"/>
          <w:lang w:val="en-US"/>
        </w:rPr>
        <w:t xml:space="preserve"> </w:t>
      </w:r>
      <w:r w:rsidR="00FE3F2A">
        <w:rPr>
          <w:rFonts w:ascii="Arial" w:hAnsi="Arial" w:cs="Arial"/>
          <w:b/>
          <w:bCs/>
          <w:sz w:val="24"/>
          <w:lang w:val="en-US"/>
        </w:rPr>
        <w:t>October</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3071D" w:rsidRDefault="00700715" w:rsidP="00700715">
      <w:pPr>
        <w:pStyle w:val="Header"/>
        <w:widowControl w:val="0"/>
        <w:tabs>
          <w:tab w:val="right" w:pos="8280"/>
          <w:tab w:val="right" w:pos="9781"/>
        </w:tabs>
        <w:spacing w:after="0"/>
        <w:ind w:right="-58"/>
        <w:rPr>
          <w:rFonts w:ascii="Arial" w:eastAsia="MS Mincho" w:hAnsi="Arial" w:cs="Arial"/>
          <w:b/>
          <w:bCs/>
          <w:sz w:val="24"/>
          <w:lang w:val="en-US" w:eastAsia="ja-JP"/>
        </w:rPr>
      </w:pPr>
    </w:p>
    <w:p w14:paraId="435F2558" w14:textId="52AB297A"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A70F44">
        <w:rPr>
          <w:rFonts w:ascii="Arial" w:hAnsi="Arial" w:cs="Arial"/>
          <w:b/>
          <w:bCs/>
          <w:sz w:val="24"/>
          <w:lang w:val="en-US"/>
        </w:rPr>
        <w:t>6</w:t>
      </w:r>
      <w:r w:rsidR="00EF2274" w:rsidRPr="1BD5A43E">
        <w:rPr>
          <w:rFonts w:ascii="Arial" w:hAnsi="Arial" w:cs="Arial"/>
          <w:b/>
          <w:bCs/>
          <w:sz w:val="24"/>
          <w:lang w:val="en-US"/>
        </w:rPr>
        <w:t>.</w:t>
      </w:r>
      <w:r w:rsidR="00A70F44">
        <w:rPr>
          <w:rFonts w:ascii="Arial" w:hAnsi="Arial" w:cs="Arial"/>
          <w:b/>
          <w:bCs/>
          <w:sz w:val="24"/>
          <w:lang w:val="en-US"/>
        </w:rPr>
        <w:t>0</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5DCAAAC0" w14:textId="1C42CA28" w:rsidR="00F2740F" w:rsidRDefault="00700715" w:rsidP="00D357C8">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D357C8" w:rsidRPr="00D357C8">
        <w:rPr>
          <w:rFonts w:ascii="Arial" w:hAnsi="Arial" w:cs="Arial"/>
          <w:b/>
          <w:bCs/>
          <w:sz w:val="24"/>
          <w:lang w:val="en-US"/>
        </w:rPr>
        <w:t>[AT11</w:t>
      </w:r>
      <w:r w:rsidR="00A70F44">
        <w:rPr>
          <w:rFonts w:ascii="Arial" w:hAnsi="Arial" w:cs="Arial"/>
          <w:b/>
          <w:bCs/>
          <w:sz w:val="24"/>
          <w:lang w:val="en-US"/>
        </w:rPr>
        <w:t>9</w:t>
      </w:r>
      <w:r w:rsidR="00B50A6A">
        <w:rPr>
          <w:rFonts w:ascii="Arial" w:hAnsi="Arial" w:cs="Arial"/>
          <w:b/>
          <w:bCs/>
          <w:sz w:val="24"/>
          <w:lang w:val="en-US"/>
        </w:rPr>
        <w:t>b</w:t>
      </w:r>
      <w:r w:rsidR="00D357C8" w:rsidRPr="00D357C8">
        <w:rPr>
          <w:rFonts w:ascii="Arial" w:hAnsi="Arial" w:cs="Arial"/>
          <w:b/>
          <w:bCs/>
          <w:sz w:val="24"/>
          <w:lang w:val="en-US"/>
        </w:rPr>
        <w:t>-</w:t>
      </w:r>
      <w:proofErr w:type="gramStart"/>
      <w:r w:rsidR="00D357C8" w:rsidRPr="00D357C8">
        <w:rPr>
          <w:rFonts w:ascii="Arial" w:hAnsi="Arial" w:cs="Arial"/>
          <w:b/>
          <w:bCs/>
          <w:sz w:val="24"/>
          <w:lang w:val="en-US"/>
        </w:rPr>
        <w:t>e][</w:t>
      </w:r>
      <w:proofErr w:type="gramEnd"/>
      <w:r w:rsidR="000565EB">
        <w:rPr>
          <w:rFonts w:ascii="Arial" w:hAnsi="Arial" w:cs="Arial"/>
          <w:b/>
          <w:bCs/>
          <w:sz w:val="24"/>
          <w:lang w:val="en-US"/>
        </w:rPr>
        <w:t>004</w:t>
      </w:r>
      <w:r w:rsidR="00D357C8" w:rsidRPr="00D357C8">
        <w:rPr>
          <w:rFonts w:ascii="Arial" w:hAnsi="Arial" w:cs="Arial"/>
          <w:b/>
          <w:bCs/>
          <w:sz w:val="24"/>
          <w:lang w:val="en-US"/>
        </w:rPr>
        <w:t>][</w:t>
      </w:r>
      <w:r w:rsidR="00E47E22">
        <w:rPr>
          <w:rFonts w:ascii="Arial" w:hAnsi="Arial" w:cs="Arial"/>
          <w:b/>
          <w:bCs/>
          <w:sz w:val="24"/>
          <w:lang w:val="en-US"/>
        </w:rPr>
        <w:t>NR17</w:t>
      </w:r>
      <w:r w:rsidR="00D357C8" w:rsidRPr="00D357C8">
        <w:rPr>
          <w:rFonts w:ascii="Arial" w:hAnsi="Arial" w:cs="Arial"/>
          <w:b/>
          <w:bCs/>
          <w:sz w:val="24"/>
          <w:lang w:val="en-US"/>
        </w:rPr>
        <w:t>] UE cap</w:t>
      </w:r>
      <w:r w:rsidR="003D46D3">
        <w:rPr>
          <w:rFonts w:ascii="Arial" w:hAnsi="Arial" w:cs="Arial"/>
          <w:b/>
          <w:bCs/>
          <w:sz w:val="24"/>
          <w:lang w:val="en-US"/>
        </w:rPr>
        <w:t>s Main</w:t>
      </w:r>
      <w:r w:rsidR="00D357C8" w:rsidRPr="00D357C8">
        <w:rPr>
          <w:rFonts w:ascii="Arial" w:hAnsi="Arial" w:cs="Arial"/>
          <w:b/>
          <w:bCs/>
          <w:sz w:val="24"/>
          <w:lang w:val="en-US"/>
        </w:rPr>
        <w:t xml:space="preserve"> (Intel)</w:t>
      </w:r>
    </w:p>
    <w:p w14:paraId="41B4F9BD" w14:textId="3E765C96" w:rsidR="00700715" w:rsidRPr="0099619E" w:rsidRDefault="00700715" w:rsidP="00D357C8">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1267E2EA" w:rsidR="00D03EF8" w:rsidRDefault="00D03EF8" w:rsidP="00D03EF8">
      <w:pPr>
        <w:rPr>
          <w:rFonts w:ascii="Times New Roman" w:hAnsi="Times New Roman"/>
        </w:rPr>
      </w:pPr>
      <w:r w:rsidRPr="00783B27">
        <w:rPr>
          <w:rFonts w:ascii="Times New Roman" w:hAnsi="Times New Roman"/>
        </w:rPr>
        <w:t xml:space="preserve">This document aims to </w:t>
      </w:r>
      <w:r w:rsidR="000565EB">
        <w:rPr>
          <w:rFonts w:ascii="Times New Roman" w:hAnsi="Times New Roman"/>
        </w:rPr>
        <w:t>initiate the following offline discussion</w:t>
      </w:r>
      <w:r w:rsidR="00EB741B">
        <w:rPr>
          <w:rFonts w:ascii="Times New Roman" w:hAnsi="Times New Roman"/>
        </w:rPr>
        <w:t>:</w:t>
      </w:r>
    </w:p>
    <w:p w14:paraId="21647D33" w14:textId="77777777" w:rsidR="000565EB" w:rsidRDefault="000565EB" w:rsidP="000565EB">
      <w:pPr>
        <w:pStyle w:val="EmailDiscussion"/>
        <w:rPr>
          <w:szCs w:val="24"/>
        </w:rPr>
      </w:pPr>
      <w:r>
        <w:t>[AT119bis-</w:t>
      </w:r>
      <w:proofErr w:type="gramStart"/>
      <w:r>
        <w:t>e][</w:t>
      </w:r>
      <w:proofErr w:type="gramEnd"/>
      <w:r>
        <w:t>004][NR17] UE caps Main (Intel)</w:t>
      </w:r>
    </w:p>
    <w:p w14:paraId="2723C7F9" w14:textId="77777777" w:rsidR="000565EB" w:rsidRDefault="000565EB" w:rsidP="000565EB">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22BB6903" w14:textId="77777777" w:rsidR="000565EB" w:rsidRDefault="000565EB" w:rsidP="000565EB">
      <w:pPr>
        <w:pStyle w:val="EmailDiscussion2"/>
        <w:rPr>
          <w:lang w:val="en-US"/>
        </w:rPr>
      </w:pPr>
      <w:r>
        <w:rPr>
          <w:lang w:val="en-US"/>
        </w:rPr>
        <w:tab/>
        <w:t>Intended outcome: Report, Agreed-in-principle CRs (rapporteur can choose if to merge into mega CRs at current or next meeting).</w:t>
      </w:r>
    </w:p>
    <w:p w14:paraId="0AB84B7F" w14:textId="77777777" w:rsidR="000565EB" w:rsidRDefault="000565EB" w:rsidP="000565EB">
      <w:pPr>
        <w:pStyle w:val="EmailDiscussion2"/>
        <w:rPr>
          <w:lang w:val="en-US"/>
        </w:rPr>
      </w:pPr>
      <w:r>
        <w:rPr>
          <w:lang w:val="en-US"/>
        </w:rPr>
        <w:tab/>
        <w:t xml:space="preserve">Deadline: Schedule 1, or modifications by Rapporteur </w:t>
      </w: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669567AB" w:rsidR="006E5F3A" w:rsidRDefault="00CB0404" w:rsidP="00D877DC">
            <w:pPr>
              <w:spacing w:after="0"/>
              <w:rPr>
                <w:szCs w:val="20"/>
                <w:lang w:eastAsia="zh-CN"/>
              </w:rPr>
            </w:pPr>
            <w:r>
              <w:rPr>
                <w:szCs w:val="20"/>
                <w:lang w:eastAsia="zh-CN"/>
              </w:rPr>
              <w:t>Xiaomi</w:t>
            </w:r>
          </w:p>
        </w:tc>
        <w:tc>
          <w:tcPr>
            <w:tcW w:w="2687" w:type="dxa"/>
          </w:tcPr>
          <w:p w14:paraId="7C8F3452" w14:textId="3CE22834" w:rsidR="006E5F3A" w:rsidRDefault="00CB0404" w:rsidP="00D877DC">
            <w:pPr>
              <w:spacing w:after="0"/>
              <w:rPr>
                <w:szCs w:val="20"/>
                <w:lang w:eastAsia="zh-CN"/>
              </w:rPr>
            </w:pPr>
            <w:r>
              <w:rPr>
                <w:szCs w:val="20"/>
                <w:lang w:eastAsia="zh-CN"/>
              </w:rPr>
              <w:t>Yumin Wu</w:t>
            </w:r>
          </w:p>
        </w:tc>
        <w:tc>
          <w:tcPr>
            <w:tcW w:w="4903" w:type="dxa"/>
          </w:tcPr>
          <w:p w14:paraId="1CD73018" w14:textId="722E4050" w:rsidR="006E5F3A" w:rsidRDefault="00CB0404" w:rsidP="00D877DC">
            <w:pPr>
              <w:spacing w:after="0"/>
              <w:rPr>
                <w:szCs w:val="20"/>
                <w:lang w:eastAsia="zh-CN"/>
              </w:rPr>
            </w:pPr>
            <w:r>
              <w:rPr>
                <w:szCs w:val="20"/>
                <w:lang w:eastAsia="zh-CN"/>
              </w:rPr>
              <w:t>wuyumin@xiaomi.com</w:t>
            </w:r>
          </w:p>
        </w:tc>
      </w:tr>
      <w:tr w:rsidR="006E5F3A" w14:paraId="48CC39E7" w14:textId="77777777" w:rsidTr="00D877DC">
        <w:tc>
          <w:tcPr>
            <w:tcW w:w="1760" w:type="dxa"/>
          </w:tcPr>
          <w:p w14:paraId="2DF4A41D" w14:textId="77777777" w:rsidR="006E5F3A" w:rsidRDefault="006E5F3A" w:rsidP="00D877DC">
            <w:pPr>
              <w:spacing w:after="0"/>
              <w:rPr>
                <w:szCs w:val="20"/>
                <w:lang w:eastAsia="ja-JP"/>
              </w:rPr>
            </w:pPr>
          </w:p>
        </w:tc>
        <w:tc>
          <w:tcPr>
            <w:tcW w:w="2687" w:type="dxa"/>
          </w:tcPr>
          <w:p w14:paraId="1D48C122" w14:textId="77777777" w:rsidR="006E5F3A" w:rsidRDefault="006E5F3A" w:rsidP="00D877DC">
            <w:pPr>
              <w:spacing w:after="0"/>
              <w:rPr>
                <w:szCs w:val="20"/>
                <w:lang w:eastAsia="ja-JP"/>
              </w:rPr>
            </w:pPr>
          </w:p>
        </w:tc>
        <w:tc>
          <w:tcPr>
            <w:tcW w:w="4903" w:type="dxa"/>
          </w:tcPr>
          <w:p w14:paraId="0B25EB9A" w14:textId="77777777" w:rsidR="006E5F3A" w:rsidRDefault="006E5F3A" w:rsidP="00D877DC">
            <w:pPr>
              <w:spacing w:after="0"/>
              <w:rPr>
                <w:szCs w:val="20"/>
                <w:lang w:eastAsia="ja-JP"/>
              </w:rPr>
            </w:pPr>
          </w:p>
        </w:tc>
      </w:tr>
      <w:tr w:rsidR="006E5F3A" w14:paraId="114FDCD0" w14:textId="77777777" w:rsidTr="00D877DC">
        <w:tc>
          <w:tcPr>
            <w:tcW w:w="1760" w:type="dxa"/>
          </w:tcPr>
          <w:p w14:paraId="5DD62D48" w14:textId="77777777" w:rsidR="006E5F3A" w:rsidRDefault="006E5F3A" w:rsidP="00D877DC">
            <w:pPr>
              <w:spacing w:after="0"/>
              <w:rPr>
                <w:szCs w:val="20"/>
                <w:lang w:eastAsia="zh-CN"/>
              </w:rPr>
            </w:pPr>
          </w:p>
        </w:tc>
        <w:tc>
          <w:tcPr>
            <w:tcW w:w="2687" w:type="dxa"/>
          </w:tcPr>
          <w:p w14:paraId="7C93FF3D" w14:textId="77777777" w:rsidR="006E5F3A" w:rsidRDefault="006E5F3A" w:rsidP="00D877DC">
            <w:pPr>
              <w:spacing w:after="0"/>
              <w:rPr>
                <w:szCs w:val="20"/>
                <w:lang w:eastAsia="zh-CN"/>
              </w:rPr>
            </w:pPr>
          </w:p>
        </w:tc>
        <w:tc>
          <w:tcPr>
            <w:tcW w:w="4903" w:type="dxa"/>
          </w:tcPr>
          <w:p w14:paraId="54B3D06E" w14:textId="77777777" w:rsidR="006E5F3A" w:rsidRDefault="006E5F3A" w:rsidP="00D877DC">
            <w:pPr>
              <w:spacing w:after="0"/>
              <w:rPr>
                <w:szCs w:val="20"/>
                <w:lang w:eastAsia="zh-CN"/>
              </w:rPr>
            </w:pP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4AA0C4EE" w14:textId="77777777" w:rsidR="00300B19" w:rsidRDefault="00300B19" w:rsidP="007539B1"/>
    <w:p w14:paraId="257A1D64" w14:textId="456013A4" w:rsidR="002B2E80" w:rsidRPr="0090128F" w:rsidRDefault="00C042E7" w:rsidP="00181549">
      <w:pPr>
        <w:pStyle w:val="Heading1"/>
        <w:rPr>
          <w:lang w:val="en-US"/>
        </w:rPr>
      </w:pPr>
      <w:r w:rsidRPr="00C042E7">
        <w:rPr>
          <w:lang w:val="en-US"/>
        </w:rPr>
        <w:t xml:space="preserve">NTN support by </w:t>
      </w:r>
      <w:proofErr w:type="spellStart"/>
      <w:r w:rsidRPr="00C042E7">
        <w:rPr>
          <w:lang w:val="en-US"/>
        </w:rPr>
        <w:t>RedCap</w:t>
      </w:r>
      <w:proofErr w:type="spellEnd"/>
      <w:r w:rsidRPr="00C042E7">
        <w:rPr>
          <w:lang w:val="en-US"/>
        </w:rPr>
        <w:t xml:space="preserve"> UE </w:t>
      </w:r>
    </w:p>
    <w:p w14:paraId="3AFE9F6A" w14:textId="17739467" w:rsidR="008A1DF7" w:rsidRDefault="009B2B15" w:rsidP="00CD195C">
      <w:r>
        <w:t>The</w:t>
      </w:r>
      <w:r w:rsidR="00024E55">
        <w:t xml:space="preserve"> CR </w:t>
      </w:r>
      <w:r w:rsidR="002F6839">
        <w:t>[</w:t>
      </w:r>
      <w:r w:rsidR="00C042E7">
        <w:t>1</w:t>
      </w:r>
      <w:r w:rsidR="002F6839">
        <w:t>]</w:t>
      </w:r>
      <w:r w:rsidR="00024E55">
        <w:t xml:space="preserve"> has the following reason for change</w:t>
      </w:r>
      <w:r w:rsidR="008A1DF7">
        <w:t>:</w:t>
      </w:r>
    </w:p>
    <w:p w14:paraId="15E46137" w14:textId="0E7553D6" w:rsidR="002B2E80" w:rsidRDefault="008A1DF7" w:rsidP="00CD195C">
      <w:r w:rsidRPr="00BB016A">
        <w:rPr>
          <w:b/>
          <w:bCs/>
          <w:noProof/>
        </w:rPr>
        <mc:AlternateContent>
          <mc:Choice Requires="wps">
            <w:drawing>
              <wp:inline distT="0" distB="0" distL="0" distR="0" wp14:anchorId="461DFA4F" wp14:editId="3BD25F8C">
                <wp:extent cx="6045200" cy="1779564"/>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headEnd/>
                          <a:tailEnd/>
                        </a:ln>
                      </wps:spPr>
                      <wps:txb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 xml:space="preserve">CA, MR-DC, DAPS, CPAC and IAB (i.e., the </w:t>
                            </w:r>
                            <w:proofErr w:type="spellStart"/>
                            <w:r w:rsidRPr="007D1E1D">
                              <w:t>RedCap</w:t>
                            </w:r>
                            <w:proofErr w:type="spellEnd"/>
                            <w:r w:rsidRPr="007D1E1D">
                              <w:t xml:space="preserve"> UE is not expected to act as IAB node) related UE features and corresponding capabilities are not supported by </w:t>
                            </w:r>
                            <w:proofErr w:type="spellStart"/>
                            <w:r w:rsidRPr="007D1E1D">
                              <w:t>RedCap</w:t>
                            </w:r>
                            <w:proofErr w:type="spellEnd"/>
                            <w:r w:rsidRPr="007D1E1D">
                              <w:t xml:space="preserve"> UEs. All other feature groups or components of the feature groups as captured in TR 38.822 [24] as well as capabilities specified in this specification remain applicable for </w:t>
                            </w:r>
                            <w:proofErr w:type="spellStart"/>
                            <w:r w:rsidRPr="007D1E1D">
                              <w:t>RedCap</w:t>
                            </w:r>
                            <w:proofErr w:type="spellEnd"/>
                            <w:r w:rsidRPr="007D1E1D">
                              <w:t xml:space="preserve"> UEs same as non-</w:t>
                            </w:r>
                            <w:proofErr w:type="spellStart"/>
                            <w:r w:rsidRPr="007D1E1D">
                              <w:t>RedCap</w:t>
                            </w:r>
                            <w:proofErr w:type="spellEnd"/>
                            <w:r w:rsidRPr="007D1E1D">
                              <w:t xml:space="preserve">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61DFA4F"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QyEA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">
                <v:textbo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v:textbox>
                <w10:anchorlock/>
              </v:shape>
            </w:pict>
          </mc:Fallback>
        </mc:AlternateContent>
      </w:r>
      <w:r w:rsidR="00024E55">
        <w:t xml:space="preserve"> </w:t>
      </w:r>
    </w:p>
    <w:p w14:paraId="3C9CC893" w14:textId="5EDF7054" w:rsidR="004A2B5A" w:rsidRDefault="004A2B5A" w:rsidP="004A2B5A">
      <w:pPr>
        <w:spacing w:after="0"/>
        <w:rPr>
          <w:rFonts w:ascii="Arial" w:hAnsi="Arial"/>
          <w:noProof/>
        </w:rPr>
      </w:pPr>
      <w:r>
        <w:rPr>
          <w:rFonts w:ascii="Arial" w:hAnsi="Arial"/>
          <w:b/>
          <w:bCs/>
          <w:noProof/>
        </w:rPr>
        <w:t>Q</w:t>
      </w:r>
      <w:r w:rsidR="00F16F0E">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CE573C">
        <w:rPr>
          <w:rFonts w:ascii="Arial" w:hAnsi="Arial"/>
          <w:b/>
          <w:bCs/>
          <w:noProof/>
        </w:rPr>
        <w:t xml:space="preserve">If not, please </w:t>
      </w:r>
      <w:r w:rsidR="004439BE">
        <w:rPr>
          <w:rFonts w:ascii="Arial" w:hAnsi="Arial"/>
          <w:b/>
          <w:bCs/>
          <w:noProof/>
        </w:rPr>
        <w:t xml:space="preserve">provide your </w:t>
      </w:r>
      <w:r w:rsidR="00D54217">
        <w:rPr>
          <w:rFonts w:ascii="Arial" w:hAnsi="Arial"/>
          <w:b/>
          <w:bCs/>
          <w:noProof/>
        </w:rPr>
        <w:t>reasons</w:t>
      </w:r>
      <w:r w:rsidR="004439BE">
        <w:rPr>
          <w:rFonts w:ascii="Arial" w:hAnsi="Arial"/>
          <w:b/>
          <w:bCs/>
          <w:noProof/>
        </w:rPr>
        <w:t xml:space="preserve"> in the comment column.</w:t>
      </w:r>
    </w:p>
    <w:p w14:paraId="65C7777B" w14:textId="77777777" w:rsidR="004A2B5A" w:rsidRDefault="004A2B5A" w:rsidP="004A2B5A">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4A2B5A" w:rsidRPr="000005B0" w14:paraId="744BE9DC" w14:textId="77777777" w:rsidTr="00584615">
        <w:trPr>
          <w:trHeight w:val="248"/>
        </w:trPr>
        <w:tc>
          <w:tcPr>
            <w:tcW w:w="1995" w:type="dxa"/>
          </w:tcPr>
          <w:p w14:paraId="303F9FD9" w14:textId="77777777" w:rsidR="004A2B5A" w:rsidRPr="000005B0" w:rsidRDefault="004A2B5A" w:rsidP="00584615">
            <w:pPr>
              <w:spacing w:after="0"/>
              <w:rPr>
                <w:rFonts w:ascii="Arial" w:hAnsi="Arial"/>
                <w:b/>
                <w:bCs/>
                <w:noProof/>
              </w:rPr>
            </w:pPr>
            <w:r w:rsidRPr="000005B0">
              <w:rPr>
                <w:rFonts w:ascii="Arial" w:hAnsi="Arial"/>
                <w:b/>
                <w:bCs/>
                <w:noProof/>
              </w:rPr>
              <w:t>Company</w:t>
            </w:r>
          </w:p>
        </w:tc>
        <w:tc>
          <w:tcPr>
            <w:tcW w:w="1924" w:type="dxa"/>
          </w:tcPr>
          <w:p w14:paraId="13E40C78" w14:textId="77777777" w:rsidR="004A2B5A" w:rsidRPr="000005B0" w:rsidRDefault="004A2B5A" w:rsidP="00584615">
            <w:pPr>
              <w:spacing w:after="0"/>
              <w:rPr>
                <w:rFonts w:ascii="Arial" w:hAnsi="Arial"/>
                <w:b/>
                <w:bCs/>
                <w:noProof/>
              </w:rPr>
            </w:pPr>
            <w:r w:rsidRPr="000005B0">
              <w:rPr>
                <w:rFonts w:ascii="Arial" w:hAnsi="Arial"/>
                <w:b/>
                <w:bCs/>
                <w:noProof/>
              </w:rPr>
              <w:t>Yes/No</w:t>
            </w:r>
          </w:p>
        </w:tc>
        <w:tc>
          <w:tcPr>
            <w:tcW w:w="5908" w:type="dxa"/>
          </w:tcPr>
          <w:p w14:paraId="2EBF19C2" w14:textId="77777777" w:rsidR="004A2B5A" w:rsidRPr="000005B0" w:rsidRDefault="004A2B5A" w:rsidP="00584615">
            <w:pPr>
              <w:spacing w:after="0"/>
              <w:rPr>
                <w:rFonts w:ascii="Arial" w:hAnsi="Arial"/>
                <w:b/>
                <w:bCs/>
                <w:noProof/>
              </w:rPr>
            </w:pPr>
            <w:r w:rsidRPr="000005B0">
              <w:rPr>
                <w:rFonts w:ascii="Arial" w:hAnsi="Arial"/>
                <w:b/>
                <w:bCs/>
                <w:noProof/>
              </w:rPr>
              <w:t>Comments</w:t>
            </w:r>
          </w:p>
        </w:tc>
      </w:tr>
      <w:tr w:rsidR="004A2B5A" w:rsidRPr="000005B0" w14:paraId="65281038" w14:textId="77777777" w:rsidTr="00584615">
        <w:trPr>
          <w:trHeight w:val="248"/>
        </w:trPr>
        <w:tc>
          <w:tcPr>
            <w:tcW w:w="1995" w:type="dxa"/>
          </w:tcPr>
          <w:p w14:paraId="1F579A94" w14:textId="77777777" w:rsidR="004A2B5A" w:rsidRPr="000005B0" w:rsidRDefault="004A2B5A" w:rsidP="00584615">
            <w:pPr>
              <w:spacing w:after="0"/>
              <w:rPr>
                <w:rFonts w:ascii="Arial" w:hAnsi="Arial"/>
                <w:noProof/>
              </w:rPr>
            </w:pPr>
            <w:r>
              <w:rPr>
                <w:rFonts w:ascii="Arial" w:hAnsi="Arial"/>
                <w:noProof/>
              </w:rPr>
              <w:t>Intel</w:t>
            </w:r>
          </w:p>
        </w:tc>
        <w:tc>
          <w:tcPr>
            <w:tcW w:w="1924" w:type="dxa"/>
          </w:tcPr>
          <w:p w14:paraId="7ED1EAC4" w14:textId="65C21B1C" w:rsidR="004A2B5A" w:rsidRPr="000005B0" w:rsidRDefault="0019237B" w:rsidP="00584615">
            <w:pPr>
              <w:spacing w:after="0"/>
              <w:rPr>
                <w:rFonts w:ascii="Arial" w:hAnsi="Arial"/>
                <w:noProof/>
              </w:rPr>
            </w:pPr>
            <w:r>
              <w:rPr>
                <w:rFonts w:ascii="Arial" w:hAnsi="Arial"/>
                <w:noProof/>
              </w:rPr>
              <w:t>Yes</w:t>
            </w:r>
          </w:p>
        </w:tc>
        <w:tc>
          <w:tcPr>
            <w:tcW w:w="5908" w:type="dxa"/>
          </w:tcPr>
          <w:p w14:paraId="56285A96" w14:textId="33AAC1A7" w:rsidR="00AC0716" w:rsidRPr="000005B0" w:rsidRDefault="00AC0716" w:rsidP="00584615">
            <w:pPr>
              <w:spacing w:after="0"/>
              <w:rPr>
                <w:rFonts w:ascii="Arial" w:hAnsi="Arial"/>
                <w:noProof/>
              </w:rPr>
            </w:pPr>
          </w:p>
        </w:tc>
      </w:tr>
      <w:tr w:rsidR="004A2B5A" w:rsidRPr="000005B0" w14:paraId="289CB9CD" w14:textId="77777777" w:rsidTr="00584615">
        <w:trPr>
          <w:trHeight w:val="248"/>
        </w:trPr>
        <w:tc>
          <w:tcPr>
            <w:tcW w:w="1995" w:type="dxa"/>
          </w:tcPr>
          <w:p w14:paraId="4D032B7B" w14:textId="793533C0" w:rsidR="004A2B5A" w:rsidRPr="000005B0" w:rsidRDefault="003A3641" w:rsidP="00584615">
            <w:pPr>
              <w:spacing w:after="0"/>
              <w:rPr>
                <w:rFonts w:ascii="Arial" w:hAnsi="Arial"/>
                <w:noProof/>
              </w:rPr>
            </w:pPr>
            <w:r>
              <w:rPr>
                <w:rFonts w:ascii="Arial" w:hAnsi="Arial"/>
                <w:noProof/>
              </w:rPr>
              <w:lastRenderedPageBreak/>
              <w:t>Xiaomi</w:t>
            </w:r>
          </w:p>
        </w:tc>
        <w:tc>
          <w:tcPr>
            <w:tcW w:w="1924" w:type="dxa"/>
          </w:tcPr>
          <w:p w14:paraId="0DA7E02F" w14:textId="412BCB6C" w:rsidR="004A2B5A" w:rsidRPr="000005B0" w:rsidRDefault="003A3641" w:rsidP="00584615">
            <w:pPr>
              <w:spacing w:after="0"/>
              <w:rPr>
                <w:rFonts w:ascii="Arial" w:hAnsi="Arial"/>
                <w:noProof/>
              </w:rPr>
            </w:pPr>
            <w:r>
              <w:rPr>
                <w:rFonts w:ascii="Arial" w:hAnsi="Arial"/>
                <w:noProof/>
              </w:rPr>
              <w:t>Yes</w:t>
            </w:r>
          </w:p>
        </w:tc>
        <w:tc>
          <w:tcPr>
            <w:tcW w:w="5908" w:type="dxa"/>
          </w:tcPr>
          <w:p w14:paraId="7C501E06" w14:textId="77777777" w:rsidR="004A2B5A" w:rsidRPr="000005B0" w:rsidRDefault="004A2B5A" w:rsidP="00584615">
            <w:pPr>
              <w:spacing w:after="0"/>
              <w:rPr>
                <w:rFonts w:ascii="Arial" w:hAnsi="Arial"/>
                <w:noProof/>
              </w:rPr>
            </w:pPr>
          </w:p>
        </w:tc>
      </w:tr>
      <w:tr w:rsidR="004A2B5A" w:rsidRPr="000005B0" w14:paraId="634E4565" w14:textId="77777777" w:rsidTr="00584615">
        <w:trPr>
          <w:trHeight w:val="248"/>
        </w:trPr>
        <w:tc>
          <w:tcPr>
            <w:tcW w:w="1995" w:type="dxa"/>
          </w:tcPr>
          <w:p w14:paraId="1F90BD6C" w14:textId="77777777" w:rsidR="004A2B5A" w:rsidRPr="000005B0" w:rsidRDefault="004A2B5A" w:rsidP="00584615">
            <w:pPr>
              <w:spacing w:after="0"/>
              <w:rPr>
                <w:rFonts w:ascii="Arial" w:hAnsi="Arial"/>
                <w:noProof/>
              </w:rPr>
            </w:pPr>
          </w:p>
        </w:tc>
        <w:tc>
          <w:tcPr>
            <w:tcW w:w="1924" w:type="dxa"/>
          </w:tcPr>
          <w:p w14:paraId="0EBFAACF" w14:textId="77777777" w:rsidR="004A2B5A" w:rsidRPr="000005B0" w:rsidRDefault="004A2B5A" w:rsidP="00584615">
            <w:pPr>
              <w:spacing w:after="0"/>
              <w:rPr>
                <w:rFonts w:ascii="Arial" w:hAnsi="Arial"/>
                <w:noProof/>
              </w:rPr>
            </w:pPr>
          </w:p>
        </w:tc>
        <w:tc>
          <w:tcPr>
            <w:tcW w:w="5908" w:type="dxa"/>
          </w:tcPr>
          <w:p w14:paraId="6A08811E" w14:textId="77777777" w:rsidR="004A2B5A" w:rsidRPr="000005B0" w:rsidRDefault="004A2B5A" w:rsidP="00584615">
            <w:pPr>
              <w:spacing w:after="0"/>
              <w:rPr>
                <w:rFonts w:ascii="Arial" w:hAnsi="Arial"/>
                <w:noProof/>
              </w:rPr>
            </w:pPr>
          </w:p>
        </w:tc>
      </w:tr>
      <w:tr w:rsidR="004A2B5A" w:rsidRPr="000005B0" w14:paraId="623D0D1E" w14:textId="77777777" w:rsidTr="00584615">
        <w:trPr>
          <w:trHeight w:val="248"/>
        </w:trPr>
        <w:tc>
          <w:tcPr>
            <w:tcW w:w="1995" w:type="dxa"/>
          </w:tcPr>
          <w:p w14:paraId="4CC92A4D" w14:textId="77777777" w:rsidR="004A2B5A" w:rsidRPr="000005B0" w:rsidRDefault="004A2B5A" w:rsidP="00584615">
            <w:pPr>
              <w:spacing w:after="0"/>
              <w:rPr>
                <w:rFonts w:ascii="Arial" w:hAnsi="Arial"/>
                <w:noProof/>
              </w:rPr>
            </w:pPr>
          </w:p>
        </w:tc>
        <w:tc>
          <w:tcPr>
            <w:tcW w:w="1924" w:type="dxa"/>
          </w:tcPr>
          <w:p w14:paraId="5C68BA6A" w14:textId="77777777" w:rsidR="004A2B5A" w:rsidRPr="000005B0" w:rsidRDefault="004A2B5A" w:rsidP="00584615">
            <w:pPr>
              <w:spacing w:after="0"/>
              <w:rPr>
                <w:rFonts w:ascii="Arial" w:hAnsi="Arial"/>
                <w:noProof/>
              </w:rPr>
            </w:pPr>
          </w:p>
        </w:tc>
        <w:tc>
          <w:tcPr>
            <w:tcW w:w="5908" w:type="dxa"/>
          </w:tcPr>
          <w:p w14:paraId="38C46AAC" w14:textId="77777777" w:rsidR="004A2B5A" w:rsidRPr="000005B0" w:rsidRDefault="004A2B5A" w:rsidP="00584615">
            <w:pPr>
              <w:spacing w:after="0"/>
              <w:rPr>
                <w:rFonts w:ascii="Arial" w:hAnsi="Arial"/>
                <w:noProof/>
              </w:rPr>
            </w:pPr>
          </w:p>
        </w:tc>
      </w:tr>
      <w:tr w:rsidR="004A2B5A" w:rsidRPr="000005B0" w14:paraId="551EA41C" w14:textId="77777777" w:rsidTr="00584615">
        <w:trPr>
          <w:trHeight w:val="248"/>
        </w:trPr>
        <w:tc>
          <w:tcPr>
            <w:tcW w:w="1995" w:type="dxa"/>
          </w:tcPr>
          <w:p w14:paraId="5B2D206C" w14:textId="77777777" w:rsidR="004A2B5A" w:rsidRPr="000005B0" w:rsidRDefault="004A2B5A" w:rsidP="00584615">
            <w:pPr>
              <w:spacing w:after="0"/>
              <w:rPr>
                <w:rFonts w:ascii="Arial" w:hAnsi="Arial"/>
                <w:noProof/>
              </w:rPr>
            </w:pPr>
          </w:p>
        </w:tc>
        <w:tc>
          <w:tcPr>
            <w:tcW w:w="1924" w:type="dxa"/>
          </w:tcPr>
          <w:p w14:paraId="6D41B7FB" w14:textId="77777777" w:rsidR="004A2B5A" w:rsidRPr="000005B0" w:rsidRDefault="004A2B5A" w:rsidP="00584615">
            <w:pPr>
              <w:spacing w:after="0"/>
              <w:rPr>
                <w:rFonts w:ascii="Arial" w:hAnsi="Arial"/>
                <w:noProof/>
              </w:rPr>
            </w:pPr>
          </w:p>
        </w:tc>
        <w:tc>
          <w:tcPr>
            <w:tcW w:w="5908" w:type="dxa"/>
          </w:tcPr>
          <w:p w14:paraId="0D3C15D7" w14:textId="77777777" w:rsidR="004A2B5A" w:rsidRPr="000005B0" w:rsidRDefault="004A2B5A" w:rsidP="00584615">
            <w:pPr>
              <w:spacing w:after="0"/>
              <w:rPr>
                <w:rFonts w:ascii="Arial" w:hAnsi="Arial"/>
                <w:noProof/>
              </w:rPr>
            </w:pPr>
          </w:p>
        </w:tc>
      </w:tr>
      <w:tr w:rsidR="004A2B5A" w:rsidRPr="000005B0" w14:paraId="5F3D3135" w14:textId="77777777" w:rsidTr="00584615">
        <w:trPr>
          <w:trHeight w:val="248"/>
        </w:trPr>
        <w:tc>
          <w:tcPr>
            <w:tcW w:w="1995" w:type="dxa"/>
          </w:tcPr>
          <w:p w14:paraId="138A9932" w14:textId="77777777" w:rsidR="004A2B5A" w:rsidRPr="000005B0" w:rsidRDefault="004A2B5A" w:rsidP="00584615">
            <w:pPr>
              <w:spacing w:after="0"/>
              <w:rPr>
                <w:rFonts w:ascii="Arial" w:hAnsi="Arial"/>
                <w:noProof/>
              </w:rPr>
            </w:pPr>
          </w:p>
        </w:tc>
        <w:tc>
          <w:tcPr>
            <w:tcW w:w="1924" w:type="dxa"/>
          </w:tcPr>
          <w:p w14:paraId="4723D088" w14:textId="77777777" w:rsidR="004A2B5A" w:rsidRPr="000005B0" w:rsidRDefault="004A2B5A" w:rsidP="00584615">
            <w:pPr>
              <w:spacing w:after="0"/>
              <w:rPr>
                <w:rFonts w:ascii="Arial" w:hAnsi="Arial"/>
                <w:noProof/>
              </w:rPr>
            </w:pPr>
          </w:p>
        </w:tc>
        <w:tc>
          <w:tcPr>
            <w:tcW w:w="5908" w:type="dxa"/>
          </w:tcPr>
          <w:p w14:paraId="4403C22E" w14:textId="77777777" w:rsidR="004A2B5A" w:rsidRPr="000005B0" w:rsidRDefault="004A2B5A" w:rsidP="00584615">
            <w:pPr>
              <w:spacing w:after="0"/>
              <w:rPr>
                <w:rFonts w:ascii="Arial" w:hAnsi="Arial"/>
                <w:noProof/>
              </w:rPr>
            </w:pPr>
          </w:p>
        </w:tc>
      </w:tr>
    </w:tbl>
    <w:p w14:paraId="398103C3" w14:textId="77777777" w:rsidR="002B2E80" w:rsidRPr="00CD195C" w:rsidRDefault="002B2E80" w:rsidP="00CD195C"/>
    <w:p w14:paraId="472FC8F2" w14:textId="4B528EA5" w:rsidR="0075053D" w:rsidRDefault="00F11892" w:rsidP="002745B6">
      <w:pPr>
        <w:pStyle w:val="Heading1"/>
      </w:pPr>
      <w:r w:rsidRPr="00F11892">
        <w:t>Clarification on the MBS feature 33-1-2 and 33-3-2</w:t>
      </w:r>
    </w:p>
    <w:p w14:paraId="55B3D1B1" w14:textId="17588C27" w:rsidR="009B2B15" w:rsidRDefault="009B2B15" w:rsidP="009B2B15">
      <w:r>
        <w:t>The CR [</w:t>
      </w:r>
      <w:r w:rsidR="00F11892">
        <w:t>2</w:t>
      </w:r>
      <w:r>
        <w:t>] has the following reason for change:</w:t>
      </w:r>
    </w:p>
    <w:p w14:paraId="6E8047BE" w14:textId="77777777" w:rsidR="009B2B15" w:rsidRDefault="009B2B15" w:rsidP="009B2B15">
      <w:r w:rsidRPr="00BB016A">
        <w:rPr>
          <w:b/>
          <w:bCs/>
          <w:noProof/>
        </w:rPr>
        <mc:AlternateContent>
          <mc:Choice Requires="wps">
            <w:drawing>
              <wp:inline distT="0" distB="0" distL="0" distR="0" wp14:anchorId="7226A9D2" wp14:editId="093801D3">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headEnd/>
                          <a:tailEnd/>
                        </a:ln>
                      </wps:spPr>
                      <wps:txb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w:t>
                            </w:r>
                            <w:proofErr w:type="gramStart"/>
                            <w:r>
                              <w:t>CR  in</w:t>
                            </w:r>
                            <w:proofErr w:type="gramEnd"/>
                            <w:r>
                              <w:t xml:space="preserve">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7226A9D2"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9MEQIAACc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">
                <v:textbo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CR  in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v:textbox>
                <w10:anchorlock/>
              </v:shape>
            </w:pict>
          </mc:Fallback>
        </mc:AlternateContent>
      </w:r>
      <w:r>
        <w:t xml:space="preserve"> </w:t>
      </w:r>
    </w:p>
    <w:p w14:paraId="4A4D3910" w14:textId="4DF26BE4" w:rsidR="009B2B15" w:rsidRDefault="009B2B15" w:rsidP="009B2B15">
      <w:pPr>
        <w:spacing w:after="0"/>
        <w:rPr>
          <w:rFonts w:ascii="Arial" w:hAnsi="Arial"/>
          <w:noProof/>
        </w:rPr>
      </w:pPr>
      <w:bookmarkStart w:id="0" w:name="_Hlk116029933"/>
      <w:r>
        <w:rPr>
          <w:rFonts w:ascii="Arial" w:hAnsi="Arial"/>
          <w:b/>
          <w:bCs/>
          <w:noProof/>
        </w:rPr>
        <w:t>Q</w:t>
      </w:r>
      <w:r w:rsidR="00F77856">
        <w:rPr>
          <w:rFonts w:ascii="Arial" w:hAnsi="Arial"/>
          <w:b/>
          <w:bCs/>
          <w:noProof/>
        </w:rPr>
        <w:t>2</w:t>
      </w:r>
      <w:r>
        <w:rPr>
          <w:rFonts w:ascii="Arial" w:hAnsi="Arial"/>
          <w:b/>
          <w:bCs/>
          <w:noProof/>
        </w:rPr>
        <w:t xml:space="preserve"> </w:t>
      </w:r>
      <w:r w:rsidRPr="00FE17B3">
        <w:rPr>
          <w:rFonts w:ascii="Arial" w:hAnsi="Arial"/>
          <w:b/>
          <w:bCs/>
          <w:noProof/>
        </w:rPr>
        <w:t xml:space="preserve">Do companies agree </w:t>
      </w:r>
      <w:bookmarkEnd w:id="0"/>
      <w:r w:rsidRPr="00FE17B3">
        <w:rPr>
          <w:rFonts w:ascii="Arial" w:hAnsi="Arial"/>
          <w:b/>
          <w:bCs/>
          <w:noProof/>
        </w:rPr>
        <w:t xml:space="preserve">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F93E3F">
        <w:rPr>
          <w:rFonts w:ascii="Arial" w:hAnsi="Arial"/>
          <w:b/>
          <w:bCs/>
          <w:noProof/>
        </w:rPr>
        <w:t>If not, please provide your reasons in the comment column.</w:t>
      </w:r>
    </w:p>
    <w:p w14:paraId="0F92EA2A" w14:textId="77777777" w:rsidR="009B2B15" w:rsidRDefault="009B2B15" w:rsidP="009B2B15">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9B2B15" w:rsidRPr="000005B0" w14:paraId="68277460" w14:textId="77777777" w:rsidTr="00193D7C">
        <w:trPr>
          <w:trHeight w:val="248"/>
        </w:trPr>
        <w:tc>
          <w:tcPr>
            <w:tcW w:w="1995" w:type="dxa"/>
          </w:tcPr>
          <w:p w14:paraId="122E0E73" w14:textId="77777777" w:rsidR="009B2B15" w:rsidRPr="000005B0" w:rsidRDefault="009B2B15" w:rsidP="00193D7C">
            <w:pPr>
              <w:spacing w:after="0"/>
              <w:rPr>
                <w:rFonts w:ascii="Arial" w:hAnsi="Arial"/>
                <w:b/>
                <w:bCs/>
                <w:noProof/>
              </w:rPr>
            </w:pPr>
            <w:r w:rsidRPr="000005B0">
              <w:rPr>
                <w:rFonts w:ascii="Arial" w:hAnsi="Arial"/>
                <w:b/>
                <w:bCs/>
                <w:noProof/>
              </w:rPr>
              <w:t>Company</w:t>
            </w:r>
          </w:p>
        </w:tc>
        <w:tc>
          <w:tcPr>
            <w:tcW w:w="1924" w:type="dxa"/>
          </w:tcPr>
          <w:p w14:paraId="0BED064E" w14:textId="77777777" w:rsidR="009B2B15" w:rsidRPr="000005B0" w:rsidRDefault="009B2B15" w:rsidP="00193D7C">
            <w:pPr>
              <w:spacing w:after="0"/>
              <w:rPr>
                <w:rFonts w:ascii="Arial" w:hAnsi="Arial"/>
                <w:b/>
                <w:bCs/>
                <w:noProof/>
              </w:rPr>
            </w:pPr>
            <w:r w:rsidRPr="000005B0">
              <w:rPr>
                <w:rFonts w:ascii="Arial" w:hAnsi="Arial"/>
                <w:b/>
                <w:bCs/>
                <w:noProof/>
              </w:rPr>
              <w:t>Yes/No</w:t>
            </w:r>
          </w:p>
        </w:tc>
        <w:tc>
          <w:tcPr>
            <w:tcW w:w="5908" w:type="dxa"/>
          </w:tcPr>
          <w:p w14:paraId="1F179E7A" w14:textId="77777777" w:rsidR="009B2B15" w:rsidRPr="000005B0" w:rsidRDefault="009B2B15" w:rsidP="00193D7C">
            <w:pPr>
              <w:spacing w:after="0"/>
              <w:rPr>
                <w:rFonts w:ascii="Arial" w:hAnsi="Arial"/>
                <w:b/>
                <w:bCs/>
                <w:noProof/>
              </w:rPr>
            </w:pPr>
            <w:r w:rsidRPr="000005B0">
              <w:rPr>
                <w:rFonts w:ascii="Arial" w:hAnsi="Arial"/>
                <w:b/>
                <w:bCs/>
                <w:noProof/>
              </w:rPr>
              <w:t>Comments</w:t>
            </w:r>
          </w:p>
        </w:tc>
      </w:tr>
      <w:tr w:rsidR="009B2B15" w:rsidRPr="000005B0" w14:paraId="6F678A04" w14:textId="77777777" w:rsidTr="00193D7C">
        <w:trPr>
          <w:trHeight w:val="248"/>
        </w:trPr>
        <w:tc>
          <w:tcPr>
            <w:tcW w:w="1995" w:type="dxa"/>
          </w:tcPr>
          <w:p w14:paraId="4CA880B5" w14:textId="77777777" w:rsidR="009B2B15" w:rsidRPr="000005B0" w:rsidRDefault="009B2B15" w:rsidP="00193D7C">
            <w:pPr>
              <w:spacing w:after="0"/>
              <w:rPr>
                <w:rFonts w:ascii="Arial" w:hAnsi="Arial"/>
                <w:noProof/>
              </w:rPr>
            </w:pPr>
            <w:r>
              <w:rPr>
                <w:rFonts w:ascii="Arial" w:hAnsi="Arial"/>
                <w:noProof/>
              </w:rPr>
              <w:t>Intel</w:t>
            </w:r>
          </w:p>
        </w:tc>
        <w:tc>
          <w:tcPr>
            <w:tcW w:w="1924" w:type="dxa"/>
          </w:tcPr>
          <w:p w14:paraId="775E86ED" w14:textId="0988CE8C" w:rsidR="009B2B15" w:rsidRPr="000005B0" w:rsidRDefault="005861F1" w:rsidP="00193D7C">
            <w:pPr>
              <w:spacing w:after="0"/>
              <w:rPr>
                <w:rFonts w:ascii="Arial" w:hAnsi="Arial"/>
                <w:noProof/>
              </w:rPr>
            </w:pPr>
            <w:r>
              <w:rPr>
                <w:rFonts w:ascii="Arial" w:hAnsi="Arial"/>
                <w:noProof/>
              </w:rPr>
              <w:t>No</w:t>
            </w:r>
            <w:r w:rsidR="005E0E92">
              <w:rPr>
                <w:rFonts w:ascii="Arial" w:hAnsi="Arial"/>
                <w:noProof/>
              </w:rPr>
              <w:t xml:space="preserve"> </w:t>
            </w:r>
          </w:p>
        </w:tc>
        <w:tc>
          <w:tcPr>
            <w:tcW w:w="5908" w:type="dxa"/>
          </w:tcPr>
          <w:p w14:paraId="6C03F8AA" w14:textId="33AF8838" w:rsidR="007667F0" w:rsidRPr="000005B0" w:rsidRDefault="00F77856" w:rsidP="00193D7C">
            <w:pPr>
              <w:spacing w:after="0"/>
              <w:rPr>
                <w:rFonts w:ascii="Arial" w:hAnsi="Arial"/>
                <w:noProof/>
              </w:rPr>
            </w:pPr>
            <w:r>
              <w:rPr>
                <w:rFonts w:ascii="Arial" w:hAnsi="Arial"/>
                <w:noProof/>
              </w:rPr>
              <w:t xml:space="preserve">This should be discussed in RAN1 first and if this is the correct understanding, the R1 feature list should be updated to reflect on this before RAN2 update </w:t>
            </w:r>
            <w:r w:rsidR="00F70906">
              <w:rPr>
                <w:rFonts w:ascii="Arial" w:hAnsi="Arial"/>
                <w:noProof/>
              </w:rPr>
              <w:t>38</w:t>
            </w:r>
            <w:r w:rsidR="006B1142">
              <w:rPr>
                <w:rFonts w:ascii="Arial" w:hAnsi="Arial"/>
                <w:noProof/>
              </w:rPr>
              <w:t>.</w:t>
            </w:r>
            <w:r>
              <w:rPr>
                <w:rFonts w:ascii="Arial" w:hAnsi="Arial"/>
                <w:noProof/>
              </w:rPr>
              <w:t>306.</w:t>
            </w:r>
            <w:r w:rsidR="005103F5">
              <w:rPr>
                <w:rFonts w:ascii="Arial" w:hAnsi="Arial"/>
                <w:noProof/>
              </w:rPr>
              <w:t xml:space="preserve">  Proponent</w:t>
            </w:r>
            <w:r w:rsidR="006B1142">
              <w:rPr>
                <w:rFonts w:ascii="Arial" w:hAnsi="Arial"/>
                <w:noProof/>
              </w:rPr>
              <w:t xml:space="preserve"> of the CR</w:t>
            </w:r>
            <w:r w:rsidR="005103F5">
              <w:rPr>
                <w:rFonts w:ascii="Arial" w:hAnsi="Arial"/>
                <w:noProof/>
              </w:rPr>
              <w:t xml:space="preserve"> can bring th</w:t>
            </w:r>
            <w:r w:rsidR="00EA3E22">
              <w:rPr>
                <w:rFonts w:ascii="Arial" w:hAnsi="Arial"/>
                <w:noProof/>
              </w:rPr>
              <w:t>is to RAN1 directly</w:t>
            </w:r>
            <w:r w:rsidR="00EA598F">
              <w:rPr>
                <w:rFonts w:ascii="Arial" w:hAnsi="Arial"/>
                <w:noProof/>
              </w:rPr>
              <w:t xml:space="preserve"> to discuss it as part of the feature list update</w:t>
            </w:r>
            <w:r w:rsidR="00EA3E22">
              <w:rPr>
                <w:rFonts w:ascii="Arial" w:hAnsi="Arial"/>
                <w:noProof/>
              </w:rPr>
              <w:t>.</w:t>
            </w:r>
          </w:p>
        </w:tc>
      </w:tr>
      <w:tr w:rsidR="00FA5F7F" w:rsidRPr="000005B0" w14:paraId="04357EAE" w14:textId="77777777" w:rsidTr="00193D7C">
        <w:trPr>
          <w:trHeight w:val="248"/>
        </w:trPr>
        <w:tc>
          <w:tcPr>
            <w:tcW w:w="1995" w:type="dxa"/>
          </w:tcPr>
          <w:p w14:paraId="1547610C" w14:textId="5B087D3D" w:rsidR="00FA5F7F" w:rsidRDefault="006D62ED" w:rsidP="00193D7C">
            <w:pPr>
              <w:spacing w:after="0"/>
              <w:rPr>
                <w:rFonts w:ascii="Arial" w:hAnsi="Arial"/>
                <w:noProof/>
              </w:rPr>
            </w:pPr>
            <w:r>
              <w:rPr>
                <w:rFonts w:ascii="Arial" w:hAnsi="Arial"/>
                <w:noProof/>
              </w:rPr>
              <w:t>Xiaomi</w:t>
            </w:r>
          </w:p>
        </w:tc>
        <w:tc>
          <w:tcPr>
            <w:tcW w:w="1924" w:type="dxa"/>
          </w:tcPr>
          <w:p w14:paraId="6E62BE68" w14:textId="598F7099" w:rsidR="00FA5F7F" w:rsidRDefault="006D62ED" w:rsidP="00193D7C">
            <w:pPr>
              <w:spacing w:after="0"/>
              <w:rPr>
                <w:rFonts w:ascii="Arial" w:hAnsi="Arial"/>
                <w:noProof/>
              </w:rPr>
            </w:pPr>
            <w:r>
              <w:rPr>
                <w:rFonts w:ascii="Arial" w:hAnsi="Arial"/>
                <w:noProof/>
              </w:rPr>
              <w:t>Yes</w:t>
            </w:r>
          </w:p>
        </w:tc>
        <w:tc>
          <w:tcPr>
            <w:tcW w:w="5908" w:type="dxa"/>
          </w:tcPr>
          <w:p w14:paraId="5D2F8CB2" w14:textId="7BFFDF8B" w:rsidR="00FA5F7F" w:rsidRDefault="006D62ED" w:rsidP="00193D7C">
            <w:pPr>
              <w:spacing w:after="0"/>
              <w:rPr>
                <w:rFonts w:ascii="Arial" w:hAnsi="Arial"/>
                <w:noProof/>
              </w:rPr>
            </w:pPr>
            <w:r>
              <w:rPr>
                <w:rFonts w:ascii="Arial" w:hAnsi="Arial"/>
                <w:noProof/>
              </w:rPr>
              <w:t>Since this</w:t>
            </w:r>
            <w:r w:rsidR="007F50F3">
              <w:rPr>
                <w:rFonts w:ascii="Arial" w:hAnsi="Arial"/>
                <w:noProof/>
              </w:rPr>
              <w:t xml:space="preserve"> FDM feature</w:t>
            </w:r>
            <w:r>
              <w:rPr>
                <w:rFonts w:ascii="Arial" w:hAnsi="Arial"/>
                <w:noProof/>
              </w:rPr>
              <w:t xml:space="preserve"> has been agreed by RAN1 several meetings ago, we think that companies can double check with their RAN1 colleagues on the correct understanding on the </w:t>
            </w:r>
            <w:r>
              <w:t>MBS feature 33-1-2 and 33-3-2</w:t>
            </w:r>
            <w:r>
              <w:t xml:space="preserve">. </w:t>
            </w:r>
            <w:r w:rsidR="00693AAE">
              <w:t xml:space="preserve">I would </w:t>
            </w:r>
            <w:r w:rsidR="00456B43">
              <w:t xml:space="preserve">also </w:t>
            </w:r>
            <w:r w:rsidR="00693AAE">
              <w:t>agree that the RAN1 feature list does not provide the detailed description on the</w:t>
            </w:r>
            <w:r w:rsidR="00456B43">
              <w:t xml:space="preserve"> agreed Case 1. </w:t>
            </w:r>
            <w:r>
              <w:t xml:space="preserve">If companies think that the feature list needs to be updated to capture the RAN1 agreements correctly, we can send </w:t>
            </w:r>
            <w:proofErr w:type="gramStart"/>
            <w:r>
              <w:t>an</w:t>
            </w:r>
            <w:proofErr w:type="gramEnd"/>
            <w:r>
              <w:t xml:space="preserve"> LS to RAN1. </w:t>
            </w:r>
          </w:p>
        </w:tc>
      </w:tr>
      <w:tr w:rsidR="00FA5F7F" w:rsidRPr="000005B0" w14:paraId="5442CBD1" w14:textId="77777777" w:rsidTr="00193D7C">
        <w:trPr>
          <w:trHeight w:val="248"/>
        </w:trPr>
        <w:tc>
          <w:tcPr>
            <w:tcW w:w="1995" w:type="dxa"/>
          </w:tcPr>
          <w:p w14:paraId="6F67F3C1" w14:textId="77777777" w:rsidR="00FA5F7F" w:rsidRDefault="00FA5F7F" w:rsidP="00193D7C">
            <w:pPr>
              <w:spacing w:after="0"/>
              <w:rPr>
                <w:rFonts w:ascii="Arial" w:hAnsi="Arial"/>
                <w:noProof/>
              </w:rPr>
            </w:pPr>
          </w:p>
        </w:tc>
        <w:tc>
          <w:tcPr>
            <w:tcW w:w="1924" w:type="dxa"/>
          </w:tcPr>
          <w:p w14:paraId="01FF2742" w14:textId="77777777" w:rsidR="00FA5F7F" w:rsidRDefault="00FA5F7F" w:rsidP="00193D7C">
            <w:pPr>
              <w:spacing w:after="0"/>
              <w:rPr>
                <w:rFonts w:ascii="Arial" w:hAnsi="Arial"/>
                <w:noProof/>
              </w:rPr>
            </w:pPr>
          </w:p>
        </w:tc>
        <w:tc>
          <w:tcPr>
            <w:tcW w:w="5908" w:type="dxa"/>
          </w:tcPr>
          <w:p w14:paraId="3491B112" w14:textId="77777777" w:rsidR="00FA5F7F" w:rsidRDefault="00FA5F7F" w:rsidP="00193D7C">
            <w:pPr>
              <w:spacing w:after="0"/>
              <w:rPr>
                <w:rFonts w:ascii="Arial" w:hAnsi="Arial"/>
                <w:noProof/>
              </w:rPr>
            </w:pPr>
          </w:p>
        </w:tc>
      </w:tr>
      <w:tr w:rsidR="00FA5F7F" w:rsidRPr="000005B0" w14:paraId="2C66BE1B" w14:textId="77777777" w:rsidTr="00193D7C">
        <w:trPr>
          <w:trHeight w:val="248"/>
        </w:trPr>
        <w:tc>
          <w:tcPr>
            <w:tcW w:w="1995" w:type="dxa"/>
          </w:tcPr>
          <w:p w14:paraId="09C9B681" w14:textId="77777777" w:rsidR="00FA5F7F" w:rsidRDefault="00FA5F7F" w:rsidP="00193D7C">
            <w:pPr>
              <w:spacing w:after="0"/>
              <w:rPr>
                <w:rFonts w:ascii="Arial" w:hAnsi="Arial"/>
                <w:noProof/>
              </w:rPr>
            </w:pPr>
          </w:p>
        </w:tc>
        <w:tc>
          <w:tcPr>
            <w:tcW w:w="1924" w:type="dxa"/>
          </w:tcPr>
          <w:p w14:paraId="1A6B27C4" w14:textId="77777777" w:rsidR="00FA5F7F" w:rsidRDefault="00FA5F7F" w:rsidP="00193D7C">
            <w:pPr>
              <w:spacing w:after="0"/>
              <w:rPr>
                <w:rFonts w:ascii="Arial" w:hAnsi="Arial"/>
                <w:noProof/>
              </w:rPr>
            </w:pPr>
          </w:p>
        </w:tc>
        <w:tc>
          <w:tcPr>
            <w:tcW w:w="5908" w:type="dxa"/>
          </w:tcPr>
          <w:p w14:paraId="1BE146D3" w14:textId="77777777" w:rsidR="00FA5F7F" w:rsidRDefault="00FA5F7F" w:rsidP="00193D7C">
            <w:pPr>
              <w:spacing w:after="0"/>
              <w:rPr>
                <w:rFonts w:ascii="Arial" w:hAnsi="Arial"/>
                <w:noProof/>
              </w:rPr>
            </w:pPr>
          </w:p>
        </w:tc>
      </w:tr>
    </w:tbl>
    <w:p w14:paraId="7637C016" w14:textId="77777777" w:rsidR="009B2B15" w:rsidRPr="002745B6" w:rsidRDefault="009B2B15" w:rsidP="002745B6"/>
    <w:p w14:paraId="704197AA" w14:textId="449B9111" w:rsidR="00A919E2" w:rsidRDefault="005356D8" w:rsidP="00840375">
      <w:pPr>
        <w:pStyle w:val="Heading1"/>
      </w:pPr>
      <w:r w:rsidRPr="005356D8">
        <w:t>Clarificat</w:t>
      </w:r>
      <w:r>
        <w:t>i</w:t>
      </w:r>
      <w:r w:rsidRPr="005356D8">
        <w:t>on on the ue-PowerClassPerBandPerBC-r17</w:t>
      </w:r>
    </w:p>
    <w:p w14:paraId="6B34468C" w14:textId="38456C32" w:rsidR="00E36D62" w:rsidRDefault="00623CEF" w:rsidP="00E36D62">
      <w:r>
        <w:t>The discussion paper [</w:t>
      </w:r>
      <w:r w:rsidR="0040136E">
        <w:t>3</w:t>
      </w:r>
      <w:r>
        <w:t>] and the corresponding CR [</w:t>
      </w:r>
      <w:r w:rsidR="0040136E">
        <w:t>4</w:t>
      </w:r>
      <w:r>
        <w:t>]</w:t>
      </w:r>
      <w:r w:rsidR="00AE65EF">
        <w:t xml:space="preserve"> attempt to provide the dependencies </w:t>
      </w:r>
      <w:r w:rsidR="00F63E68">
        <w:t xml:space="preserve">related to the new UE capability ue-PowerClassPerBandPerBC-r17 </w:t>
      </w:r>
      <w:r w:rsidR="0066419E">
        <w:t>with the existing power class UE capabilities in Rel-15 and</w:t>
      </w:r>
      <w:r w:rsidR="000C2470">
        <w:t xml:space="preserve"> 16</w:t>
      </w:r>
      <w:r w:rsidR="00783728">
        <w:t>.</w:t>
      </w:r>
      <w:r w:rsidR="000C2470">
        <w:t xml:space="preserve"> T</w:t>
      </w:r>
      <w:r w:rsidR="00562D48">
        <w:t>he following</w:t>
      </w:r>
      <w:r w:rsidR="000C2470">
        <w:t xml:space="preserve"> proposals are provided in the discussion paper:</w:t>
      </w:r>
    </w:p>
    <w:p w14:paraId="13AD3DA9" w14:textId="77777777" w:rsidR="003B2446" w:rsidRDefault="003B2446" w:rsidP="003B2446">
      <w:r w:rsidRPr="00BB016A">
        <w:rPr>
          <w:b/>
          <w:bCs/>
          <w:noProof/>
        </w:rPr>
        <w:lastRenderedPageBreak/>
        <mc:AlternateContent>
          <mc:Choice Requires="wps">
            <w:drawing>
              <wp:inline distT="0" distB="0" distL="0" distR="0" wp14:anchorId="78233FAD" wp14:editId="1B6AB3B9">
                <wp:extent cx="6006904"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headEnd/>
                          <a:tailEnd/>
                        </a:ln>
                      </wps:spPr>
                      <wps:txb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w:t>
                            </w:r>
                            <w:proofErr w:type="spellStart"/>
                            <w:r>
                              <w:rPr>
                                <w:rFonts w:eastAsia="SimSun"/>
                                <w:b/>
                                <w:bCs/>
                              </w:rPr>
                              <w:t>ue-PowerClass</w:t>
                            </w:r>
                            <w:proofErr w:type="spellEnd"/>
                            <w:r>
                              <w:rPr>
                                <w:rFonts w:eastAsia="SimSun"/>
                                <w:b/>
                                <w:bCs/>
                              </w:rPr>
                              <w:t>(-v1610/1700</w:t>
                            </w:r>
                            <w:proofErr w:type="gramStart"/>
                            <w:r>
                              <w:rPr>
                                <w:rFonts w:eastAsia="SimSun"/>
                                <w:b/>
                                <w:bCs/>
                              </w:rPr>
                              <w:t>)  and</w:t>
                            </w:r>
                            <w:proofErr w:type="gramEnd"/>
                            <w:r>
                              <w:rPr>
                                <w:rFonts w:eastAsia="SimSun"/>
                                <w:b/>
                                <w:bCs/>
                              </w:rPr>
                              <w:t xml:space="preserve">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148126A" w14:textId="2C0049E5" w:rsidR="003B2446" w:rsidRPr="004F0DC3" w:rsidRDefault="003B2446" w:rsidP="00E50C39"/>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78233FAD" id="_x0000_s1028" type="#_x0000_t202" style="width:47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XF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">
                <v:textbo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0148126A" w14:textId="2C0049E5" w:rsidR="003B2446" w:rsidRPr="004F0DC3" w:rsidRDefault="003B2446" w:rsidP="00E50C39"/>
                  </w:txbxContent>
                </v:textbox>
                <w10:anchorlock/>
              </v:shape>
            </w:pict>
          </mc:Fallback>
        </mc:AlternateContent>
      </w:r>
      <w:r>
        <w:t xml:space="preserve"> </w:t>
      </w:r>
    </w:p>
    <w:p w14:paraId="0540939A" w14:textId="59C413F0" w:rsidR="00390F01" w:rsidRDefault="00390F01" w:rsidP="00E50C39">
      <w:pPr>
        <w:spacing w:after="0"/>
        <w:rPr>
          <w:rFonts w:ascii="Arial" w:hAnsi="Arial"/>
          <w:noProof/>
        </w:rPr>
      </w:pPr>
      <w:r>
        <w:rPr>
          <w:rFonts w:ascii="Arial" w:hAnsi="Arial"/>
          <w:noProof/>
        </w:rPr>
        <w:t xml:space="preserve">Rapporteur noticed that the </w:t>
      </w:r>
      <w:r w:rsidR="000D4E4B">
        <w:rPr>
          <w:rFonts w:ascii="Arial" w:hAnsi="Arial"/>
          <w:noProof/>
        </w:rPr>
        <w:t>note in the latest R4 feature list R4-2215143</w:t>
      </w:r>
      <w:r w:rsidR="0039078B">
        <w:rPr>
          <w:rFonts w:ascii="Arial" w:hAnsi="Arial"/>
          <w:noProof/>
        </w:rPr>
        <w:t xml:space="preserve"> (R4 16-8)</w:t>
      </w:r>
      <w:r w:rsidR="00410629">
        <w:rPr>
          <w:rFonts w:ascii="Arial" w:hAnsi="Arial"/>
          <w:noProof/>
        </w:rPr>
        <w:t xml:space="preserve"> is removed but the note </w:t>
      </w:r>
      <w:r w:rsidR="00122F60">
        <w:rPr>
          <w:rFonts w:ascii="Arial" w:hAnsi="Arial"/>
          <w:noProof/>
        </w:rPr>
        <w:t xml:space="preserve">for ue-PowerClassPerBandPerBC-r17 </w:t>
      </w:r>
      <w:r w:rsidR="00410629">
        <w:rPr>
          <w:rFonts w:ascii="Arial" w:hAnsi="Arial"/>
          <w:noProof/>
        </w:rPr>
        <w:t>seems to have been left or included mistakenly</w:t>
      </w:r>
      <w:r w:rsidR="00122F60">
        <w:rPr>
          <w:rFonts w:ascii="Arial" w:hAnsi="Arial"/>
          <w:noProof/>
        </w:rPr>
        <w:t xml:space="preserve">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9078B" w:rsidRPr="007D1E1D" w14:paraId="37340782" w14:textId="77777777" w:rsidTr="007C35ED">
        <w:trPr>
          <w:cantSplit/>
          <w:tblHeader/>
        </w:trPr>
        <w:tc>
          <w:tcPr>
            <w:tcW w:w="6917" w:type="dxa"/>
          </w:tcPr>
          <w:p w14:paraId="25CF4A73" w14:textId="77777777" w:rsidR="0039078B" w:rsidRPr="007D1E1D" w:rsidRDefault="0039078B" w:rsidP="00EB728B">
            <w:pPr>
              <w:pStyle w:val="TAL"/>
              <w:rPr>
                <w:b/>
                <w:i/>
              </w:rPr>
            </w:pPr>
            <w:r w:rsidRPr="007D1E1D">
              <w:rPr>
                <w:b/>
                <w:i/>
              </w:rPr>
              <w:t>ue-PowerClassPerBandPerBC-r17</w:t>
            </w:r>
          </w:p>
          <w:p w14:paraId="1C67D96C" w14:textId="77777777" w:rsidR="0039078B" w:rsidRPr="007D1E1D" w:rsidRDefault="0039078B" w:rsidP="00EB728B">
            <w:pPr>
              <w:pStyle w:val="TAL"/>
              <w:rPr>
                <w:bCs/>
                <w:iCs/>
              </w:rPr>
            </w:pPr>
            <w:r w:rsidRPr="007D1E1D">
              <w:rPr>
                <w:bCs/>
                <w:iCs/>
              </w:rPr>
              <w:t>Indicates the UE power class per band per band combination.</w:t>
            </w:r>
          </w:p>
          <w:p w14:paraId="570CCE30" w14:textId="77777777" w:rsidR="0039078B" w:rsidRPr="007D1E1D" w:rsidRDefault="0039078B" w:rsidP="00EB728B">
            <w:pPr>
              <w:pStyle w:val="TAL"/>
              <w:rPr>
                <w:bCs/>
                <w:iCs/>
              </w:rPr>
            </w:pPr>
          </w:p>
          <w:p w14:paraId="214EEBFE" w14:textId="77777777" w:rsidR="0039078B" w:rsidRPr="007D1E1D" w:rsidRDefault="0039078B" w:rsidP="00EB728B">
            <w:pPr>
              <w:pStyle w:val="TAN"/>
              <w:rPr>
                <w:b/>
                <w:i/>
              </w:rPr>
            </w:pPr>
            <w:r w:rsidRPr="0039078B">
              <w:rPr>
                <w:highlight w:val="yellow"/>
              </w:rPr>
              <w:t>NOTE:</w:t>
            </w:r>
            <w:r w:rsidRPr="0039078B">
              <w:rPr>
                <w:rFonts w:cs="Arial"/>
                <w:szCs w:val="18"/>
                <w:highlight w:val="yellow"/>
              </w:rPr>
              <w:tab/>
            </w:r>
            <w:r w:rsidRPr="0039078B">
              <w:rPr>
                <w:highlight w:val="yellow"/>
                <w:lang w:eastAsia="zh-CN"/>
              </w:rPr>
              <w:t>It is not applicable to the case when UL-MIMO and intra-band UL CA are in operation at the same time.</w:t>
            </w:r>
          </w:p>
        </w:tc>
        <w:tc>
          <w:tcPr>
            <w:tcW w:w="709" w:type="dxa"/>
          </w:tcPr>
          <w:p w14:paraId="6BC03FF8" w14:textId="77777777" w:rsidR="0039078B" w:rsidRPr="007D1E1D" w:rsidRDefault="0039078B" w:rsidP="00EB728B">
            <w:pPr>
              <w:pStyle w:val="TAL"/>
              <w:jc w:val="center"/>
            </w:pPr>
            <w:r w:rsidRPr="007D1E1D">
              <w:t>FS</w:t>
            </w:r>
          </w:p>
        </w:tc>
        <w:tc>
          <w:tcPr>
            <w:tcW w:w="567" w:type="dxa"/>
          </w:tcPr>
          <w:p w14:paraId="4962FEFC" w14:textId="77777777" w:rsidR="0039078B" w:rsidRPr="007D1E1D" w:rsidRDefault="0039078B" w:rsidP="00EB728B">
            <w:pPr>
              <w:pStyle w:val="TAL"/>
              <w:jc w:val="center"/>
            </w:pPr>
            <w:r w:rsidRPr="007D1E1D">
              <w:t>No</w:t>
            </w:r>
          </w:p>
        </w:tc>
        <w:tc>
          <w:tcPr>
            <w:tcW w:w="709" w:type="dxa"/>
          </w:tcPr>
          <w:p w14:paraId="75DCE6FB" w14:textId="77777777" w:rsidR="0039078B" w:rsidRPr="007D1E1D" w:rsidRDefault="0039078B" w:rsidP="00EB728B">
            <w:pPr>
              <w:pStyle w:val="TAL"/>
              <w:jc w:val="center"/>
              <w:rPr>
                <w:bCs/>
                <w:iCs/>
              </w:rPr>
            </w:pPr>
            <w:r w:rsidRPr="007D1E1D">
              <w:rPr>
                <w:bCs/>
                <w:iCs/>
              </w:rPr>
              <w:t>N/A</w:t>
            </w:r>
          </w:p>
        </w:tc>
        <w:tc>
          <w:tcPr>
            <w:tcW w:w="728" w:type="dxa"/>
          </w:tcPr>
          <w:p w14:paraId="3696186E" w14:textId="77777777" w:rsidR="0039078B" w:rsidRPr="007D1E1D" w:rsidRDefault="0039078B" w:rsidP="00EB728B">
            <w:pPr>
              <w:pStyle w:val="TAL"/>
              <w:jc w:val="center"/>
              <w:rPr>
                <w:bCs/>
                <w:iCs/>
              </w:rPr>
            </w:pPr>
            <w:r w:rsidRPr="007D1E1D">
              <w:rPr>
                <w:bCs/>
                <w:iCs/>
              </w:rPr>
              <w:t>FR1 only</w:t>
            </w:r>
          </w:p>
        </w:tc>
      </w:tr>
    </w:tbl>
    <w:p w14:paraId="523DBED8" w14:textId="77777777" w:rsidR="0039078B" w:rsidRDefault="0039078B" w:rsidP="00E50C39">
      <w:pPr>
        <w:spacing w:after="0"/>
        <w:rPr>
          <w:rFonts w:ascii="Arial" w:hAnsi="Arial"/>
          <w:noProof/>
        </w:rPr>
      </w:pPr>
    </w:p>
    <w:p w14:paraId="4859F13E" w14:textId="2AA772CF" w:rsidR="00E50C39" w:rsidRDefault="00E50C39" w:rsidP="00E50C39">
      <w:pPr>
        <w:spacing w:after="0"/>
        <w:rPr>
          <w:rFonts w:ascii="Arial" w:hAnsi="Arial"/>
          <w:noProof/>
        </w:rPr>
      </w:pPr>
      <w:r>
        <w:rPr>
          <w:rFonts w:ascii="Arial" w:hAnsi="Arial"/>
          <w:b/>
          <w:bCs/>
          <w:noProof/>
        </w:rPr>
        <w:t>Q</w:t>
      </w:r>
      <w:r w:rsidR="007B4B69">
        <w:rPr>
          <w:rFonts w:ascii="Arial" w:hAnsi="Arial"/>
          <w:b/>
          <w:bCs/>
          <w:noProof/>
        </w:rPr>
        <w:t>3</w:t>
      </w:r>
      <w:r>
        <w:rPr>
          <w:rFonts w:ascii="Arial" w:hAnsi="Arial"/>
          <w:b/>
          <w:bCs/>
          <w:noProof/>
        </w:rPr>
        <w:t xml:space="preserve"> </w:t>
      </w:r>
      <w:r w:rsidRPr="00FE17B3">
        <w:rPr>
          <w:rFonts w:ascii="Arial" w:hAnsi="Arial"/>
          <w:b/>
          <w:bCs/>
          <w:noProof/>
        </w:rPr>
        <w:t xml:space="preserve">Do companies agree with the </w:t>
      </w:r>
      <w:r w:rsidR="006E1414">
        <w:rPr>
          <w:rFonts w:ascii="Arial" w:hAnsi="Arial"/>
          <w:b/>
          <w:bCs/>
          <w:noProof/>
        </w:rPr>
        <w:t>proposals above</w:t>
      </w:r>
      <w:r w:rsidR="003650CC">
        <w:rPr>
          <w:rFonts w:ascii="Arial" w:hAnsi="Arial"/>
          <w:b/>
          <w:bCs/>
          <w:noProof/>
        </w:rPr>
        <w:t xml:space="preserve"> in [4]</w:t>
      </w:r>
      <w:r w:rsidRPr="00FE17B3">
        <w:rPr>
          <w:rFonts w:ascii="Arial" w:hAnsi="Arial"/>
          <w:b/>
          <w:bCs/>
          <w:noProof/>
        </w:rPr>
        <w:t>?</w:t>
      </w:r>
    </w:p>
    <w:p w14:paraId="3D88C12C" w14:textId="77777777" w:rsidR="00E50C39" w:rsidRDefault="00E50C39" w:rsidP="00E50C39">
      <w:pPr>
        <w:spacing w:after="0"/>
        <w:rPr>
          <w:rFonts w:ascii="Arial" w:hAnsi="Arial"/>
          <w:noProof/>
        </w:rPr>
      </w:pPr>
    </w:p>
    <w:tbl>
      <w:tblPr>
        <w:tblStyle w:val="TableGrid"/>
        <w:tblW w:w="0" w:type="auto"/>
        <w:tblLook w:val="04A0" w:firstRow="1" w:lastRow="0" w:firstColumn="1" w:lastColumn="0" w:noHBand="0" w:noVBand="1"/>
      </w:tblPr>
      <w:tblGrid>
        <w:gridCol w:w="1405"/>
        <w:gridCol w:w="1390"/>
        <w:gridCol w:w="1453"/>
        <w:gridCol w:w="1417"/>
        <w:gridCol w:w="4254"/>
      </w:tblGrid>
      <w:tr w:rsidR="00FD069A" w:rsidRPr="000005B0" w14:paraId="64FB097B" w14:textId="77777777" w:rsidTr="00FD069A">
        <w:trPr>
          <w:trHeight w:val="248"/>
        </w:trPr>
        <w:tc>
          <w:tcPr>
            <w:tcW w:w="1405" w:type="dxa"/>
          </w:tcPr>
          <w:p w14:paraId="4267932B" w14:textId="77777777" w:rsidR="00FD069A" w:rsidRPr="000005B0" w:rsidRDefault="00FD069A" w:rsidP="00193D7C">
            <w:pPr>
              <w:spacing w:after="0"/>
              <w:rPr>
                <w:rFonts w:ascii="Arial" w:hAnsi="Arial"/>
                <w:b/>
                <w:bCs/>
                <w:noProof/>
              </w:rPr>
            </w:pPr>
            <w:r w:rsidRPr="000005B0">
              <w:rPr>
                <w:rFonts w:ascii="Arial" w:hAnsi="Arial"/>
                <w:b/>
                <w:bCs/>
                <w:noProof/>
              </w:rPr>
              <w:t>Company</w:t>
            </w:r>
          </w:p>
        </w:tc>
        <w:tc>
          <w:tcPr>
            <w:tcW w:w="1390" w:type="dxa"/>
          </w:tcPr>
          <w:p w14:paraId="1A85BED3" w14:textId="0F1F451A" w:rsidR="00FD069A" w:rsidRPr="000005B0" w:rsidRDefault="00FD069A" w:rsidP="00193D7C">
            <w:pPr>
              <w:spacing w:after="0"/>
              <w:rPr>
                <w:rFonts w:ascii="Arial" w:hAnsi="Arial"/>
                <w:b/>
                <w:bCs/>
                <w:noProof/>
              </w:rPr>
            </w:pPr>
            <w:r>
              <w:rPr>
                <w:rFonts w:ascii="Arial" w:hAnsi="Arial"/>
                <w:b/>
                <w:bCs/>
                <w:noProof/>
              </w:rPr>
              <w:t>Proposal 1 (yes/no)</w:t>
            </w:r>
          </w:p>
        </w:tc>
        <w:tc>
          <w:tcPr>
            <w:tcW w:w="1453" w:type="dxa"/>
          </w:tcPr>
          <w:p w14:paraId="27481868" w14:textId="77777777" w:rsidR="00FD069A" w:rsidRDefault="00FD069A" w:rsidP="00193D7C">
            <w:pPr>
              <w:spacing w:after="0"/>
              <w:rPr>
                <w:rFonts w:ascii="Arial" w:hAnsi="Arial"/>
                <w:b/>
                <w:bCs/>
                <w:noProof/>
              </w:rPr>
            </w:pPr>
            <w:r>
              <w:rPr>
                <w:rFonts w:ascii="Arial" w:hAnsi="Arial"/>
                <w:b/>
                <w:bCs/>
                <w:noProof/>
              </w:rPr>
              <w:t>Proposal 2</w:t>
            </w:r>
          </w:p>
          <w:p w14:paraId="577794B3" w14:textId="13DD1EA2" w:rsidR="00FD069A" w:rsidRPr="000005B0" w:rsidRDefault="00FD069A" w:rsidP="00193D7C">
            <w:pPr>
              <w:spacing w:after="0"/>
              <w:rPr>
                <w:rFonts w:ascii="Arial" w:hAnsi="Arial"/>
                <w:b/>
                <w:bCs/>
                <w:noProof/>
              </w:rPr>
            </w:pPr>
            <w:r>
              <w:rPr>
                <w:rFonts w:ascii="Arial" w:hAnsi="Arial"/>
                <w:b/>
                <w:bCs/>
                <w:noProof/>
              </w:rPr>
              <w:t>(yes/no)</w:t>
            </w:r>
          </w:p>
        </w:tc>
        <w:tc>
          <w:tcPr>
            <w:tcW w:w="1417" w:type="dxa"/>
          </w:tcPr>
          <w:p w14:paraId="2E5868D6" w14:textId="77777777" w:rsidR="00FD069A" w:rsidRDefault="00FD069A" w:rsidP="00193D7C">
            <w:pPr>
              <w:spacing w:after="0"/>
              <w:rPr>
                <w:rFonts w:ascii="Arial" w:hAnsi="Arial"/>
                <w:b/>
                <w:bCs/>
                <w:noProof/>
              </w:rPr>
            </w:pPr>
            <w:r>
              <w:rPr>
                <w:rFonts w:ascii="Arial" w:hAnsi="Arial"/>
                <w:b/>
                <w:bCs/>
                <w:noProof/>
              </w:rPr>
              <w:t>Proposal 2a</w:t>
            </w:r>
          </w:p>
          <w:p w14:paraId="01BF74AA" w14:textId="10BAA160" w:rsidR="00FD069A" w:rsidRPr="000005B0" w:rsidRDefault="00FD069A" w:rsidP="00193D7C">
            <w:pPr>
              <w:spacing w:after="0"/>
              <w:rPr>
                <w:rFonts w:ascii="Arial" w:hAnsi="Arial"/>
                <w:b/>
                <w:bCs/>
                <w:noProof/>
              </w:rPr>
            </w:pPr>
            <w:r>
              <w:rPr>
                <w:rFonts w:ascii="Arial" w:hAnsi="Arial"/>
                <w:b/>
                <w:bCs/>
                <w:noProof/>
              </w:rPr>
              <w:t>(yes/no)</w:t>
            </w:r>
          </w:p>
        </w:tc>
        <w:tc>
          <w:tcPr>
            <w:tcW w:w="4254" w:type="dxa"/>
          </w:tcPr>
          <w:p w14:paraId="17F67534" w14:textId="49EC1A72" w:rsidR="00FD069A" w:rsidRPr="000005B0" w:rsidRDefault="00FD069A" w:rsidP="00193D7C">
            <w:pPr>
              <w:spacing w:after="0"/>
              <w:rPr>
                <w:rFonts w:ascii="Arial" w:hAnsi="Arial"/>
                <w:b/>
                <w:bCs/>
                <w:noProof/>
              </w:rPr>
            </w:pPr>
            <w:r w:rsidRPr="000005B0">
              <w:rPr>
                <w:rFonts w:ascii="Arial" w:hAnsi="Arial"/>
                <w:b/>
                <w:bCs/>
                <w:noProof/>
              </w:rPr>
              <w:t>Comments</w:t>
            </w:r>
          </w:p>
        </w:tc>
      </w:tr>
      <w:tr w:rsidR="00FD069A" w:rsidRPr="000005B0" w14:paraId="778F2F54" w14:textId="77777777" w:rsidTr="00FD069A">
        <w:trPr>
          <w:trHeight w:val="248"/>
        </w:trPr>
        <w:tc>
          <w:tcPr>
            <w:tcW w:w="1405" w:type="dxa"/>
          </w:tcPr>
          <w:p w14:paraId="0DA7995D" w14:textId="77777777" w:rsidR="00FD069A" w:rsidRPr="000005B0" w:rsidRDefault="00FD069A" w:rsidP="00193D7C">
            <w:pPr>
              <w:spacing w:after="0"/>
              <w:rPr>
                <w:rFonts w:ascii="Arial" w:hAnsi="Arial"/>
                <w:noProof/>
              </w:rPr>
            </w:pPr>
            <w:r>
              <w:rPr>
                <w:rFonts w:ascii="Arial" w:hAnsi="Arial"/>
                <w:noProof/>
              </w:rPr>
              <w:t>Intel</w:t>
            </w:r>
          </w:p>
        </w:tc>
        <w:tc>
          <w:tcPr>
            <w:tcW w:w="1390" w:type="dxa"/>
          </w:tcPr>
          <w:p w14:paraId="71B34AEA" w14:textId="0C67A8B1" w:rsidR="00FD069A" w:rsidRPr="000005B0" w:rsidRDefault="0027053C" w:rsidP="00193D7C">
            <w:pPr>
              <w:spacing w:after="0"/>
              <w:rPr>
                <w:rFonts w:ascii="Arial" w:hAnsi="Arial"/>
                <w:noProof/>
              </w:rPr>
            </w:pPr>
            <w:r>
              <w:rPr>
                <w:rFonts w:ascii="Arial" w:hAnsi="Arial"/>
                <w:noProof/>
              </w:rPr>
              <w:t>See comment</w:t>
            </w:r>
          </w:p>
        </w:tc>
        <w:tc>
          <w:tcPr>
            <w:tcW w:w="1453" w:type="dxa"/>
          </w:tcPr>
          <w:p w14:paraId="5B9CD972" w14:textId="07CC4A29" w:rsidR="00FD069A" w:rsidRDefault="0027053C" w:rsidP="00193D7C">
            <w:pPr>
              <w:spacing w:after="0"/>
              <w:rPr>
                <w:rFonts w:ascii="Arial" w:hAnsi="Arial"/>
                <w:noProof/>
              </w:rPr>
            </w:pPr>
            <w:r>
              <w:rPr>
                <w:rFonts w:ascii="Arial" w:hAnsi="Arial"/>
                <w:noProof/>
              </w:rPr>
              <w:t>See comment</w:t>
            </w:r>
          </w:p>
        </w:tc>
        <w:tc>
          <w:tcPr>
            <w:tcW w:w="1417" w:type="dxa"/>
          </w:tcPr>
          <w:p w14:paraId="268038A2" w14:textId="3AC3FFFD" w:rsidR="00FD069A" w:rsidRDefault="0027053C" w:rsidP="00193D7C">
            <w:pPr>
              <w:spacing w:after="0"/>
              <w:rPr>
                <w:rFonts w:ascii="Arial" w:hAnsi="Arial"/>
                <w:noProof/>
              </w:rPr>
            </w:pPr>
            <w:r>
              <w:rPr>
                <w:rFonts w:ascii="Arial" w:hAnsi="Arial"/>
                <w:noProof/>
              </w:rPr>
              <w:t>See comment</w:t>
            </w:r>
          </w:p>
        </w:tc>
        <w:tc>
          <w:tcPr>
            <w:tcW w:w="4254" w:type="dxa"/>
          </w:tcPr>
          <w:p w14:paraId="69164E52" w14:textId="46F07804" w:rsidR="00C73F97" w:rsidRDefault="00C73F97" w:rsidP="00444F7D">
            <w:pPr>
              <w:spacing w:after="0"/>
              <w:rPr>
                <w:rFonts w:ascii="Arial" w:hAnsi="Arial"/>
                <w:noProof/>
              </w:rPr>
            </w:pPr>
            <w:r>
              <w:rPr>
                <w:rFonts w:ascii="Arial" w:hAnsi="Arial"/>
                <w:noProof/>
              </w:rPr>
              <w:t xml:space="preserve">We think that whether to add these kind of dependencies </w:t>
            </w:r>
            <w:r w:rsidR="00CA0B39">
              <w:rPr>
                <w:rFonts w:ascii="Arial" w:hAnsi="Arial"/>
                <w:noProof/>
              </w:rPr>
              <w:t>or restriction</w:t>
            </w:r>
            <w:r>
              <w:rPr>
                <w:rFonts w:ascii="Arial" w:hAnsi="Arial"/>
                <w:noProof/>
              </w:rPr>
              <w:t xml:space="preserve"> should be first discussed in RAN4.</w:t>
            </w:r>
          </w:p>
          <w:p w14:paraId="113ED942" w14:textId="77777777" w:rsidR="00C168E3" w:rsidRDefault="00C168E3" w:rsidP="00B4728D">
            <w:pPr>
              <w:spacing w:after="0"/>
              <w:rPr>
                <w:rFonts w:ascii="Arial" w:hAnsi="Arial"/>
                <w:noProof/>
              </w:rPr>
            </w:pPr>
          </w:p>
          <w:p w14:paraId="416B771B" w14:textId="3C0AF75B" w:rsidR="00FD069A" w:rsidRDefault="00941AA3" w:rsidP="00193D7C">
            <w:pPr>
              <w:spacing w:after="0"/>
              <w:rPr>
                <w:rFonts w:ascii="Arial" w:hAnsi="Arial"/>
                <w:noProof/>
              </w:rPr>
            </w:pPr>
            <w:r>
              <w:rPr>
                <w:rFonts w:ascii="Arial" w:hAnsi="Arial"/>
                <w:noProof/>
              </w:rPr>
              <w:t xml:space="preserve">Our understanding is that </w:t>
            </w:r>
            <w:r w:rsidR="00A83DE0">
              <w:rPr>
                <w:rFonts w:ascii="Arial" w:hAnsi="Arial"/>
                <w:noProof/>
              </w:rPr>
              <w:t xml:space="preserve">the proposals </w:t>
            </w:r>
            <w:r w:rsidR="00F70659">
              <w:rPr>
                <w:rFonts w:ascii="Arial" w:hAnsi="Arial"/>
                <w:noProof/>
              </w:rPr>
              <w:t xml:space="preserve">are </w:t>
            </w:r>
            <w:r w:rsidR="00FF41CD">
              <w:rPr>
                <w:rFonts w:ascii="Arial" w:hAnsi="Arial"/>
                <w:noProof/>
              </w:rPr>
              <w:t>related to</w:t>
            </w:r>
            <w:r w:rsidR="004F6DB5">
              <w:rPr>
                <w:rFonts w:ascii="Arial" w:hAnsi="Arial"/>
                <w:noProof/>
              </w:rPr>
              <w:t xml:space="preserve"> the </w:t>
            </w:r>
            <w:r w:rsidR="00370A72">
              <w:rPr>
                <w:rFonts w:ascii="Arial" w:hAnsi="Arial"/>
                <w:noProof/>
              </w:rPr>
              <w:t>the applicability of the feature to intra</w:t>
            </w:r>
            <w:r w:rsidR="00EB06DE">
              <w:rPr>
                <w:rFonts w:ascii="Arial" w:hAnsi="Arial"/>
                <w:noProof/>
              </w:rPr>
              <w:t>-band and inter-band UL CA</w:t>
            </w:r>
            <w:r w:rsidR="00F70659">
              <w:rPr>
                <w:rFonts w:ascii="Arial" w:hAnsi="Arial"/>
                <w:noProof/>
              </w:rPr>
              <w:t xml:space="preserve">. As </w:t>
            </w:r>
            <w:r w:rsidR="00E56FE3">
              <w:rPr>
                <w:rFonts w:ascii="Arial" w:hAnsi="Arial"/>
                <w:noProof/>
              </w:rPr>
              <w:t>the rapport</w:t>
            </w:r>
            <w:r w:rsidR="000A2697">
              <w:rPr>
                <w:rFonts w:ascii="Arial" w:hAnsi="Arial"/>
                <w:noProof/>
              </w:rPr>
              <w:t>e</w:t>
            </w:r>
            <w:r w:rsidR="00E56FE3">
              <w:rPr>
                <w:rFonts w:ascii="Arial" w:hAnsi="Arial"/>
                <w:noProof/>
              </w:rPr>
              <w:t xml:space="preserve">ur indicated, </w:t>
            </w:r>
            <w:r>
              <w:rPr>
                <w:rFonts w:ascii="Arial" w:hAnsi="Arial"/>
                <w:noProof/>
              </w:rPr>
              <w:t xml:space="preserve">in the last </w:t>
            </w:r>
            <w:r w:rsidR="00531CBA">
              <w:rPr>
                <w:rFonts w:ascii="Arial" w:hAnsi="Arial"/>
                <w:noProof/>
              </w:rPr>
              <w:t xml:space="preserve">RAN4 </w:t>
            </w:r>
            <w:r>
              <w:rPr>
                <w:rFonts w:ascii="Arial" w:hAnsi="Arial"/>
                <w:noProof/>
              </w:rPr>
              <w:t>meeting the note</w:t>
            </w:r>
            <w:r w:rsidR="00DD109E">
              <w:rPr>
                <w:rFonts w:ascii="Arial" w:hAnsi="Arial"/>
                <w:noProof/>
              </w:rPr>
              <w:t xml:space="preserve"> in the R4 feature list</w:t>
            </w:r>
            <w:r w:rsidR="0068124A">
              <w:rPr>
                <w:rFonts w:ascii="Arial" w:hAnsi="Arial"/>
                <w:noProof/>
              </w:rPr>
              <w:t xml:space="preserve"> </w:t>
            </w:r>
            <w:r w:rsidR="00E56FE3">
              <w:rPr>
                <w:rFonts w:ascii="Arial" w:hAnsi="Arial"/>
                <w:noProof/>
              </w:rPr>
              <w:t xml:space="preserve">related to intra-band UL CA is removed. Therefore, </w:t>
            </w:r>
            <w:r w:rsidR="0027053C">
              <w:rPr>
                <w:rFonts w:ascii="Arial" w:hAnsi="Arial"/>
                <w:noProof/>
              </w:rPr>
              <w:t xml:space="preserve"> </w:t>
            </w:r>
            <w:r w:rsidR="00C03FF6">
              <w:rPr>
                <w:rFonts w:ascii="Arial" w:hAnsi="Arial"/>
                <w:noProof/>
              </w:rPr>
              <w:t>w</w:t>
            </w:r>
            <w:r w:rsidR="0027053C">
              <w:rPr>
                <w:rFonts w:ascii="Arial" w:hAnsi="Arial"/>
                <w:noProof/>
              </w:rPr>
              <w:t xml:space="preserve">hether to add </w:t>
            </w:r>
            <w:r w:rsidR="00725B5B">
              <w:rPr>
                <w:rFonts w:ascii="Arial" w:hAnsi="Arial"/>
                <w:noProof/>
              </w:rPr>
              <w:t xml:space="preserve">additional </w:t>
            </w:r>
            <w:r w:rsidR="00F150D5">
              <w:rPr>
                <w:rFonts w:ascii="Arial" w:hAnsi="Arial"/>
                <w:noProof/>
              </w:rPr>
              <w:t>dependencies should be first discussed in RAN 4</w:t>
            </w:r>
            <w:r w:rsidR="0068124A">
              <w:rPr>
                <w:rFonts w:ascii="Arial" w:hAnsi="Arial"/>
                <w:noProof/>
              </w:rPr>
              <w:t>.</w:t>
            </w:r>
          </w:p>
          <w:p w14:paraId="255EA2E3" w14:textId="77777777" w:rsidR="00DD109E" w:rsidRDefault="00DD109E" w:rsidP="00193D7C">
            <w:pPr>
              <w:spacing w:after="0"/>
              <w:rPr>
                <w:rFonts w:ascii="Arial" w:hAnsi="Arial"/>
                <w:noProof/>
              </w:rPr>
            </w:pPr>
          </w:p>
          <w:p w14:paraId="064DF3D0" w14:textId="1E4193DE" w:rsidR="0068124A" w:rsidRPr="000005B0" w:rsidRDefault="00915C96" w:rsidP="00193D7C">
            <w:pPr>
              <w:spacing w:after="0"/>
              <w:rPr>
                <w:rFonts w:ascii="Arial" w:hAnsi="Arial"/>
                <w:noProof/>
              </w:rPr>
            </w:pPr>
            <w:r>
              <w:rPr>
                <w:rFonts w:ascii="Arial" w:hAnsi="Arial"/>
                <w:noProof/>
              </w:rPr>
              <w:t xml:space="preserve">If the proposals are supported by majority, we could </w:t>
            </w:r>
            <w:r w:rsidR="0068124A">
              <w:rPr>
                <w:rFonts w:ascii="Arial" w:hAnsi="Arial"/>
                <w:noProof/>
              </w:rPr>
              <w:t xml:space="preserve"> </w:t>
            </w:r>
            <w:r w:rsidR="00140B7C">
              <w:rPr>
                <w:rFonts w:ascii="Arial" w:hAnsi="Arial"/>
                <w:noProof/>
              </w:rPr>
              <w:t xml:space="preserve">check with RAN4 whether the proposals on the dependencies are correct and asked them to include them to the feature list table. </w:t>
            </w:r>
          </w:p>
        </w:tc>
      </w:tr>
      <w:tr w:rsidR="00FD069A" w:rsidRPr="000005B0" w14:paraId="1D358867" w14:textId="77777777" w:rsidTr="00FD069A">
        <w:trPr>
          <w:trHeight w:val="248"/>
        </w:trPr>
        <w:tc>
          <w:tcPr>
            <w:tcW w:w="1405" w:type="dxa"/>
          </w:tcPr>
          <w:p w14:paraId="4B178F45" w14:textId="77777777" w:rsidR="00FD069A" w:rsidRDefault="00FD069A" w:rsidP="00193D7C">
            <w:pPr>
              <w:spacing w:after="0"/>
              <w:rPr>
                <w:rFonts w:ascii="Arial" w:hAnsi="Arial"/>
                <w:noProof/>
              </w:rPr>
            </w:pPr>
          </w:p>
        </w:tc>
        <w:tc>
          <w:tcPr>
            <w:tcW w:w="1390" w:type="dxa"/>
          </w:tcPr>
          <w:p w14:paraId="61E01751" w14:textId="77777777" w:rsidR="00FD069A" w:rsidRDefault="00FD069A" w:rsidP="00193D7C">
            <w:pPr>
              <w:spacing w:after="0"/>
              <w:rPr>
                <w:rFonts w:ascii="Arial" w:hAnsi="Arial"/>
                <w:noProof/>
              </w:rPr>
            </w:pPr>
          </w:p>
        </w:tc>
        <w:tc>
          <w:tcPr>
            <w:tcW w:w="1453" w:type="dxa"/>
          </w:tcPr>
          <w:p w14:paraId="48A85414" w14:textId="77777777" w:rsidR="00FD069A" w:rsidRDefault="00FD069A" w:rsidP="00193D7C">
            <w:pPr>
              <w:spacing w:after="0"/>
              <w:rPr>
                <w:rFonts w:ascii="Arial" w:hAnsi="Arial"/>
                <w:noProof/>
              </w:rPr>
            </w:pPr>
          </w:p>
        </w:tc>
        <w:tc>
          <w:tcPr>
            <w:tcW w:w="1417" w:type="dxa"/>
          </w:tcPr>
          <w:p w14:paraId="2BF9D06C" w14:textId="77777777" w:rsidR="00FD069A" w:rsidRDefault="00FD069A" w:rsidP="00193D7C">
            <w:pPr>
              <w:spacing w:after="0"/>
              <w:rPr>
                <w:rFonts w:ascii="Arial" w:hAnsi="Arial"/>
                <w:noProof/>
              </w:rPr>
            </w:pPr>
          </w:p>
        </w:tc>
        <w:tc>
          <w:tcPr>
            <w:tcW w:w="4254" w:type="dxa"/>
          </w:tcPr>
          <w:p w14:paraId="6CEB62AD" w14:textId="692AD9FE" w:rsidR="00FD069A" w:rsidRDefault="00FD069A" w:rsidP="00193D7C">
            <w:pPr>
              <w:spacing w:after="0"/>
              <w:rPr>
                <w:rFonts w:ascii="Arial" w:hAnsi="Arial"/>
                <w:noProof/>
              </w:rPr>
            </w:pPr>
          </w:p>
        </w:tc>
      </w:tr>
      <w:tr w:rsidR="00FD069A" w:rsidRPr="000005B0" w14:paraId="1D194029" w14:textId="77777777" w:rsidTr="00FD069A">
        <w:trPr>
          <w:trHeight w:val="248"/>
        </w:trPr>
        <w:tc>
          <w:tcPr>
            <w:tcW w:w="1405" w:type="dxa"/>
          </w:tcPr>
          <w:p w14:paraId="29BE8D25" w14:textId="77777777" w:rsidR="00FD069A" w:rsidRDefault="00FD069A" w:rsidP="00193D7C">
            <w:pPr>
              <w:spacing w:after="0"/>
              <w:rPr>
                <w:rFonts w:ascii="Arial" w:hAnsi="Arial"/>
                <w:noProof/>
              </w:rPr>
            </w:pPr>
          </w:p>
        </w:tc>
        <w:tc>
          <w:tcPr>
            <w:tcW w:w="1390" w:type="dxa"/>
          </w:tcPr>
          <w:p w14:paraId="0E3980FD" w14:textId="77777777" w:rsidR="00FD069A" w:rsidRDefault="00FD069A" w:rsidP="00193D7C">
            <w:pPr>
              <w:spacing w:after="0"/>
              <w:rPr>
                <w:rFonts w:ascii="Arial" w:hAnsi="Arial"/>
                <w:noProof/>
              </w:rPr>
            </w:pPr>
          </w:p>
        </w:tc>
        <w:tc>
          <w:tcPr>
            <w:tcW w:w="1453" w:type="dxa"/>
          </w:tcPr>
          <w:p w14:paraId="5D5D5306" w14:textId="77777777" w:rsidR="00FD069A" w:rsidRDefault="00FD069A" w:rsidP="00193D7C">
            <w:pPr>
              <w:spacing w:after="0"/>
              <w:rPr>
                <w:rFonts w:ascii="Arial" w:hAnsi="Arial"/>
                <w:noProof/>
              </w:rPr>
            </w:pPr>
          </w:p>
        </w:tc>
        <w:tc>
          <w:tcPr>
            <w:tcW w:w="1417" w:type="dxa"/>
          </w:tcPr>
          <w:p w14:paraId="2860569D" w14:textId="77777777" w:rsidR="00FD069A" w:rsidRDefault="00FD069A" w:rsidP="00193D7C">
            <w:pPr>
              <w:spacing w:after="0"/>
              <w:rPr>
                <w:rFonts w:ascii="Arial" w:hAnsi="Arial"/>
                <w:noProof/>
              </w:rPr>
            </w:pPr>
          </w:p>
        </w:tc>
        <w:tc>
          <w:tcPr>
            <w:tcW w:w="4254" w:type="dxa"/>
          </w:tcPr>
          <w:p w14:paraId="4F161465" w14:textId="2A1FFE02" w:rsidR="00FD069A" w:rsidRDefault="00FD069A" w:rsidP="00193D7C">
            <w:pPr>
              <w:spacing w:after="0"/>
              <w:rPr>
                <w:rFonts w:ascii="Arial" w:hAnsi="Arial"/>
                <w:noProof/>
              </w:rPr>
            </w:pPr>
          </w:p>
        </w:tc>
      </w:tr>
      <w:tr w:rsidR="00FD069A" w:rsidRPr="000005B0" w14:paraId="7EC480F5" w14:textId="77777777" w:rsidTr="00FD069A">
        <w:trPr>
          <w:trHeight w:val="248"/>
        </w:trPr>
        <w:tc>
          <w:tcPr>
            <w:tcW w:w="1405" w:type="dxa"/>
          </w:tcPr>
          <w:p w14:paraId="6CBF13B9" w14:textId="77777777" w:rsidR="00FD069A" w:rsidRDefault="00FD069A" w:rsidP="00193D7C">
            <w:pPr>
              <w:spacing w:after="0"/>
              <w:rPr>
                <w:rFonts w:ascii="Arial" w:hAnsi="Arial"/>
                <w:noProof/>
              </w:rPr>
            </w:pPr>
          </w:p>
        </w:tc>
        <w:tc>
          <w:tcPr>
            <w:tcW w:w="1390" w:type="dxa"/>
          </w:tcPr>
          <w:p w14:paraId="79648E33" w14:textId="77777777" w:rsidR="00FD069A" w:rsidRDefault="00FD069A" w:rsidP="00193D7C">
            <w:pPr>
              <w:spacing w:after="0"/>
              <w:rPr>
                <w:rFonts w:ascii="Arial" w:hAnsi="Arial"/>
                <w:noProof/>
              </w:rPr>
            </w:pPr>
          </w:p>
        </w:tc>
        <w:tc>
          <w:tcPr>
            <w:tcW w:w="1453" w:type="dxa"/>
          </w:tcPr>
          <w:p w14:paraId="06E23A34" w14:textId="77777777" w:rsidR="00FD069A" w:rsidRDefault="00FD069A" w:rsidP="00193D7C">
            <w:pPr>
              <w:spacing w:after="0"/>
              <w:rPr>
                <w:rFonts w:ascii="Arial" w:hAnsi="Arial"/>
                <w:noProof/>
              </w:rPr>
            </w:pPr>
          </w:p>
        </w:tc>
        <w:tc>
          <w:tcPr>
            <w:tcW w:w="1417" w:type="dxa"/>
          </w:tcPr>
          <w:p w14:paraId="3F44C8F6" w14:textId="77777777" w:rsidR="00FD069A" w:rsidRDefault="00FD069A" w:rsidP="00193D7C">
            <w:pPr>
              <w:spacing w:after="0"/>
              <w:rPr>
                <w:rFonts w:ascii="Arial" w:hAnsi="Arial"/>
                <w:noProof/>
              </w:rPr>
            </w:pPr>
          </w:p>
        </w:tc>
        <w:tc>
          <w:tcPr>
            <w:tcW w:w="4254" w:type="dxa"/>
          </w:tcPr>
          <w:p w14:paraId="21B02D3F" w14:textId="760BD705" w:rsidR="00FD069A" w:rsidRDefault="00FD069A" w:rsidP="00193D7C">
            <w:pPr>
              <w:spacing w:after="0"/>
              <w:rPr>
                <w:rFonts w:ascii="Arial" w:hAnsi="Arial"/>
                <w:noProof/>
              </w:rPr>
            </w:pPr>
          </w:p>
        </w:tc>
      </w:tr>
    </w:tbl>
    <w:p w14:paraId="31F9E6AA" w14:textId="71EFCA13" w:rsidR="00783728" w:rsidRDefault="00783728" w:rsidP="00E36D62"/>
    <w:p w14:paraId="49A7B2A8" w14:textId="77777777" w:rsidR="007978D1" w:rsidRDefault="007978D1" w:rsidP="00E36D62"/>
    <w:p w14:paraId="639B8C88" w14:textId="270E5E11" w:rsidR="00AD39EC" w:rsidRPr="009307A9" w:rsidRDefault="00AD39EC" w:rsidP="00AD39EC">
      <w:pPr>
        <w:pStyle w:val="TAL"/>
        <w:rPr>
          <w:b/>
          <w:i/>
        </w:rPr>
      </w:pPr>
      <w:r>
        <w:rPr>
          <w:b/>
          <w:bCs/>
          <w:noProof/>
        </w:rPr>
        <w:t>Q</w:t>
      </w:r>
      <w:r w:rsidR="007B4B69">
        <w:rPr>
          <w:b/>
          <w:bCs/>
          <w:noProof/>
        </w:rPr>
        <w:t>4</w:t>
      </w:r>
      <w:r>
        <w:rPr>
          <w:b/>
          <w:bCs/>
          <w:noProof/>
        </w:rPr>
        <w:t xml:space="preserve"> </w:t>
      </w:r>
      <w:r w:rsidR="007C446C">
        <w:rPr>
          <w:b/>
          <w:bCs/>
          <w:noProof/>
        </w:rPr>
        <w:t>If the proposals are agreeable from RAN2 perspective, d</w:t>
      </w:r>
      <w:r w:rsidRPr="00FE17B3">
        <w:rPr>
          <w:b/>
          <w:bCs/>
          <w:noProof/>
        </w:rPr>
        <w:t xml:space="preserve">o companies agree </w:t>
      </w:r>
      <w:r w:rsidR="002C1651">
        <w:rPr>
          <w:b/>
          <w:bCs/>
          <w:noProof/>
        </w:rPr>
        <w:t>to send a LS to RAN4 to check</w:t>
      </w:r>
      <w:r w:rsidR="00DC2C7C">
        <w:rPr>
          <w:b/>
          <w:bCs/>
          <w:noProof/>
        </w:rPr>
        <w:t xml:space="preserve"> the proposals</w:t>
      </w:r>
      <w:r w:rsidRPr="00FE17B3">
        <w:rPr>
          <w:b/>
          <w:bCs/>
          <w:noProof/>
        </w:rPr>
        <w:t>?</w:t>
      </w:r>
    </w:p>
    <w:p w14:paraId="7559A1B2" w14:textId="77777777" w:rsidR="00AD39EC" w:rsidRDefault="00AD39EC" w:rsidP="00AD39EC">
      <w:pPr>
        <w:spacing w:after="0"/>
        <w:rPr>
          <w:rFonts w:ascii="Arial" w:hAnsi="Arial"/>
          <w:noProof/>
        </w:rPr>
      </w:pPr>
    </w:p>
    <w:tbl>
      <w:tblPr>
        <w:tblStyle w:val="TableGrid"/>
        <w:tblW w:w="9971" w:type="dxa"/>
        <w:tblLook w:val="04A0" w:firstRow="1" w:lastRow="0" w:firstColumn="1" w:lastColumn="0" w:noHBand="0" w:noVBand="1"/>
      </w:tblPr>
      <w:tblGrid>
        <w:gridCol w:w="1987"/>
        <w:gridCol w:w="1966"/>
        <w:gridCol w:w="6018"/>
      </w:tblGrid>
      <w:tr w:rsidR="00AD39EC" w:rsidRPr="000005B0" w14:paraId="58100D6B" w14:textId="77777777" w:rsidTr="00EB728B">
        <w:trPr>
          <w:trHeight w:val="278"/>
        </w:trPr>
        <w:tc>
          <w:tcPr>
            <w:tcW w:w="1987" w:type="dxa"/>
          </w:tcPr>
          <w:p w14:paraId="0A9D16EA" w14:textId="77777777" w:rsidR="00AD39EC" w:rsidRPr="000005B0" w:rsidRDefault="00AD39EC" w:rsidP="00EB728B">
            <w:pPr>
              <w:spacing w:after="0"/>
              <w:rPr>
                <w:rFonts w:ascii="Arial" w:hAnsi="Arial"/>
                <w:b/>
                <w:bCs/>
                <w:noProof/>
              </w:rPr>
            </w:pPr>
            <w:r w:rsidRPr="000005B0">
              <w:rPr>
                <w:rFonts w:ascii="Arial" w:hAnsi="Arial"/>
                <w:b/>
                <w:bCs/>
                <w:noProof/>
              </w:rPr>
              <w:t>Company</w:t>
            </w:r>
          </w:p>
        </w:tc>
        <w:tc>
          <w:tcPr>
            <w:tcW w:w="1966" w:type="dxa"/>
          </w:tcPr>
          <w:p w14:paraId="4784BC30" w14:textId="77777777" w:rsidR="00AD39EC" w:rsidRPr="000005B0" w:rsidRDefault="00AD39EC" w:rsidP="00EB728B">
            <w:pPr>
              <w:spacing w:after="0"/>
              <w:rPr>
                <w:rFonts w:ascii="Arial" w:hAnsi="Arial"/>
                <w:b/>
                <w:bCs/>
                <w:noProof/>
              </w:rPr>
            </w:pPr>
            <w:r>
              <w:rPr>
                <w:rFonts w:ascii="Arial" w:hAnsi="Arial"/>
                <w:b/>
                <w:bCs/>
                <w:noProof/>
              </w:rPr>
              <w:t>Yes/No</w:t>
            </w:r>
          </w:p>
        </w:tc>
        <w:tc>
          <w:tcPr>
            <w:tcW w:w="6018" w:type="dxa"/>
          </w:tcPr>
          <w:p w14:paraId="4A346B95" w14:textId="77777777" w:rsidR="00AD39EC" w:rsidRPr="000005B0" w:rsidRDefault="00AD39EC" w:rsidP="00EB728B">
            <w:pPr>
              <w:spacing w:after="0"/>
              <w:rPr>
                <w:rFonts w:ascii="Arial" w:hAnsi="Arial"/>
                <w:b/>
                <w:bCs/>
                <w:noProof/>
              </w:rPr>
            </w:pPr>
            <w:r w:rsidRPr="000005B0">
              <w:rPr>
                <w:rFonts w:ascii="Arial" w:hAnsi="Arial"/>
                <w:b/>
                <w:bCs/>
                <w:noProof/>
              </w:rPr>
              <w:t>Comments</w:t>
            </w:r>
          </w:p>
        </w:tc>
      </w:tr>
      <w:tr w:rsidR="00AD39EC" w:rsidRPr="000005B0" w14:paraId="7D6E9953" w14:textId="77777777" w:rsidTr="00EB728B">
        <w:trPr>
          <w:trHeight w:val="278"/>
        </w:trPr>
        <w:tc>
          <w:tcPr>
            <w:tcW w:w="1987" w:type="dxa"/>
          </w:tcPr>
          <w:p w14:paraId="7ADF96FD" w14:textId="77777777" w:rsidR="00AD39EC" w:rsidRPr="000005B0" w:rsidRDefault="00AD39EC" w:rsidP="00EB728B">
            <w:pPr>
              <w:spacing w:after="0"/>
              <w:rPr>
                <w:rFonts w:ascii="Arial" w:hAnsi="Arial"/>
                <w:noProof/>
              </w:rPr>
            </w:pPr>
            <w:r>
              <w:rPr>
                <w:rFonts w:ascii="Arial" w:hAnsi="Arial"/>
                <w:noProof/>
              </w:rPr>
              <w:t>Intel</w:t>
            </w:r>
          </w:p>
        </w:tc>
        <w:tc>
          <w:tcPr>
            <w:tcW w:w="1966" w:type="dxa"/>
          </w:tcPr>
          <w:p w14:paraId="6EB04EEF" w14:textId="77777777" w:rsidR="00AD39EC" w:rsidRPr="000005B0" w:rsidRDefault="00AD39EC" w:rsidP="00EB728B">
            <w:pPr>
              <w:spacing w:after="0"/>
              <w:rPr>
                <w:rFonts w:ascii="Arial" w:hAnsi="Arial"/>
                <w:noProof/>
              </w:rPr>
            </w:pPr>
            <w:r>
              <w:rPr>
                <w:rFonts w:ascii="Arial" w:hAnsi="Arial"/>
                <w:noProof/>
              </w:rPr>
              <w:t>Yes</w:t>
            </w:r>
          </w:p>
        </w:tc>
        <w:tc>
          <w:tcPr>
            <w:tcW w:w="6018" w:type="dxa"/>
          </w:tcPr>
          <w:p w14:paraId="7CD11DBB" w14:textId="4C7F5027" w:rsidR="00AD39EC" w:rsidRPr="000005B0" w:rsidRDefault="00AD39EC" w:rsidP="00EB728B">
            <w:pPr>
              <w:spacing w:after="0"/>
              <w:rPr>
                <w:rFonts w:ascii="Arial" w:hAnsi="Arial"/>
                <w:noProof/>
              </w:rPr>
            </w:pPr>
          </w:p>
        </w:tc>
      </w:tr>
      <w:tr w:rsidR="00AD39EC" w:rsidRPr="000005B0" w14:paraId="3813638D" w14:textId="77777777" w:rsidTr="00EB728B">
        <w:trPr>
          <w:trHeight w:val="278"/>
        </w:trPr>
        <w:tc>
          <w:tcPr>
            <w:tcW w:w="1987" w:type="dxa"/>
          </w:tcPr>
          <w:p w14:paraId="16FCF1E0" w14:textId="0A52D643" w:rsidR="00AD39EC" w:rsidRDefault="00EE6EB6" w:rsidP="00EB728B">
            <w:pPr>
              <w:spacing w:after="0"/>
              <w:rPr>
                <w:rFonts w:ascii="Arial" w:hAnsi="Arial"/>
                <w:noProof/>
              </w:rPr>
            </w:pPr>
            <w:r>
              <w:rPr>
                <w:rFonts w:ascii="Arial" w:hAnsi="Arial"/>
                <w:noProof/>
              </w:rPr>
              <w:t>Xiaomi</w:t>
            </w:r>
          </w:p>
        </w:tc>
        <w:tc>
          <w:tcPr>
            <w:tcW w:w="1966" w:type="dxa"/>
          </w:tcPr>
          <w:p w14:paraId="00D7E76F" w14:textId="4016E395" w:rsidR="00AD39EC" w:rsidRDefault="00EE6EB6" w:rsidP="00EB728B">
            <w:pPr>
              <w:spacing w:after="0"/>
              <w:rPr>
                <w:rFonts w:ascii="Arial" w:hAnsi="Arial"/>
                <w:noProof/>
              </w:rPr>
            </w:pPr>
            <w:r>
              <w:rPr>
                <w:rFonts w:ascii="Arial" w:hAnsi="Arial"/>
                <w:noProof/>
              </w:rPr>
              <w:t>Yes</w:t>
            </w:r>
            <w:bookmarkStart w:id="1" w:name="_GoBack"/>
            <w:bookmarkEnd w:id="1"/>
          </w:p>
        </w:tc>
        <w:tc>
          <w:tcPr>
            <w:tcW w:w="6018" w:type="dxa"/>
          </w:tcPr>
          <w:p w14:paraId="75D6449E" w14:textId="77777777" w:rsidR="00AD39EC" w:rsidRDefault="00AD39EC" w:rsidP="00EB728B">
            <w:pPr>
              <w:spacing w:after="0"/>
              <w:rPr>
                <w:rFonts w:ascii="Arial" w:hAnsi="Arial"/>
                <w:noProof/>
              </w:rPr>
            </w:pPr>
          </w:p>
        </w:tc>
      </w:tr>
      <w:tr w:rsidR="00AD39EC" w:rsidRPr="000005B0" w14:paraId="50366272" w14:textId="77777777" w:rsidTr="00EB728B">
        <w:trPr>
          <w:trHeight w:val="278"/>
        </w:trPr>
        <w:tc>
          <w:tcPr>
            <w:tcW w:w="1987" w:type="dxa"/>
          </w:tcPr>
          <w:p w14:paraId="5ADEEADE" w14:textId="77777777" w:rsidR="00AD39EC" w:rsidRDefault="00AD39EC" w:rsidP="00EB728B">
            <w:pPr>
              <w:spacing w:after="0"/>
              <w:rPr>
                <w:rFonts w:ascii="Arial" w:hAnsi="Arial"/>
                <w:noProof/>
              </w:rPr>
            </w:pPr>
          </w:p>
        </w:tc>
        <w:tc>
          <w:tcPr>
            <w:tcW w:w="1966" w:type="dxa"/>
          </w:tcPr>
          <w:p w14:paraId="34E52DE7" w14:textId="77777777" w:rsidR="00AD39EC" w:rsidRDefault="00AD39EC" w:rsidP="00EB728B">
            <w:pPr>
              <w:spacing w:after="0"/>
              <w:rPr>
                <w:rFonts w:ascii="Arial" w:hAnsi="Arial"/>
                <w:noProof/>
              </w:rPr>
            </w:pPr>
          </w:p>
        </w:tc>
        <w:tc>
          <w:tcPr>
            <w:tcW w:w="6018" w:type="dxa"/>
          </w:tcPr>
          <w:p w14:paraId="571EB5EE" w14:textId="77777777" w:rsidR="00AD39EC" w:rsidRDefault="00AD39EC" w:rsidP="00EB728B">
            <w:pPr>
              <w:spacing w:after="0"/>
              <w:rPr>
                <w:rFonts w:ascii="Arial" w:hAnsi="Arial"/>
                <w:noProof/>
              </w:rPr>
            </w:pPr>
          </w:p>
        </w:tc>
      </w:tr>
      <w:tr w:rsidR="00AD39EC" w:rsidRPr="000005B0" w14:paraId="0D0C201B" w14:textId="77777777" w:rsidTr="00EB728B">
        <w:trPr>
          <w:trHeight w:val="278"/>
        </w:trPr>
        <w:tc>
          <w:tcPr>
            <w:tcW w:w="1987" w:type="dxa"/>
          </w:tcPr>
          <w:p w14:paraId="516B9A56" w14:textId="77777777" w:rsidR="00AD39EC" w:rsidRDefault="00AD39EC" w:rsidP="00EB728B">
            <w:pPr>
              <w:spacing w:after="0"/>
              <w:rPr>
                <w:rFonts w:ascii="Arial" w:hAnsi="Arial"/>
                <w:noProof/>
              </w:rPr>
            </w:pPr>
          </w:p>
        </w:tc>
        <w:tc>
          <w:tcPr>
            <w:tcW w:w="1966" w:type="dxa"/>
          </w:tcPr>
          <w:p w14:paraId="280CB6CD" w14:textId="77777777" w:rsidR="00AD39EC" w:rsidRDefault="00AD39EC" w:rsidP="00EB728B">
            <w:pPr>
              <w:spacing w:after="0"/>
              <w:rPr>
                <w:rFonts w:ascii="Arial" w:hAnsi="Arial"/>
                <w:noProof/>
              </w:rPr>
            </w:pPr>
          </w:p>
        </w:tc>
        <w:tc>
          <w:tcPr>
            <w:tcW w:w="6018" w:type="dxa"/>
          </w:tcPr>
          <w:p w14:paraId="0ACD9CFC" w14:textId="77777777" w:rsidR="00AD39EC" w:rsidRDefault="00AD39EC" w:rsidP="00EB728B">
            <w:pPr>
              <w:spacing w:after="0"/>
              <w:rPr>
                <w:rFonts w:ascii="Arial" w:hAnsi="Arial"/>
                <w:noProof/>
              </w:rPr>
            </w:pPr>
          </w:p>
        </w:tc>
      </w:tr>
    </w:tbl>
    <w:p w14:paraId="0FF115ED" w14:textId="78FB8147" w:rsidR="007978D1" w:rsidRDefault="007978D1" w:rsidP="00E36D62"/>
    <w:p w14:paraId="50140BA4" w14:textId="77777777" w:rsidR="007978D1" w:rsidRDefault="007978D1" w:rsidP="00E36D62"/>
    <w:p w14:paraId="1F3E378A" w14:textId="05680D02" w:rsidR="007978D1" w:rsidRPr="009307A9" w:rsidRDefault="007978D1" w:rsidP="007978D1">
      <w:pPr>
        <w:pStyle w:val="TAL"/>
        <w:rPr>
          <w:b/>
          <w:i/>
        </w:rPr>
      </w:pPr>
      <w:r>
        <w:rPr>
          <w:b/>
          <w:bCs/>
          <w:noProof/>
        </w:rPr>
        <w:lastRenderedPageBreak/>
        <w:t>Q</w:t>
      </w:r>
      <w:r w:rsidR="00971B21">
        <w:rPr>
          <w:b/>
          <w:bCs/>
          <w:noProof/>
        </w:rPr>
        <w:t>5</w:t>
      </w:r>
      <w:r>
        <w:rPr>
          <w:b/>
          <w:bCs/>
          <w:noProof/>
        </w:rPr>
        <w:t xml:space="preserve"> </w:t>
      </w:r>
      <w:r w:rsidRPr="00FE17B3">
        <w:rPr>
          <w:b/>
          <w:bCs/>
          <w:noProof/>
        </w:rPr>
        <w:t xml:space="preserve">Do companies agree </w:t>
      </w:r>
      <w:r>
        <w:rPr>
          <w:b/>
          <w:bCs/>
          <w:noProof/>
        </w:rPr>
        <w:t xml:space="preserve">to remove the note as below in </w:t>
      </w:r>
      <w:r w:rsidRPr="007D1E1D">
        <w:rPr>
          <w:b/>
          <w:i/>
        </w:rPr>
        <w:t>ue-PowerClassPerBandPerBC-r17</w:t>
      </w:r>
      <w:r>
        <w:rPr>
          <w:b/>
          <w:i/>
        </w:rPr>
        <w:t xml:space="preserve"> </w:t>
      </w:r>
      <w:r>
        <w:rPr>
          <w:b/>
          <w:bCs/>
          <w:noProof/>
        </w:rPr>
        <w:t>to align with R4 feature list</w:t>
      </w:r>
      <w:r w:rsidRPr="00FE17B3">
        <w:rPr>
          <w:b/>
          <w:bCs/>
          <w:noProof/>
        </w:rPr>
        <w:t>?</w:t>
      </w:r>
    </w:p>
    <w:p w14:paraId="30E562E7" w14:textId="77777777" w:rsidR="007978D1" w:rsidRDefault="007978D1" w:rsidP="007978D1">
      <w:pPr>
        <w:spacing w:after="0"/>
        <w:rPr>
          <w:rFonts w:ascii="Arial" w:hAnsi="Arial"/>
          <w:b/>
          <w:bCs/>
          <w:noProof/>
        </w:rPr>
      </w:pPr>
    </w:p>
    <w:p w14:paraId="6B10137A" w14:textId="77777777" w:rsidR="007978D1" w:rsidRDefault="007978D1" w:rsidP="007978D1">
      <w:pPr>
        <w:spacing w:after="0"/>
        <w:rPr>
          <w:rFonts w:ascii="Arial" w:hAnsi="Arial"/>
          <w:noProof/>
        </w:rPr>
      </w:pPr>
      <w:r w:rsidRPr="0039078B">
        <w:rPr>
          <w:highlight w:val="yellow"/>
        </w:rPr>
        <w:t>NOTE:</w:t>
      </w:r>
      <w:r w:rsidRPr="0039078B">
        <w:rPr>
          <w:rFonts w:cs="Arial"/>
          <w:szCs w:val="18"/>
          <w:highlight w:val="yellow"/>
        </w:rPr>
        <w:tab/>
      </w:r>
      <w:r w:rsidRPr="0039078B">
        <w:rPr>
          <w:rFonts w:eastAsia="SimSun"/>
          <w:highlight w:val="yellow"/>
          <w:lang w:eastAsia="zh-CN"/>
        </w:rPr>
        <w:t>It is not applicable to the case when UL-MIMO and intra-band UL CA are in operation at the same time.</w:t>
      </w:r>
    </w:p>
    <w:p w14:paraId="62C82E2C" w14:textId="77777777" w:rsidR="007978D1" w:rsidRDefault="007978D1" w:rsidP="007978D1">
      <w:pPr>
        <w:spacing w:after="0"/>
        <w:rPr>
          <w:rFonts w:ascii="Arial" w:hAnsi="Arial"/>
          <w:noProof/>
        </w:rPr>
      </w:pPr>
    </w:p>
    <w:tbl>
      <w:tblPr>
        <w:tblStyle w:val="TableGrid"/>
        <w:tblW w:w="9971" w:type="dxa"/>
        <w:tblLook w:val="04A0" w:firstRow="1" w:lastRow="0" w:firstColumn="1" w:lastColumn="0" w:noHBand="0" w:noVBand="1"/>
      </w:tblPr>
      <w:tblGrid>
        <w:gridCol w:w="1987"/>
        <w:gridCol w:w="1966"/>
        <w:gridCol w:w="6018"/>
      </w:tblGrid>
      <w:tr w:rsidR="007978D1" w:rsidRPr="000005B0" w14:paraId="209F30A9" w14:textId="77777777" w:rsidTr="00EB728B">
        <w:trPr>
          <w:trHeight w:val="278"/>
        </w:trPr>
        <w:tc>
          <w:tcPr>
            <w:tcW w:w="1987" w:type="dxa"/>
          </w:tcPr>
          <w:p w14:paraId="34A03BC1" w14:textId="77777777" w:rsidR="007978D1" w:rsidRPr="000005B0" w:rsidRDefault="007978D1" w:rsidP="00EB728B">
            <w:pPr>
              <w:spacing w:after="0"/>
              <w:rPr>
                <w:rFonts w:ascii="Arial" w:hAnsi="Arial"/>
                <w:b/>
                <w:bCs/>
                <w:noProof/>
              </w:rPr>
            </w:pPr>
            <w:r w:rsidRPr="000005B0">
              <w:rPr>
                <w:rFonts w:ascii="Arial" w:hAnsi="Arial"/>
                <w:b/>
                <w:bCs/>
                <w:noProof/>
              </w:rPr>
              <w:t>Company</w:t>
            </w:r>
          </w:p>
        </w:tc>
        <w:tc>
          <w:tcPr>
            <w:tcW w:w="1966" w:type="dxa"/>
          </w:tcPr>
          <w:p w14:paraId="022138ED" w14:textId="77777777" w:rsidR="007978D1" w:rsidRPr="000005B0" w:rsidRDefault="007978D1" w:rsidP="00EB728B">
            <w:pPr>
              <w:spacing w:after="0"/>
              <w:rPr>
                <w:rFonts w:ascii="Arial" w:hAnsi="Arial"/>
                <w:b/>
                <w:bCs/>
                <w:noProof/>
              </w:rPr>
            </w:pPr>
            <w:r>
              <w:rPr>
                <w:rFonts w:ascii="Arial" w:hAnsi="Arial"/>
                <w:b/>
                <w:bCs/>
                <w:noProof/>
              </w:rPr>
              <w:t>Yes/No</w:t>
            </w:r>
          </w:p>
        </w:tc>
        <w:tc>
          <w:tcPr>
            <w:tcW w:w="6018" w:type="dxa"/>
          </w:tcPr>
          <w:p w14:paraId="4F919F75" w14:textId="77777777" w:rsidR="007978D1" w:rsidRPr="000005B0" w:rsidRDefault="007978D1" w:rsidP="00EB728B">
            <w:pPr>
              <w:spacing w:after="0"/>
              <w:rPr>
                <w:rFonts w:ascii="Arial" w:hAnsi="Arial"/>
                <w:b/>
                <w:bCs/>
                <w:noProof/>
              </w:rPr>
            </w:pPr>
            <w:r w:rsidRPr="000005B0">
              <w:rPr>
                <w:rFonts w:ascii="Arial" w:hAnsi="Arial"/>
                <w:b/>
                <w:bCs/>
                <w:noProof/>
              </w:rPr>
              <w:t>Comments</w:t>
            </w:r>
          </w:p>
        </w:tc>
      </w:tr>
      <w:tr w:rsidR="007978D1" w:rsidRPr="000005B0" w14:paraId="3EAB6A82" w14:textId="77777777" w:rsidTr="00EB728B">
        <w:trPr>
          <w:trHeight w:val="278"/>
        </w:trPr>
        <w:tc>
          <w:tcPr>
            <w:tcW w:w="1987" w:type="dxa"/>
          </w:tcPr>
          <w:p w14:paraId="161A961E" w14:textId="77777777" w:rsidR="007978D1" w:rsidRPr="000005B0" w:rsidRDefault="007978D1" w:rsidP="00EB728B">
            <w:pPr>
              <w:spacing w:after="0"/>
              <w:rPr>
                <w:rFonts w:ascii="Arial" w:hAnsi="Arial"/>
                <w:noProof/>
              </w:rPr>
            </w:pPr>
            <w:r>
              <w:rPr>
                <w:rFonts w:ascii="Arial" w:hAnsi="Arial"/>
                <w:noProof/>
              </w:rPr>
              <w:t>Intel</w:t>
            </w:r>
          </w:p>
        </w:tc>
        <w:tc>
          <w:tcPr>
            <w:tcW w:w="1966" w:type="dxa"/>
          </w:tcPr>
          <w:p w14:paraId="14FDC4C2" w14:textId="77777777" w:rsidR="007978D1" w:rsidRPr="000005B0" w:rsidRDefault="007978D1" w:rsidP="00EB728B">
            <w:pPr>
              <w:spacing w:after="0"/>
              <w:rPr>
                <w:rFonts w:ascii="Arial" w:hAnsi="Arial"/>
                <w:noProof/>
              </w:rPr>
            </w:pPr>
            <w:r>
              <w:rPr>
                <w:rFonts w:ascii="Arial" w:hAnsi="Arial"/>
                <w:noProof/>
              </w:rPr>
              <w:t>Yes</w:t>
            </w:r>
          </w:p>
        </w:tc>
        <w:tc>
          <w:tcPr>
            <w:tcW w:w="6018" w:type="dxa"/>
          </w:tcPr>
          <w:p w14:paraId="6672015E" w14:textId="77777777" w:rsidR="007978D1" w:rsidRPr="000005B0" w:rsidRDefault="007978D1" w:rsidP="00EB728B">
            <w:pPr>
              <w:spacing w:after="0"/>
              <w:rPr>
                <w:rFonts w:ascii="Arial" w:hAnsi="Arial"/>
                <w:noProof/>
              </w:rPr>
            </w:pPr>
            <w:r>
              <w:rPr>
                <w:rFonts w:ascii="Arial" w:hAnsi="Arial"/>
                <w:noProof/>
              </w:rPr>
              <w:t>To align with the latest R4 list until the next one is received.</w:t>
            </w:r>
          </w:p>
        </w:tc>
      </w:tr>
      <w:tr w:rsidR="007978D1" w:rsidRPr="000005B0" w14:paraId="3FD36BA2" w14:textId="77777777" w:rsidTr="00EB728B">
        <w:trPr>
          <w:trHeight w:val="278"/>
        </w:trPr>
        <w:tc>
          <w:tcPr>
            <w:tcW w:w="1987" w:type="dxa"/>
          </w:tcPr>
          <w:p w14:paraId="5121E4A0" w14:textId="77777777" w:rsidR="007978D1" w:rsidRDefault="007978D1" w:rsidP="00EB728B">
            <w:pPr>
              <w:spacing w:after="0"/>
              <w:rPr>
                <w:rFonts w:ascii="Arial" w:hAnsi="Arial"/>
                <w:noProof/>
              </w:rPr>
            </w:pPr>
          </w:p>
        </w:tc>
        <w:tc>
          <w:tcPr>
            <w:tcW w:w="1966" w:type="dxa"/>
          </w:tcPr>
          <w:p w14:paraId="1C4CC171" w14:textId="77777777" w:rsidR="007978D1" w:rsidRDefault="007978D1" w:rsidP="00EB728B">
            <w:pPr>
              <w:spacing w:after="0"/>
              <w:rPr>
                <w:rFonts w:ascii="Arial" w:hAnsi="Arial"/>
                <w:noProof/>
              </w:rPr>
            </w:pPr>
          </w:p>
        </w:tc>
        <w:tc>
          <w:tcPr>
            <w:tcW w:w="6018" w:type="dxa"/>
          </w:tcPr>
          <w:p w14:paraId="47A5D46E" w14:textId="77777777" w:rsidR="007978D1" w:rsidRDefault="007978D1" w:rsidP="00EB728B">
            <w:pPr>
              <w:spacing w:after="0"/>
              <w:rPr>
                <w:rFonts w:ascii="Arial" w:hAnsi="Arial"/>
                <w:noProof/>
              </w:rPr>
            </w:pPr>
          </w:p>
        </w:tc>
      </w:tr>
      <w:tr w:rsidR="007978D1" w:rsidRPr="000005B0" w14:paraId="46AA53E2" w14:textId="77777777" w:rsidTr="00EB728B">
        <w:trPr>
          <w:trHeight w:val="278"/>
        </w:trPr>
        <w:tc>
          <w:tcPr>
            <w:tcW w:w="1987" w:type="dxa"/>
          </w:tcPr>
          <w:p w14:paraId="2CD5005E" w14:textId="77777777" w:rsidR="007978D1" w:rsidRDefault="007978D1" w:rsidP="00EB728B">
            <w:pPr>
              <w:spacing w:after="0"/>
              <w:rPr>
                <w:rFonts w:ascii="Arial" w:hAnsi="Arial"/>
                <w:noProof/>
              </w:rPr>
            </w:pPr>
          </w:p>
        </w:tc>
        <w:tc>
          <w:tcPr>
            <w:tcW w:w="1966" w:type="dxa"/>
          </w:tcPr>
          <w:p w14:paraId="027BD9D0" w14:textId="77777777" w:rsidR="007978D1" w:rsidRDefault="007978D1" w:rsidP="00EB728B">
            <w:pPr>
              <w:spacing w:after="0"/>
              <w:rPr>
                <w:rFonts w:ascii="Arial" w:hAnsi="Arial"/>
                <w:noProof/>
              </w:rPr>
            </w:pPr>
          </w:p>
        </w:tc>
        <w:tc>
          <w:tcPr>
            <w:tcW w:w="6018" w:type="dxa"/>
          </w:tcPr>
          <w:p w14:paraId="645FB4DC" w14:textId="77777777" w:rsidR="007978D1" w:rsidRDefault="007978D1" w:rsidP="00EB728B">
            <w:pPr>
              <w:spacing w:after="0"/>
              <w:rPr>
                <w:rFonts w:ascii="Arial" w:hAnsi="Arial"/>
                <w:noProof/>
              </w:rPr>
            </w:pPr>
          </w:p>
        </w:tc>
      </w:tr>
      <w:tr w:rsidR="007978D1" w:rsidRPr="000005B0" w14:paraId="0BE2087C" w14:textId="77777777" w:rsidTr="00EB728B">
        <w:trPr>
          <w:trHeight w:val="278"/>
        </w:trPr>
        <w:tc>
          <w:tcPr>
            <w:tcW w:w="1987" w:type="dxa"/>
          </w:tcPr>
          <w:p w14:paraId="0F60EE87" w14:textId="77777777" w:rsidR="007978D1" w:rsidRDefault="007978D1" w:rsidP="00EB728B">
            <w:pPr>
              <w:spacing w:after="0"/>
              <w:rPr>
                <w:rFonts w:ascii="Arial" w:hAnsi="Arial"/>
                <w:noProof/>
              </w:rPr>
            </w:pPr>
          </w:p>
        </w:tc>
        <w:tc>
          <w:tcPr>
            <w:tcW w:w="1966" w:type="dxa"/>
          </w:tcPr>
          <w:p w14:paraId="14AB7A53" w14:textId="77777777" w:rsidR="007978D1" w:rsidRDefault="007978D1" w:rsidP="00EB728B">
            <w:pPr>
              <w:spacing w:after="0"/>
              <w:rPr>
                <w:rFonts w:ascii="Arial" w:hAnsi="Arial"/>
                <w:noProof/>
              </w:rPr>
            </w:pPr>
          </w:p>
        </w:tc>
        <w:tc>
          <w:tcPr>
            <w:tcW w:w="6018" w:type="dxa"/>
          </w:tcPr>
          <w:p w14:paraId="11808E5C" w14:textId="77777777" w:rsidR="007978D1" w:rsidRDefault="007978D1" w:rsidP="00EB728B">
            <w:pPr>
              <w:spacing w:after="0"/>
              <w:rPr>
                <w:rFonts w:ascii="Arial" w:hAnsi="Arial"/>
                <w:noProof/>
              </w:rPr>
            </w:pPr>
          </w:p>
        </w:tc>
      </w:tr>
    </w:tbl>
    <w:p w14:paraId="58FCA554" w14:textId="4D340015" w:rsidR="00BB43EF" w:rsidRDefault="00BB43EF" w:rsidP="00E36D62"/>
    <w:p w14:paraId="0CCBBC8B" w14:textId="139A7B62"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207F333C" w14:textId="40544C09" w:rsidR="00E3071D" w:rsidRDefault="0008313C" w:rsidP="00E3071D">
      <w:pPr>
        <w:pStyle w:val="Doc-title"/>
      </w:pPr>
      <w:r>
        <w:t xml:space="preserve">[1] </w:t>
      </w:r>
      <w:r w:rsidR="00E3071D">
        <w:t>R2-2210565</w:t>
      </w:r>
      <w:r w:rsidR="00E3071D">
        <w:tab/>
        <w:t>Corrections to NTN capabilities</w:t>
      </w:r>
      <w:r w:rsidR="00E3071D">
        <w:tab/>
        <w:t>LG Electronics</w:t>
      </w:r>
      <w:r w:rsidR="00E3071D">
        <w:tab/>
        <w:t>CR</w:t>
      </w:r>
      <w:r w:rsidR="00E3071D">
        <w:tab/>
        <w:t>Rel-17</w:t>
      </w:r>
      <w:r w:rsidR="00E3071D">
        <w:tab/>
        <w:t>38.306</w:t>
      </w:r>
      <w:r w:rsidR="00E3071D">
        <w:tab/>
        <w:t>17.2.0</w:t>
      </w:r>
      <w:r w:rsidR="00E3071D">
        <w:tab/>
        <w:t>0817</w:t>
      </w:r>
      <w:r w:rsidR="00E3071D">
        <w:tab/>
        <w:t>-</w:t>
      </w:r>
      <w:r w:rsidR="00E3071D">
        <w:tab/>
        <w:t>F</w:t>
      </w:r>
      <w:r w:rsidR="00E3071D">
        <w:tab/>
        <w:t>NR_NTN_solutions-Core, NR_redcap-Core</w:t>
      </w:r>
    </w:p>
    <w:p w14:paraId="4ADD539F" w14:textId="26E0BCCA" w:rsidR="00E3071D" w:rsidRDefault="00D35D4E" w:rsidP="00E3071D">
      <w:pPr>
        <w:pStyle w:val="Doc-title"/>
      </w:pPr>
      <w:r>
        <w:t xml:space="preserve">[2] </w:t>
      </w:r>
      <w:r w:rsidR="00E3071D">
        <w:t>R2-2210585</w:t>
      </w:r>
      <w:r w:rsidR="00E3071D">
        <w:tab/>
        <w:t>Clarification on the MBS feature 33-1-2 and 33-3-2</w:t>
      </w:r>
      <w:r w:rsidR="00E3071D">
        <w:tab/>
        <w:t>Xiaomi</w:t>
      </w:r>
      <w:r w:rsidR="00E3071D">
        <w:tab/>
        <w:t>draftCR</w:t>
      </w:r>
      <w:r w:rsidR="00E3071D">
        <w:tab/>
        <w:t>Rel-17</w:t>
      </w:r>
      <w:r w:rsidR="00E3071D">
        <w:tab/>
        <w:t>38.306</w:t>
      </w:r>
      <w:r w:rsidR="00E3071D">
        <w:tab/>
        <w:t>17.2.0</w:t>
      </w:r>
      <w:r w:rsidR="00E3071D">
        <w:tab/>
        <w:t>F</w:t>
      </w:r>
      <w:r w:rsidR="00E3071D">
        <w:tab/>
        <w:t>NR_MBS-Core</w:t>
      </w:r>
    </w:p>
    <w:p w14:paraId="04B063EE" w14:textId="27624A9D" w:rsidR="00E3071D" w:rsidRDefault="00D35D4E" w:rsidP="00E3071D">
      <w:pPr>
        <w:pStyle w:val="Doc-title"/>
      </w:pPr>
      <w:r>
        <w:t>[</w:t>
      </w:r>
      <w:r w:rsidR="0020573F">
        <w:t>3</w:t>
      </w:r>
      <w:r>
        <w:t xml:space="preserve">] </w:t>
      </w:r>
      <w:r w:rsidR="00E3071D">
        <w:t>R2-2210660</w:t>
      </w:r>
      <w:r w:rsidR="00E3071D">
        <w:tab/>
        <w:t>Clairificaiton on the ue-PowerClassPerBandPerBC-r17</w:t>
      </w:r>
      <w:r w:rsidR="00E3071D">
        <w:tab/>
        <w:t>ZTE Corporation, Sanechips</w:t>
      </w:r>
      <w:r w:rsidR="00E3071D">
        <w:tab/>
        <w:t>discussion</w:t>
      </w:r>
      <w:r w:rsidR="00E3071D">
        <w:tab/>
        <w:t>Rel-17</w:t>
      </w:r>
      <w:r w:rsidR="00E3071D">
        <w:tab/>
        <w:t>NR_RF_FR1_enh</w:t>
      </w:r>
    </w:p>
    <w:p w14:paraId="58756403" w14:textId="0FFAA27B" w:rsidR="00A835D9" w:rsidRDefault="00D35D4E" w:rsidP="00A835D9">
      <w:pPr>
        <w:pStyle w:val="Doc-title"/>
      </w:pPr>
      <w:r>
        <w:t>[</w:t>
      </w:r>
      <w:r w:rsidR="0020573F">
        <w:t>4</w:t>
      </w:r>
      <w:r>
        <w:t xml:space="preserve">] </w:t>
      </w:r>
      <w:r w:rsidR="00E3071D">
        <w:t>R2-2210661</w:t>
      </w:r>
      <w:r w:rsidR="00E3071D">
        <w:tab/>
        <w:t>CR on the ue-PowerClassPerBandPerBC-r17</w:t>
      </w:r>
      <w:r w:rsidR="00E3071D">
        <w:tab/>
        <w:t>ZTE Corporation, Sanechips</w:t>
      </w:r>
      <w:r w:rsidR="00E3071D">
        <w:tab/>
        <w:t>CR</w:t>
      </w:r>
      <w:r w:rsidR="00E3071D">
        <w:tab/>
        <w:t>Rel-17</w:t>
      </w:r>
      <w:r w:rsidR="00E3071D">
        <w:tab/>
        <w:t>38.306</w:t>
      </w:r>
      <w:r w:rsidR="00E3071D">
        <w:tab/>
        <w:t>17.2.0</w:t>
      </w:r>
      <w:r w:rsidR="00E3071D">
        <w:tab/>
        <w:t>0820</w:t>
      </w:r>
      <w:r w:rsidR="00E3071D">
        <w:tab/>
        <w:t>-</w:t>
      </w:r>
      <w:r w:rsidR="00E3071D">
        <w:tab/>
        <w:t>F</w:t>
      </w:r>
      <w:r w:rsidR="00E3071D">
        <w:tab/>
        <w:t>NR_RF_FR1_enh</w:t>
      </w:r>
    </w:p>
    <w:sectPr w:rsidR="00A835D9" w:rsidSect="003B771A">
      <w:footerReference w:type="default" r:id="rId15"/>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B650" w14:textId="77777777" w:rsidR="006F52EB" w:rsidRDefault="006F52EB"/>
  </w:endnote>
  <w:endnote w:type="continuationSeparator" w:id="0">
    <w:p w14:paraId="63EA4657" w14:textId="77777777" w:rsidR="006F52EB" w:rsidRDefault="006F52EB"/>
  </w:endnote>
  <w:endnote w:type="continuationNotice" w:id="1">
    <w:p w14:paraId="71150EB5" w14:textId="77777777" w:rsidR="006F52EB" w:rsidRDefault="006F52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1A477" w14:textId="77777777" w:rsidR="006F52EB" w:rsidRDefault="006F52EB"/>
  </w:footnote>
  <w:footnote w:type="continuationSeparator" w:id="0">
    <w:p w14:paraId="1420C465" w14:textId="77777777" w:rsidR="006F52EB" w:rsidRDefault="006F52EB"/>
  </w:footnote>
  <w:footnote w:type="continuationNotice" w:id="1">
    <w:p w14:paraId="53EB5C8E" w14:textId="77777777" w:rsidR="006F52EB" w:rsidRDefault="006F52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0545FE"/>
    <w:multiLevelType w:val="hybridMultilevel"/>
    <w:tmpl w:val="D758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CE3A10"/>
    <w:multiLevelType w:val="multilevel"/>
    <w:tmpl w:val="0DCE3A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8"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9"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0"/>
  </w:num>
  <w:num w:numId="5">
    <w:abstractNumId w:val="10"/>
  </w:num>
  <w:num w:numId="6">
    <w:abstractNumId w:val="5"/>
  </w:num>
  <w:num w:numId="7">
    <w:abstractNumId w:val="7"/>
  </w:num>
  <w:num w:numId="8">
    <w:abstractNumId w:val="13"/>
  </w:num>
  <w:num w:numId="9">
    <w:abstractNumId w:val="11"/>
  </w:num>
  <w:num w:numId="10">
    <w:abstractNumId w:val="11"/>
  </w:num>
  <w:num w:numId="11">
    <w:abstractNumId w:val="14"/>
  </w:num>
  <w:num w:numId="12">
    <w:abstractNumId w:val="6"/>
  </w:num>
  <w:num w:numId="13">
    <w:abstractNumId w:val="9"/>
  </w:num>
  <w:num w:numId="14">
    <w:abstractNumId w:val="4"/>
  </w:num>
  <w:num w:numId="15">
    <w:abstractNumId w:val="2"/>
  </w:num>
  <w:num w:numId="16">
    <w:abstractNumId w:val="1"/>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5E89"/>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uiPriority w:val="99"/>
    <w:qFormat/>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qFormat/>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uiPriority w:val="99"/>
    <w:qFormat/>
    <w:rsid w:val="0010626F"/>
    <w:pPr>
      <w:numPr>
        <w:numId w:val="8"/>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9"/>
      </w:numPr>
      <w:spacing w:before="40" w:after="0"/>
      <w:jc w:val="left"/>
    </w:pPr>
    <w:rPr>
      <w:rFonts w:ascii="Arial" w:hAnsi="Arial" w:cs="Arial"/>
      <w:b/>
      <w:bCs/>
      <w:szCs w:val="20"/>
      <w:lang w:val="en-US"/>
    </w:rPr>
  </w:style>
  <w:style w:type="character" w:customStyle="1" w:styleId="tabchar">
    <w:name w:val="tabchar"/>
    <w:basedOn w:val="DefaultParagraphFont"/>
    <w:rsid w:val="0001572A"/>
  </w:style>
  <w:style w:type="table" w:customStyle="1" w:styleId="TableGrid2">
    <w:name w:val="Table Grid2"/>
    <w:basedOn w:val="TableNormal"/>
    <w:next w:val="TableGrid"/>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rsid w:val="0090128F"/>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rsid w:val="00F93E3F"/>
    <w:rPr>
      <w:rFonts w:ascii="Arial" w:hAnsi="Arial"/>
      <w:lang w:val="en-GB" w:eastAsia="en-US" w:bidi="ar-SA"/>
    </w:rPr>
  </w:style>
  <w:style w:type="character" w:styleId="Strong">
    <w:name w:val="Strong"/>
    <w:basedOn w:val="DefaultParagraphFont"/>
    <w:uiPriority w:val="22"/>
    <w:qFormat/>
    <w:rsid w:val="00E27BF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24958352">
      <w:bodyDiv w:val="1"/>
      <w:marLeft w:val="0"/>
      <w:marRight w:val="0"/>
      <w:marTop w:val="0"/>
      <w:marBottom w:val="0"/>
      <w:divBdr>
        <w:top w:val="none" w:sz="0" w:space="0" w:color="auto"/>
        <w:left w:val="none" w:sz="0" w:space="0" w:color="auto"/>
        <w:bottom w:val="none" w:sz="0" w:space="0" w:color="auto"/>
        <w:right w:val="none" w:sz="0" w:space="0" w:color="auto"/>
      </w:divBdr>
    </w:div>
    <w:div w:id="432474796">
      <w:bodyDiv w:val="1"/>
      <w:marLeft w:val="0"/>
      <w:marRight w:val="0"/>
      <w:marTop w:val="0"/>
      <w:marBottom w:val="0"/>
      <w:divBdr>
        <w:top w:val="none" w:sz="0" w:space="0" w:color="auto"/>
        <w:left w:val="none" w:sz="0" w:space="0" w:color="auto"/>
        <w:bottom w:val="none" w:sz="0" w:space="0" w:color="auto"/>
        <w:right w:val="none" w:sz="0" w:space="0" w:color="auto"/>
      </w:divBdr>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54139376">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16970638">
      <w:bodyDiv w:val="1"/>
      <w:marLeft w:val="0"/>
      <w:marRight w:val="0"/>
      <w:marTop w:val="0"/>
      <w:marBottom w:val="0"/>
      <w:divBdr>
        <w:top w:val="none" w:sz="0" w:space="0" w:color="auto"/>
        <w:left w:val="none" w:sz="0" w:space="0" w:color="auto"/>
        <w:bottom w:val="none" w:sz="0" w:space="0" w:color="auto"/>
        <w:right w:val="none" w:sz="0" w:space="0" w:color="auto"/>
      </w:divBdr>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786239692">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6298787">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67759279">
      <w:bodyDiv w:val="1"/>
      <w:marLeft w:val="0"/>
      <w:marRight w:val="0"/>
      <w:marTop w:val="0"/>
      <w:marBottom w:val="0"/>
      <w:divBdr>
        <w:top w:val="none" w:sz="0" w:space="0" w:color="auto"/>
        <w:left w:val="none" w:sz="0" w:space="0" w:color="auto"/>
        <w:bottom w:val="none" w:sz="0" w:space="0" w:color="auto"/>
        <w:right w:val="none" w:sz="0" w:space="0" w:color="auto"/>
      </w:divBdr>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32251114">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25107131">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83E2B129-BBF8-42BD-B388-38199E7F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B75DFB1-8C29-47CC-A4A5-3C6E2F05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21</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Xiaomi - Yumin Wu</cp:lastModifiedBy>
  <cp:revision>16</cp:revision>
  <cp:lastPrinted>2017-10-24T05:18:00Z</cp:lastPrinted>
  <dcterms:created xsi:type="dcterms:W3CDTF">2022-10-10T18:57:00Z</dcterms:created>
  <dcterms:modified xsi:type="dcterms:W3CDTF">2022-10-11T03:23:00Z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