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DB14C7">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5"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610"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w:t>
            </w:r>
            <w:proofErr w:type="spellStart"/>
            <w:r w:rsidRPr="00F04FB7">
              <w:rPr>
                <w:i/>
                <w:color w:val="001135"/>
              </w:rPr>
              <w:t>gNB</w:t>
            </w:r>
            <w:proofErr w:type="spellEnd"/>
            <w:r w:rsidRPr="00F04FB7">
              <w:rPr>
                <w:i/>
                <w:color w:val="001135"/>
              </w:rPr>
              <w:t xml:space="preserve">-DU.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 xml:space="preserve">t mentions the following. In current spec, there are couple of metrics for CSI reports, so we wonder whether the </w:t>
            </w:r>
            <w:proofErr w:type="spellStart"/>
            <w:r>
              <w:rPr>
                <w:rFonts w:eastAsia="SimSun"/>
                <w:lang w:val="en-US" w:eastAsia="zh-CN"/>
              </w:rPr>
              <w:t>gNB</w:t>
            </w:r>
            <w:proofErr w:type="spellEnd"/>
            <w:r>
              <w:rPr>
                <w:rFonts w:eastAsia="SimSun"/>
                <w:lang w:val="en-US" w:eastAsia="zh-CN"/>
              </w:rPr>
              <w:t xml:space="preserve">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are the reporting period if </w:t>
            </w:r>
            <w:proofErr w:type="spellStart"/>
            <w:r>
              <w:rPr>
                <w:rFonts w:eastAsia="SimSun"/>
                <w:lang w:eastAsia="zh-CN"/>
              </w:rPr>
              <w:t>gNB</w:t>
            </w:r>
            <w:proofErr w:type="spellEnd"/>
            <w:r>
              <w:rPr>
                <w:rFonts w:eastAsia="SimSun"/>
                <w:lang w:eastAsia="zh-CN"/>
              </w:rPr>
              <w:t xml:space="preserve"> is to report the collected metrics to OAM? What are the results the </w:t>
            </w:r>
            <w:proofErr w:type="spellStart"/>
            <w:r>
              <w:rPr>
                <w:rFonts w:eastAsia="SimSun"/>
                <w:lang w:eastAsia="zh-CN"/>
              </w:rPr>
              <w:t>gNB</w:t>
            </w:r>
            <w:proofErr w:type="spellEnd"/>
            <w:r>
              <w:rPr>
                <w:rFonts w:eastAsia="SimSun"/>
                <w:lang w:eastAsia="zh-CN"/>
              </w:rPr>
              <w:t xml:space="preserve"> should send to OAM?</w:t>
            </w:r>
            <w:r>
              <w:rPr>
                <w:rFonts w:eastAsia="SimSun" w:hint="eastAsia"/>
                <w:lang w:eastAsia="zh-CN"/>
              </w:rPr>
              <w:t xml:space="preserve"> </w:t>
            </w:r>
            <w:r>
              <w:rPr>
                <w:rFonts w:eastAsia="SimSun"/>
                <w:lang w:eastAsia="zh-CN"/>
              </w:rPr>
              <w:t xml:space="preserve">E.g.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e.g.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w:t>
            </w:r>
            <w:proofErr w:type="spellStart"/>
            <w:r>
              <w:rPr>
                <w:lang w:val="en-US" w:eastAsia="zh-CN"/>
              </w:rPr>
              <w:t>gNB</w:t>
            </w:r>
            <w:proofErr w:type="spellEnd"/>
            <w:r>
              <w:rPr>
                <w:lang w:val="en-US" w:eastAsia="zh-CN"/>
              </w:rPr>
              <w:t xml:space="preserve">.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1D1FC1">
        <w:tc>
          <w:tcPr>
            <w:tcW w:w="827"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5"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610"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1D1FC1" w14:paraId="670877E1" w14:textId="77777777" w:rsidTr="001D1FC1">
        <w:tc>
          <w:tcPr>
            <w:tcW w:w="827" w:type="dxa"/>
          </w:tcPr>
          <w:p w14:paraId="0FF1D8F4" w14:textId="77777777" w:rsidR="001D1FC1" w:rsidRDefault="001D1FC1" w:rsidP="001D1FC1">
            <w:pPr>
              <w:pStyle w:val="Doc-text2"/>
              <w:ind w:left="0" w:firstLine="0"/>
              <w:rPr>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77777777" w:rsidR="001D1FC1" w:rsidRDefault="001D1FC1" w:rsidP="001D1FC1">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DB14C7">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w:t>
            </w:r>
            <w:proofErr w:type="spellStart"/>
            <w:r>
              <w:rPr>
                <w:lang w:val="en-US" w:eastAsia="zh-CN"/>
              </w:rPr>
              <w:t>gNB</w:t>
            </w:r>
            <w:proofErr w:type="spellEnd"/>
            <w:r>
              <w:rPr>
                <w:lang w:val="en-US" w:eastAsia="zh-CN"/>
              </w:rPr>
              <w:t xml:space="preserve">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w:t>
            </w:r>
            <w:proofErr w:type="spellStart"/>
            <w:r>
              <w:rPr>
                <w:lang w:val="en-US" w:eastAsia="zh-CN"/>
              </w:rPr>
              <w:t>gNB</w:t>
            </w:r>
            <w:proofErr w:type="spellEnd"/>
            <w:r>
              <w:rPr>
                <w:lang w:val="en-US" w:eastAsia="zh-CN"/>
              </w:rPr>
              <w:t xml:space="preserve"> would cause the UE not updating the QoS flow to DRB mapping. Thus, the UE would continue sending UL packets of the QFI on the old DRB while the </w:t>
            </w:r>
            <w:proofErr w:type="spellStart"/>
            <w:r>
              <w:rPr>
                <w:lang w:val="en-US" w:eastAsia="zh-CN"/>
              </w:rPr>
              <w:t>gNB</w:t>
            </w:r>
            <w:proofErr w:type="spellEnd"/>
            <w:r>
              <w:rPr>
                <w:lang w:val="en-US" w:eastAsia="zh-CN"/>
              </w:rPr>
              <w:t xml:space="preserve">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w:t>
            </w:r>
            <w:r>
              <w:rPr>
                <w:lang w:val="en-US" w:eastAsia="zh-CN"/>
              </w:rPr>
              <w:lastRenderedPageBreak/>
              <w:t xml:space="preserve">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w:t>
            </w:r>
            <w:proofErr w:type="spellStart"/>
            <w:r>
              <w:rPr>
                <w:lang w:val="en-US" w:eastAsia="zh-CN"/>
              </w:rPr>
              <w:t>gNB</w:t>
            </w:r>
            <w:proofErr w:type="spellEnd"/>
            <w:r>
              <w:rPr>
                <w:lang w:val="en-US" w:eastAsia="zh-CN"/>
              </w:rPr>
              <w:t xml:space="preserve">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DB14C7">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lastRenderedPageBreak/>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r>
              <w:rPr>
                <w:lang w:val="en-US" w:eastAsia="zh-CN"/>
              </w:rPr>
              <w:t>straightline</w:t>
            </w:r>
            <w:proofErr w:type="spellEnd"/>
            <w:r>
              <w:rPr>
                <w:lang w:val="en-US" w:eastAsia="zh-CN"/>
              </w:rPr>
              <w:t xml:space="preserve"> ? In general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lastRenderedPageBreak/>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SimSun"/>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w:t>
            </w:r>
            <w:proofErr w:type="spellStart"/>
            <w:r>
              <w:rPr>
                <w:rFonts w:eastAsia="SimSun"/>
                <w:lang w:val="en-US" w:eastAsia="zh-CN"/>
              </w:rPr>
              <w:t>can not</w:t>
            </w:r>
            <w:proofErr w:type="spellEnd"/>
            <w:r>
              <w:rPr>
                <w:rFonts w:eastAsia="SimSun"/>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DB14C7">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SimSun" w:hint="eastAsia"/>
                <w:lang w:val="en-US" w:eastAsia="zh-CN"/>
              </w:rPr>
              <w:lastRenderedPageBreak/>
              <w:t>v</w:t>
            </w:r>
            <w:r>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DB14C7">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lastRenderedPageBreak/>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3DB9" w14:textId="77777777" w:rsidR="00DB14C7" w:rsidRDefault="00DB14C7">
      <w:r>
        <w:separator/>
      </w:r>
    </w:p>
  </w:endnote>
  <w:endnote w:type="continuationSeparator" w:id="0">
    <w:p w14:paraId="62AA251D" w14:textId="77777777" w:rsidR="00DB14C7" w:rsidRDefault="00DB14C7">
      <w:r>
        <w:continuationSeparator/>
      </w:r>
    </w:p>
  </w:endnote>
  <w:endnote w:type="continuationNotice" w:id="1">
    <w:p w14:paraId="32E42F8A" w14:textId="77777777" w:rsidR="00DB14C7" w:rsidRDefault="00DB1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AD1" w14:textId="4D01FA92" w:rsidR="00A63EF8" w:rsidRDefault="00A6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3060" w14:textId="77777777" w:rsidR="00DB14C7" w:rsidRDefault="00DB14C7">
      <w:r>
        <w:separator/>
      </w:r>
    </w:p>
  </w:footnote>
  <w:footnote w:type="continuationSeparator" w:id="0">
    <w:p w14:paraId="10E29803" w14:textId="77777777" w:rsidR="00DB14C7" w:rsidRDefault="00DB14C7">
      <w:r>
        <w:continuationSeparator/>
      </w:r>
    </w:p>
  </w:footnote>
  <w:footnote w:type="continuationNotice" w:id="1">
    <w:p w14:paraId="5A4C48B4" w14:textId="77777777" w:rsidR="00DB14C7" w:rsidRDefault="00DB14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1D1FC1"/>
    <w:rsid w:val="00217103"/>
    <w:rsid w:val="00257724"/>
    <w:rsid w:val="0026046F"/>
    <w:rsid w:val="002871EF"/>
    <w:rsid w:val="0039641C"/>
    <w:rsid w:val="003B5953"/>
    <w:rsid w:val="003C08E6"/>
    <w:rsid w:val="00401894"/>
    <w:rsid w:val="0047508E"/>
    <w:rsid w:val="004A4D46"/>
    <w:rsid w:val="004C147D"/>
    <w:rsid w:val="004E54C7"/>
    <w:rsid w:val="00654B5B"/>
    <w:rsid w:val="006C35A5"/>
    <w:rsid w:val="00791E0C"/>
    <w:rsid w:val="007C093B"/>
    <w:rsid w:val="008A56F8"/>
    <w:rsid w:val="00931E27"/>
    <w:rsid w:val="0094372A"/>
    <w:rsid w:val="009838C1"/>
    <w:rsid w:val="00997FF1"/>
    <w:rsid w:val="009C0DEA"/>
    <w:rsid w:val="00A25F5C"/>
    <w:rsid w:val="00A63EF8"/>
    <w:rsid w:val="00A7458C"/>
    <w:rsid w:val="00AD109F"/>
    <w:rsid w:val="00AE29C5"/>
    <w:rsid w:val="00B60357"/>
    <w:rsid w:val="00C40A61"/>
    <w:rsid w:val="00C524C1"/>
    <w:rsid w:val="00D345A6"/>
    <w:rsid w:val="00D51A68"/>
    <w:rsid w:val="00D616C3"/>
    <w:rsid w:val="00D7544A"/>
    <w:rsid w:val="00DB14C7"/>
    <w:rsid w:val="00E54FF1"/>
    <w:rsid w:val="00ED38F8"/>
    <w:rsid w:val="00F23CD6"/>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E33D841-F478-4053-9AE2-0D53BC4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3988</Words>
  <Characters>22738</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26673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MediaTek (Felix)</cp:lastModifiedBy>
  <cp:revision>10</cp:revision>
  <dcterms:created xsi:type="dcterms:W3CDTF">2022-08-25T12:31:00Z</dcterms:created>
  <dcterms:modified xsi:type="dcterms:W3CDTF">2022-08-25T13:16:00Z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