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[AT119-e][031][IAB18]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Chair: Note that the bar is high for identifying FFSes, issues that need to be resolved</w:t>
      </w:r>
      <w:r>
        <w:rPr>
          <w:i/>
          <w:iCs/>
        </w:rPr>
        <w:t xml:space="preserve"> for this WI</w:t>
      </w:r>
      <w:r w:rsidRPr="004A628C">
        <w:rPr>
          <w:i/>
          <w:iCs/>
        </w:rPr>
        <w:t xml:space="preserve">. </w:t>
      </w:r>
      <w:r>
        <w:rPr>
          <w:i/>
          <w:iCs/>
        </w:rPr>
        <w:t xml:space="preserve">R2 should only work on core Uu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SimSun" w:hAnsi="Arial" w:cs="Arial"/>
          <w:bCs/>
        </w:rPr>
      </w:pPr>
      <w:r w:rsidRPr="00A309CA">
        <w:rPr>
          <w:rFonts w:ascii="Arial" w:eastAsia="SimSun" w:hAnsi="Arial" w:cs="Arial"/>
          <w:bCs/>
        </w:rPr>
        <w:t xml:space="preserve">The </w:t>
      </w:r>
      <w:r w:rsidR="00375B12">
        <w:rPr>
          <w:rFonts w:ascii="Arial" w:eastAsia="SimSun" w:hAnsi="Arial" w:cs="Arial"/>
          <w:bCs/>
        </w:rPr>
        <w:t>offline has the deadline</w:t>
      </w:r>
      <w:r w:rsidRPr="00A309CA">
        <w:rPr>
          <w:rFonts w:ascii="Arial" w:eastAsia="SimSun" w:hAnsi="Arial" w:cs="Arial"/>
          <w:bCs/>
        </w:rPr>
        <w:t>:</w:t>
      </w:r>
      <w:r w:rsidR="00375B12" w:rsidRPr="00375B12">
        <w:rPr>
          <w:rFonts w:ascii="Arial" w:eastAsia="SimSun" w:hAnsi="Arial" w:cs="Arial"/>
          <w:b/>
          <w:color w:val="FF0000"/>
          <w:u w:val="single"/>
        </w:rPr>
        <w:t xml:space="preserve"> </w:t>
      </w:r>
      <w:r w:rsidR="00375B12">
        <w:rPr>
          <w:rFonts w:ascii="Arial" w:eastAsia="SimSun" w:hAnsi="Arial" w:cs="Arial"/>
          <w:b/>
          <w:color w:val="FF0000"/>
          <w:u w:val="single"/>
        </w:rPr>
        <w:t>Wednesday</w:t>
      </w:r>
      <w:r w:rsidR="00375B12" w:rsidRPr="00A309CA">
        <w:rPr>
          <w:rFonts w:ascii="Arial" w:eastAsia="SimSun" w:hAnsi="Arial" w:cs="Arial"/>
          <w:b/>
          <w:color w:val="FF0000"/>
          <w:u w:val="single"/>
        </w:rPr>
        <w:t xml:space="preserve">, </w:t>
      </w:r>
      <w:r w:rsidR="00375B12">
        <w:rPr>
          <w:rFonts w:ascii="Arial" w:eastAsia="SimSun" w:hAnsi="Arial" w:cs="Arial"/>
          <w:b/>
          <w:color w:val="FF0000"/>
          <w:u w:val="single"/>
        </w:rPr>
        <w:t>24</w:t>
      </w:r>
      <w:r w:rsidR="00375B12" w:rsidRPr="00A309CA">
        <w:rPr>
          <w:rFonts w:ascii="Arial" w:eastAsia="SimSun" w:hAnsi="Arial" w:cs="Arial"/>
          <w:b/>
          <w:color w:val="FF0000"/>
          <w:u w:val="single"/>
          <w:vertAlign w:val="superscript"/>
        </w:rPr>
        <w:t>th</w:t>
      </w:r>
      <w:r w:rsidR="00375B12" w:rsidRPr="00A309CA">
        <w:rPr>
          <w:rFonts w:ascii="Arial" w:eastAsia="SimSun" w:hAnsi="Arial" w:cs="Arial"/>
          <w:b/>
          <w:color w:val="FF0000"/>
          <w:u w:val="single"/>
        </w:rPr>
        <w:t xml:space="preserve"> August, 2022, 23:59 UTC.</w:t>
      </w:r>
    </w:p>
    <w:p w14:paraId="73575D1F" w14:textId="4CE520E7" w:rsidR="00055347" w:rsidRDefault="00822E5A" w:rsidP="007011B4">
      <w:pPr>
        <w:pStyle w:val="Heading1"/>
      </w:pPr>
      <w:r>
        <w:t>Discussion</w:t>
      </w:r>
    </w:p>
    <w:p w14:paraId="1B21E70B" w14:textId="04E442E2" w:rsidR="00E60DCA" w:rsidRPr="00B62245" w:rsidRDefault="00B53581" w:rsidP="00F84340">
      <w:pPr>
        <w:pStyle w:val="Heading2"/>
        <w:numPr>
          <w:ilvl w:val="0"/>
          <w:numId w:val="0"/>
        </w:numPr>
        <w:rPr>
          <w:b/>
          <w:bCs/>
          <w:sz w:val="28"/>
        </w:rPr>
      </w:pPr>
      <w:r w:rsidRPr="00B53581">
        <w:rPr>
          <w:rStyle w:val="Heading2Char"/>
        </w:rPr>
        <w:t>2.</w:t>
      </w:r>
      <w:r w:rsidR="00E60DCA" w:rsidRPr="00B53581">
        <w:rPr>
          <w:rStyle w:val="Heading2Char"/>
        </w:rPr>
        <w:t>1</w:t>
      </w:r>
      <w:r w:rsidR="00F84340">
        <w:rPr>
          <w:rStyle w:val="Heading2Char"/>
        </w:rPr>
        <w:tab/>
        <w:t xml:space="preserve"> </w:t>
      </w:r>
      <w:r>
        <w:rPr>
          <w:rStyle w:val="Heading2Char"/>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mobility state based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(e.g.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69F8CCFA" w:rsidR="00B53581" w:rsidRPr="00DB7BF9" w:rsidRDefault="00A83AD2" w:rsidP="008D7668">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4FAF6C12" w14:textId="4C6407C6" w:rsidR="00B53581" w:rsidRPr="00DB7BF9" w:rsidRDefault="00A83AD2" w:rsidP="008D7668">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59A59227" w14:textId="77777777" w:rsidR="00A83AD2" w:rsidRDefault="00A83AD2" w:rsidP="008D7668">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17D1CD7A" w14:textId="4FCE306E" w:rsidR="00B53581" w:rsidRPr="00DB7BF9" w:rsidRDefault="00A83AD2" w:rsidP="008D7668">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sidRPr="00A83AD2">
              <w:rPr>
                <w:rFonts w:ascii="Arial" w:hAnsi="Arial" w:cs="Arial"/>
                <w:sz w:val="20"/>
              </w:rPr>
              <w:t>(re-)selection</w:t>
            </w:r>
            <w:r>
              <w:rPr>
                <w:rFonts w:ascii="Arial" w:hAnsi="Arial" w:cs="Arial"/>
                <w:sz w:val="20"/>
              </w:rPr>
              <w:t>, especially for the onboard UEs. And the UE can determine whether it is onboard or surrounding based on implementation or other normative solutions if needed.</w:t>
            </w:r>
          </w:p>
        </w:tc>
      </w:tr>
      <w:tr w:rsidR="00277975" w:rsidRPr="00DB7BF9" w14:paraId="07D17872" w14:textId="77777777" w:rsidTr="008D7668">
        <w:tc>
          <w:tcPr>
            <w:tcW w:w="1975" w:type="dxa"/>
          </w:tcPr>
          <w:p w14:paraId="1A8D9E9A" w14:textId="39CCEE15" w:rsidR="00277975" w:rsidRPr="00DB7BF9" w:rsidRDefault="00277975" w:rsidP="00277975">
            <w:pPr>
              <w:jc w:val="left"/>
              <w:rPr>
                <w:rFonts w:ascii="Arial" w:hAnsi="Arial" w:cs="Arial"/>
                <w:sz w:val="20"/>
              </w:rPr>
            </w:pPr>
            <w:r>
              <w:rPr>
                <w:rFonts w:ascii="Arial" w:hAnsi="Arial" w:cs="Arial"/>
                <w:sz w:val="20"/>
              </w:rPr>
              <w:t>Kyocera</w:t>
            </w:r>
          </w:p>
        </w:tc>
        <w:tc>
          <w:tcPr>
            <w:tcW w:w="1530" w:type="dxa"/>
          </w:tcPr>
          <w:p w14:paraId="460A3B48" w14:textId="05D67B77" w:rsidR="00277975" w:rsidRPr="00DB7BF9" w:rsidRDefault="00277975" w:rsidP="00277975">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104B43EC" w14:textId="77777777" w:rsidR="00277975" w:rsidRDefault="00277975" w:rsidP="00277975">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119121FC" w14:textId="32797759" w:rsidR="00277975" w:rsidRPr="00DB7BF9" w:rsidRDefault="00277975" w:rsidP="00277975">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sidRPr="00402097">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7975" w:rsidRPr="00DB7BF9" w14:paraId="62D4145D" w14:textId="77777777" w:rsidTr="008D7668">
        <w:tc>
          <w:tcPr>
            <w:tcW w:w="1975" w:type="dxa"/>
          </w:tcPr>
          <w:p w14:paraId="0A06743A" w14:textId="1E753B49" w:rsidR="00277975" w:rsidRPr="00DB7BF9" w:rsidRDefault="00B13FF5" w:rsidP="00277975">
            <w:pPr>
              <w:jc w:val="left"/>
              <w:rPr>
                <w:rFonts w:ascii="Arial" w:hAnsi="Arial" w:cs="Arial"/>
                <w:sz w:val="20"/>
              </w:rPr>
            </w:pPr>
            <w:r>
              <w:rPr>
                <w:rFonts w:ascii="Arial" w:hAnsi="Arial" w:cs="Arial"/>
                <w:sz w:val="20"/>
              </w:rPr>
              <w:lastRenderedPageBreak/>
              <w:t>Ericsson</w:t>
            </w:r>
          </w:p>
        </w:tc>
        <w:tc>
          <w:tcPr>
            <w:tcW w:w="1530" w:type="dxa"/>
          </w:tcPr>
          <w:p w14:paraId="34A57B23" w14:textId="5A55AD43" w:rsidR="00277975" w:rsidRPr="00DB7BF9" w:rsidRDefault="00B13FF5" w:rsidP="00277975">
            <w:pPr>
              <w:jc w:val="left"/>
              <w:rPr>
                <w:rFonts w:ascii="Arial" w:hAnsi="Arial" w:cs="Arial"/>
                <w:sz w:val="20"/>
              </w:rPr>
            </w:pPr>
            <w:r>
              <w:rPr>
                <w:rFonts w:ascii="Arial" w:hAnsi="Arial" w:cs="Arial"/>
                <w:sz w:val="20"/>
              </w:rPr>
              <w:t>Yes</w:t>
            </w:r>
          </w:p>
        </w:tc>
        <w:tc>
          <w:tcPr>
            <w:tcW w:w="6231" w:type="dxa"/>
          </w:tcPr>
          <w:p w14:paraId="746D97DF" w14:textId="6B884BFA" w:rsidR="00277975" w:rsidRDefault="00B13FF5" w:rsidP="00277975">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14:paraId="4B71ABAE" w14:textId="219AC1D7" w:rsidR="00B13FF5" w:rsidRPr="00DB7BF9" w:rsidRDefault="00B13FF5" w:rsidP="00277975">
            <w:pPr>
              <w:jc w:val="left"/>
              <w:rPr>
                <w:rFonts w:ascii="Arial" w:hAnsi="Arial" w:cs="Arial"/>
                <w:sz w:val="20"/>
              </w:rPr>
            </w:pPr>
            <w:r>
              <w:rPr>
                <w:rFonts w:ascii="Arial" w:hAnsi="Arial" w:cs="Arial"/>
                <w:sz w:val="20"/>
              </w:rPr>
              <w:t>According to this, having a dedicated SIB for mobile IAB makes more sense for us.</w:t>
            </w:r>
          </w:p>
        </w:tc>
      </w:tr>
      <w:tr w:rsidR="002236F9" w:rsidRPr="00DB7BF9" w14:paraId="4028C245" w14:textId="77777777" w:rsidTr="008D7668">
        <w:tc>
          <w:tcPr>
            <w:tcW w:w="1975" w:type="dxa"/>
          </w:tcPr>
          <w:p w14:paraId="7D1E3209" w14:textId="1C2CB4B4" w:rsidR="002236F9" w:rsidRPr="00DB7BF9" w:rsidRDefault="002236F9" w:rsidP="002236F9">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A7285F3" w14:textId="7A1D29E4" w:rsidR="002236F9" w:rsidRPr="00DB7BF9" w:rsidRDefault="002236F9" w:rsidP="002236F9">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4BDCFB20" w14:textId="77777777" w:rsidR="002236F9" w:rsidRDefault="002236F9" w:rsidP="002236F9">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6689665C" w14:textId="779AD8A8" w:rsidR="002236F9" w:rsidRPr="00DB7BF9" w:rsidRDefault="002236F9" w:rsidP="002236F9">
            <w:pPr>
              <w:jc w:val="left"/>
              <w:rPr>
                <w:rFonts w:ascii="Arial" w:hAnsi="Arial" w:cs="Arial"/>
                <w:sz w:val="20"/>
              </w:rPr>
            </w:pPr>
            <w:r>
              <w:rPr>
                <w:rFonts w:ascii="Arial" w:hAnsi="Arial" w:cs="Arial"/>
                <w:sz w:val="20"/>
              </w:rPr>
              <w:t>For any UE (no matter on-broad UEs or UEs surrounding the mIAB), if the radio link between the UE and the cell which is selected at present by the UE is good enough, the UE will keep camping on the cell. Thus, no enhancement is needed.</w:t>
            </w:r>
          </w:p>
        </w:tc>
      </w:tr>
      <w:tr w:rsidR="002236F9" w:rsidRPr="00DB7BF9" w14:paraId="535DF428" w14:textId="77777777" w:rsidTr="008D7668">
        <w:tc>
          <w:tcPr>
            <w:tcW w:w="1975" w:type="dxa"/>
          </w:tcPr>
          <w:p w14:paraId="76B1ABA7" w14:textId="7D86FAE0" w:rsidR="002236F9" w:rsidRPr="00DB7BF9" w:rsidRDefault="008872FA" w:rsidP="002236F9">
            <w:pPr>
              <w:jc w:val="left"/>
              <w:rPr>
                <w:rFonts w:ascii="Arial" w:hAnsi="Arial" w:cs="Arial"/>
                <w:sz w:val="20"/>
              </w:rPr>
            </w:pPr>
            <w:r>
              <w:rPr>
                <w:rFonts w:ascii="Arial" w:hAnsi="Arial" w:cs="Arial"/>
                <w:sz w:val="20"/>
              </w:rPr>
              <w:t>Samsung</w:t>
            </w:r>
          </w:p>
        </w:tc>
        <w:tc>
          <w:tcPr>
            <w:tcW w:w="1530" w:type="dxa"/>
          </w:tcPr>
          <w:p w14:paraId="191316AA" w14:textId="40AA617C" w:rsidR="002236F9" w:rsidRPr="00DB7BF9" w:rsidRDefault="008872FA" w:rsidP="002236F9">
            <w:pPr>
              <w:jc w:val="left"/>
              <w:rPr>
                <w:rFonts w:ascii="Arial" w:hAnsi="Arial" w:cs="Arial"/>
                <w:sz w:val="20"/>
              </w:rPr>
            </w:pPr>
            <w:r>
              <w:rPr>
                <w:rFonts w:ascii="Arial" w:hAnsi="Arial" w:cs="Arial"/>
                <w:sz w:val="20"/>
              </w:rPr>
              <w:t>Yes but…</w:t>
            </w:r>
          </w:p>
        </w:tc>
        <w:tc>
          <w:tcPr>
            <w:tcW w:w="6231" w:type="dxa"/>
          </w:tcPr>
          <w:p w14:paraId="0C5927F1" w14:textId="7206ADD7" w:rsidR="002236F9" w:rsidRPr="00DB7BF9" w:rsidRDefault="008872FA" w:rsidP="008872FA">
            <w:pPr>
              <w:jc w:val="left"/>
              <w:rPr>
                <w:rFonts w:ascii="Arial" w:hAnsi="Arial" w:cs="Arial"/>
                <w:sz w:val="20"/>
              </w:rPr>
            </w:pPr>
            <w:r>
              <w:rPr>
                <w:rFonts w:ascii="Arial" w:hAnsi="Arial" w:cs="Arial"/>
                <w:sz w:val="20"/>
              </w:rPr>
              <w:t xml:space="preserve">We agree that cell </w:t>
            </w:r>
            <w:r w:rsidR="00CB195D">
              <w:rPr>
                <w:rFonts w:ascii="Arial" w:hAnsi="Arial" w:cs="Arial"/>
                <w:sz w:val="20"/>
              </w:rPr>
              <w:t>(re)</w:t>
            </w:r>
            <w:r>
              <w:rPr>
                <w:rFonts w:ascii="Arial" w:hAnsi="Arial" w:cs="Arial"/>
                <w:sz w:val="20"/>
              </w:rPr>
              <w:t>selection criteria should be optimized</w:t>
            </w:r>
            <w:r w:rsidR="00CB195D">
              <w:rPr>
                <w:rFonts w:ascii="Arial" w:hAnsi="Arial" w:cs="Arial"/>
                <w:sz w:val="20"/>
              </w:rPr>
              <w:t>/enhanced</w:t>
            </w:r>
            <w:r>
              <w:rPr>
                <w:rFonts w:ascii="Arial" w:hAnsi="Arial" w:cs="Arial"/>
                <w:sz w:val="20"/>
              </w:rPr>
              <w:t xml:space="preserve"> for on-board UEs. But we do have some sympathy for concerns expressed by Fujitsu and Kyocera on potential impact to surrounding UEs. If</w:t>
            </w:r>
            <w:r>
              <w:rPr>
                <w:rFonts w:ascii="Arial" w:hAnsi="Arial" w:cs="Arial"/>
                <w:sz w:val="20"/>
              </w:rPr>
              <w:t>, for this proposal to work, it relies on UEs determining whether they are a surrounding UE or an on-board UE</w:t>
            </w:r>
            <w:r>
              <w:rPr>
                <w:rFonts w:ascii="Arial" w:hAnsi="Arial" w:cs="Arial"/>
                <w:sz w:val="20"/>
              </w:rPr>
              <w:t xml:space="preserve"> (e.g. based on mobility)</w:t>
            </w:r>
            <w:r>
              <w:rPr>
                <w:rFonts w:ascii="Arial" w:hAnsi="Arial" w:cs="Arial"/>
                <w:sz w:val="20"/>
              </w:rPr>
              <w:t xml:space="preserve">, this </w:t>
            </w:r>
            <w:r>
              <w:rPr>
                <w:rFonts w:ascii="Arial" w:hAnsi="Arial" w:cs="Arial"/>
                <w:sz w:val="20"/>
              </w:rPr>
              <w:t>may require</w:t>
            </w:r>
            <w:r>
              <w:rPr>
                <w:rFonts w:ascii="Arial" w:hAnsi="Arial" w:cs="Arial"/>
                <w:sz w:val="20"/>
              </w:rPr>
              <w:t xml:space="preserve"> normative work potentially affecting all Rel-18 UEs</w:t>
            </w:r>
            <w:r>
              <w:rPr>
                <w:rFonts w:ascii="Arial" w:hAnsi="Arial" w:cs="Arial"/>
                <w:sz w:val="20"/>
              </w:rPr>
              <w:t>. So some clarification of this matter would be useful in our view.</w:t>
            </w: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Heading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mIAB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mIAB-node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lastRenderedPageBreak/>
        <w:t>Qualcomm R2-2207283</w:t>
      </w:r>
      <w:r w:rsidRPr="00DB7BF9">
        <w:rPr>
          <w:rFonts w:ascii="Arial" w:hAnsi="Arial" w:cs="Arial"/>
          <w:sz w:val="20"/>
          <w:szCs w:val="20"/>
        </w:rPr>
        <w:t xml:space="preserve"> , </w:t>
      </w:r>
      <w:r w:rsidRPr="00DB7BF9">
        <w:rPr>
          <w:rFonts w:ascii="Arial" w:hAnsi="Arial" w:cs="Arial"/>
          <w:b/>
          <w:bCs/>
          <w:sz w:val="20"/>
          <w:szCs w:val="20"/>
        </w:rPr>
        <w:t xml:space="preserve">Sony R2-2207827 </w:t>
      </w:r>
      <w:r w:rsidRPr="00DB7BF9">
        <w:rPr>
          <w:rFonts w:ascii="Arial" w:hAnsi="Arial" w:cs="Arial"/>
          <w:sz w:val="20"/>
          <w:szCs w:val="20"/>
        </w:rPr>
        <w:t>propose that the mIAB-node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Qualcomm R2-2207283</w:t>
      </w:r>
      <w:r w:rsidRPr="00DB7BF9">
        <w:rPr>
          <w:rFonts w:ascii="Arial" w:hAnsi="Arial" w:cs="Arial"/>
          <w:sz w:val="20"/>
          <w:szCs w:val="20"/>
        </w:rPr>
        <w:t xml:space="preserve"> propose that the mIAB-node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r>
              <w:rPr>
                <w:rFonts w:ascii="Arial" w:hAnsi="Arial" w:cs="Arial"/>
                <w:sz w:val="20"/>
                <w:szCs w:val="20"/>
              </w:rPr>
              <w:t>Yes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We agree that the intention is clear, and the solution is reasonable. However, we think some info in e.g. need further discussion. For example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we suggest to remove the e.g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6244BC42" w:rsidR="00DF3BCB" w:rsidRPr="00DB7BF9" w:rsidRDefault="00BD350B"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56BC0947" w14:textId="6F0051EA" w:rsidR="00DF3BCB" w:rsidRPr="00DB7BF9" w:rsidRDefault="00BD350B"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894AB84" w14:textId="77777777" w:rsidR="00DF3BCB" w:rsidRDefault="00BD350B" w:rsidP="008D7668">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06BCBF1D" w14:textId="43A2895F" w:rsidR="00806749" w:rsidRPr="00DB7BF9" w:rsidRDefault="00806749" w:rsidP="008D7668">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tc>
      </w:tr>
      <w:tr w:rsidR="00277975" w:rsidRPr="00DB7BF9" w14:paraId="5A60D461" w14:textId="77777777" w:rsidTr="008D7668">
        <w:tc>
          <w:tcPr>
            <w:tcW w:w="1975" w:type="dxa"/>
          </w:tcPr>
          <w:p w14:paraId="1DAB8736" w14:textId="49532BD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86EDF3C" w14:textId="16C6478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FB3C1A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t>
            </w:r>
            <w:r>
              <w:rPr>
                <w:rFonts w:ascii="Arial" w:eastAsia="MS Mincho" w:hAnsi="Arial" w:cs="Arial"/>
                <w:sz w:val="20"/>
                <w:szCs w:val="20"/>
                <w:lang w:eastAsia="ja-JP"/>
              </w:rPr>
              <w:lastRenderedPageBreak/>
              <w:t xml:space="preserve">which is a different context from the discussion for mobile IAB-node migration (i.e., this email discussion). </w:t>
            </w:r>
          </w:p>
          <w:p w14:paraId="3076D89D" w14:textId="3E188D1D"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7975" w:rsidRPr="00DB7BF9" w14:paraId="5EF5036E" w14:textId="77777777" w:rsidTr="008D7668">
        <w:tc>
          <w:tcPr>
            <w:tcW w:w="1975" w:type="dxa"/>
          </w:tcPr>
          <w:p w14:paraId="4FC062CE" w14:textId="2E6FF5E3" w:rsidR="00277975" w:rsidRPr="00DB7BF9" w:rsidRDefault="00B13FF5" w:rsidP="00277975">
            <w:pPr>
              <w:jc w:val="left"/>
              <w:rPr>
                <w:rFonts w:ascii="Arial" w:hAnsi="Arial" w:cs="Arial"/>
                <w:sz w:val="20"/>
                <w:szCs w:val="20"/>
              </w:rPr>
            </w:pPr>
            <w:r>
              <w:rPr>
                <w:rFonts w:ascii="Arial" w:hAnsi="Arial" w:cs="Arial"/>
                <w:sz w:val="20"/>
                <w:szCs w:val="20"/>
              </w:rPr>
              <w:lastRenderedPageBreak/>
              <w:t>Ericsson</w:t>
            </w:r>
          </w:p>
        </w:tc>
        <w:tc>
          <w:tcPr>
            <w:tcW w:w="1530" w:type="dxa"/>
          </w:tcPr>
          <w:p w14:paraId="229B6350" w14:textId="2BCF13F1" w:rsidR="00277975" w:rsidRPr="00DB7BF9" w:rsidRDefault="00B13FF5" w:rsidP="00277975">
            <w:pPr>
              <w:jc w:val="left"/>
              <w:rPr>
                <w:rFonts w:ascii="Arial" w:hAnsi="Arial" w:cs="Arial"/>
                <w:sz w:val="20"/>
                <w:szCs w:val="20"/>
              </w:rPr>
            </w:pPr>
            <w:r>
              <w:rPr>
                <w:rFonts w:ascii="Arial" w:hAnsi="Arial" w:cs="Arial"/>
                <w:sz w:val="20"/>
                <w:szCs w:val="20"/>
              </w:rPr>
              <w:t>Yes with comments</w:t>
            </w:r>
          </w:p>
        </w:tc>
        <w:tc>
          <w:tcPr>
            <w:tcW w:w="6231" w:type="dxa"/>
          </w:tcPr>
          <w:p w14:paraId="3E3DABCF" w14:textId="7560C612" w:rsidR="00277975" w:rsidRPr="00DB7BF9" w:rsidRDefault="00B13FF5" w:rsidP="00277975">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rsidR="002236F9" w:rsidRPr="00DB7BF9" w14:paraId="4C0D2D4D" w14:textId="77777777" w:rsidTr="008D7668">
        <w:tc>
          <w:tcPr>
            <w:tcW w:w="1975" w:type="dxa"/>
          </w:tcPr>
          <w:p w14:paraId="78918DFD" w14:textId="5E6EA895"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012CDB" w14:textId="56465044" w:rsidR="002236F9" w:rsidRPr="00DB7BF9" w:rsidRDefault="002236F9" w:rsidP="002236F9">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F229078" w14:textId="389006F9" w:rsidR="002236F9" w:rsidRPr="00DB7BF9" w:rsidRDefault="002236F9" w:rsidP="002236F9">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236F9" w:rsidRPr="00DB7BF9" w14:paraId="7AFC0B4F" w14:textId="77777777" w:rsidTr="008D7668">
        <w:tc>
          <w:tcPr>
            <w:tcW w:w="1975" w:type="dxa"/>
          </w:tcPr>
          <w:p w14:paraId="308FCE6C" w14:textId="2D0BD98F" w:rsidR="002236F9" w:rsidRPr="00DB7BF9" w:rsidRDefault="008872FA" w:rsidP="002236F9">
            <w:pPr>
              <w:jc w:val="left"/>
              <w:rPr>
                <w:rFonts w:ascii="Arial" w:hAnsi="Arial" w:cs="Arial"/>
                <w:sz w:val="20"/>
                <w:szCs w:val="20"/>
              </w:rPr>
            </w:pPr>
            <w:r>
              <w:rPr>
                <w:rFonts w:ascii="Arial" w:hAnsi="Arial" w:cs="Arial"/>
                <w:sz w:val="20"/>
                <w:szCs w:val="20"/>
              </w:rPr>
              <w:t>Samsung</w:t>
            </w:r>
          </w:p>
        </w:tc>
        <w:tc>
          <w:tcPr>
            <w:tcW w:w="1530" w:type="dxa"/>
          </w:tcPr>
          <w:p w14:paraId="17EECAD8" w14:textId="408325A4" w:rsidR="002236F9" w:rsidRPr="00DB7BF9" w:rsidRDefault="008872FA" w:rsidP="002236F9">
            <w:pPr>
              <w:jc w:val="left"/>
              <w:rPr>
                <w:rFonts w:ascii="Arial" w:hAnsi="Arial" w:cs="Arial"/>
                <w:sz w:val="20"/>
                <w:szCs w:val="20"/>
              </w:rPr>
            </w:pPr>
            <w:r>
              <w:rPr>
                <w:rFonts w:ascii="Arial" w:hAnsi="Arial" w:cs="Arial"/>
                <w:sz w:val="20"/>
                <w:szCs w:val="20"/>
              </w:rPr>
              <w:t>Needs further clarification</w:t>
            </w:r>
          </w:p>
        </w:tc>
        <w:tc>
          <w:tcPr>
            <w:tcW w:w="6231" w:type="dxa"/>
          </w:tcPr>
          <w:p w14:paraId="3EE8907E" w14:textId="13295115" w:rsidR="002236F9" w:rsidRPr="00DB7BF9" w:rsidRDefault="008872FA" w:rsidP="00CB195D">
            <w:pPr>
              <w:jc w:val="left"/>
              <w:rPr>
                <w:rFonts w:ascii="Arial" w:hAnsi="Arial" w:cs="Arial"/>
                <w:sz w:val="20"/>
                <w:szCs w:val="20"/>
              </w:rPr>
            </w:pPr>
            <w:r>
              <w:rPr>
                <w:rFonts w:ascii="Arial" w:hAnsi="Arial" w:cs="Arial"/>
                <w:sz w:val="20"/>
                <w:szCs w:val="20"/>
              </w:rPr>
              <w:t xml:space="preserve">First of all, rewording by Apple is definitely needed in our view. But even with that rewording, current measurement report </w:t>
            </w:r>
            <w:r w:rsidR="00CB195D">
              <w:rPr>
                <w:rFonts w:ascii="Arial" w:hAnsi="Arial" w:cs="Arial"/>
                <w:sz w:val="20"/>
                <w:szCs w:val="20"/>
              </w:rPr>
              <w:t xml:space="preserve">message </w:t>
            </w:r>
            <w:r>
              <w:rPr>
                <w:rFonts w:ascii="Arial" w:hAnsi="Arial" w:cs="Arial"/>
                <w:sz w:val="20"/>
                <w:szCs w:val="20"/>
              </w:rPr>
              <w:t>already includes the location info field with detailed information including speed estimate. Therefore we feel legacy signaling may be enough. It’s only if we need information on top of that available in legacy signaling</w:t>
            </w:r>
            <w:r w:rsidR="00CB195D">
              <w:rPr>
                <w:rFonts w:ascii="Arial" w:hAnsi="Arial" w:cs="Arial"/>
                <w:sz w:val="20"/>
                <w:szCs w:val="20"/>
              </w:rPr>
              <w:t>,</w:t>
            </w:r>
            <w:r>
              <w:rPr>
                <w:rFonts w:ascii="Arial" w:hAnsi="Arial" w:cs="Arial"/>
                <w:sz w:val="20"/>
                <w:szCs w:val="20"/>
              </w:rPr>
              <w:t xml:space="preserve"> that we need to study this further.</w:t>
            </w:r>
          </w:p>
        </w:tc>
      </w:tr>
    </w:tbl>
    <w:p w14:paraId="6259B3C0" w14:textId="77777777" w:rsidR="00E60DCA" w:rsidRDefault="00E60DCA" w:rsidP="008D7668">
      <w:pPr>
        <w:rPr>
          <w:b/>
          <w:bCs/>
        </w:rPr>
      </w:pPr>
    </w:p>
    <w:p w14:paraId="2651BAD2" w14:textId="427EDA29" w:rsidR="00E60DCA" w:rsidRPr="00F84340" w:rsidRDefault="00F84340" w:rsidP="00F84340">
      <w:pPr>
        <w:pStyle w:val="Heading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lastRenderedPageBreak/>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1667728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06F3D5E" w14:textId="096716B3"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4691F579" w14:textId="77777777" w:rsidR="00DF3BCB" w:rsidRPr="00DB7BF9" w:rsidRDefault="00DF3BCB" w:rsidP="008D7668">
            <w:pPr>
              <w:jc w:val="left"/>
              <w:rPr>
                <w:rFonts w:ascii="Arial" w:hAnsi="Arial" w:cs="Arial"/>
                <w:sz w:val="20"/>
                <w:szCs w:val="20"/>
              </w:rPr>
            </w:pPr>
          </w:p>
        </w:tc>
      </w:tr>
      <w:tr w:rsidR="00277975" w:rsidRPr="00DB7BF9" w14:paraId="2131079A" w14:textId="77777777" w:rsidTr="008D7668">
        <w:tc>
          <w:tcPr>
            <w:tcW w:w="1975" w:type="dxa"/>
          </w:tcPr>
          <w:p w14:paraId="025FEFD0" w14:textId="207AEF2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357FACA5" w14:textId="2734946A"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272E6EAA"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7E0F049D" w14:textId="3B584686"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7975" w:rsidRPr="00DB7BF9" w14:paraId="7237861F" w14:textId="77777777" w:rsidTr="008D7668">
        <w:tc>
          <w:tcPr>
            <w:tcW w:w="1975" w:type="dxa"/>
          </w:tcPr>
          <w:p w14:paraId="70FD6F7E" w14:textId="0484F1A1"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45AB18BA" w14:textId="438D5F41" w:rsidR="00277975" w:rsidRPr="00DB7BF9" w:rsidRDefault="00803707" w:rsidP="00277975">
            <w:pPr>
              <w:jc w:val="left"/>
              <w:rPr>
                <w:rFonts w:ascii="Arial" w:hAnsi="Arial" w:cs="Arial"/>
                <w:sz w:val="20"/>
                <w:szCs w:val="20"/>
              </w:rPr>
            </w:pPr>
            <w:r>
              <w:rPr>
                <w:rFonts w:ascii="Arial" w:hAnsi="Arial" w:cs="Arial"/>
                <w:sz w:val="20"/>
                <w:szCs w:val="20"/>
              </w:rPr>
              <w:t>Wait RAN3 progresses</w:t>
            </w:r>
          </w:p>
        </w:tc>
        <w:tc>
          <w:tcPr>
            <w:tcW w:w="6231" w:type="dxa"/>
          </w:tcPr>
          <w:p w14:paraId="4FE07D66" w14:textId="37F35B11" w:rsidR="00277975" w:rsidRPr="00DB7BF9" w:rsidRDefault="00803707" w:rsidP="00277975">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236F9" w:rsidRPr="00DB7BF9" w14:paraId="0FFC4A23" w14:textId="77777777" w:rsidTr="008D7668">
        <w:tc>
          <w:tcPr>
            <w:tcW w:w="1975" w:type="dxa"/>
          </w:tcPr>
          <w:p w14:paraId="57214BD2" w14:textId="37BDBDCC"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33669B2B" w14:textId="05270358" w:rsidR="002236F9" w:rsidRPr="00DB7BF9" w:rsidRDefault="002236F9" w:rsidP="002236F9">
            <w:pPr>
              <w:jc w:val="left"/>
              <w:rPr>
                <w:rFonts w:ascii="Arial" w:hAnsi="Arial" w:cs="Arial"/>
                <w:sz w:val="20"/>
                <w:szCs w:val="20"/>
              </w:rPr>
            </w:pPr>
            <w:r>
              <w:rPr>
                <w:rFonts w:ascii="Arial" w:hAnsi="Arial" w:cs="Arial"/>
                <w:sz w:val="20"/>
                <w:szCs w:val="20"/>
              </w:rPr>
              <w:t>No, see comment</w:t>
            </w:r>
          </w:p>
        </w:tc>
        <w:tc>
          <w:tcPr>
            <w:tcW w:w="6231" w:type="dxa"/>
          </w:tcPr>
          <w:p w14:paraId="36E56E8B" w14:textId="77777777" w:rsidR="002236F9" w:rsidRDefault="002236F9" w:rsidP="002236F9">
            <w:pPr>
              <w:jc w:val="left"/>
              <w:rPr>
                <w:rFonts w:cs="Arial"/>
                <w:szCs w:val="20"/>
              </w:rPr>
            </w:pPr>
            <w:r w:rsidRPr="001C3597">
              <w:rPr>
                <w:rFonts w:cs="Arial" w:hint="eastAsia"/>
                <w:szCs w:val="20"/>
              </w:rPr>
              <w:t>W</w:t>
            </w:r>
            <w:r w:rsidRPr="001C3597">
              <w:rPr>
                <w:rFonts w:cs="Arial"/>
                <w:szCs w:val="20"/>
              </w:rPr>
              <w:t xml:space="preserve">e </w:t>
            </w:r>
            <w:r>
              <w:rPr>
                <w:rFonts w:cs="Arial"/>
                <w:szCs w:val="20"/>
              </w:rPr>
              <w:t>believe the scenario that the same frequency resource shared between the cells on two logical DUs is necessary and important for the operators</w:t>
            </w:r>
            <w:r>
              <w:rPr>
                <w:rFonts w:cs="Arial" w:hint="eastAsia"/>
                <w:szCs w:val="20"/>
              </w:rPr>
              <w:t>.</w:t>
            </w:r>
          </w:p>
          <w:p w14:paraId="025B9F56" w14:textId="0BD37395" w:rsidR="002236F9" w:rsidRPr="002236F9" w:rsidRDefault="002236F9" w:rsidP="002236F9">
            <w:pPr>
              <w:jc w:val="left"/>
              <w:rPr>
                <w:rFonts w:cs="Arial"/>
                <w:szCs w:val="20"/>
              </w:rPr>
            </w:pPr>
            <w:r>
              <w:rPr>
                <w:rFonts w:cs="Arial"/>
                <w:szCs w:val="20"/>
              </w:rPr>
              <w:t xml:space="preserve">And we </w:t>
            </w:r>
            <w:r w:rsidRPr="001C3597">
              <w:rPr>
                <w:rFonts w:cs="Arial"/>
                <w:szCs w:val="20"/>
              </w:rPr>
              <w:t xml:space="preserve">doubt about </w:t>
            </w:r>
            <w:r>
              <w:rPr>
                <w:rFonts w:cs="Arial"/>
                <w:szCs w:val="20"/>
              </w:rPr>
              <w:t xml:space="preserve">the motivation of this proposal since UE does not need to </w:t>
            </w:r>
            <w:r w:rsidRPr="005516C5">
              <w:rPr>
                <w:rFonts w:cs="Arial"/>
                <w:szCs w:val="20"/>
              </w:rPr>
              <w:t>differentiate the source cell and target cell on the IAB-node during full migration</w:t>
            </w:r>
            <w:r>
              <w:rPr>
                <w:rFonts w:cs="Arial"/>
                <w:szCs w:val="20"/>
              </w:rPr>
              <w:t>.</w:t>
            </w:r>
            <w:r w:rsidRPr="001C3597">
              <w:rPr>
                <w:rFonts w:cs="Arial"/>
                <w:szCs w:val="20"/>
              </w:rPr>
              <w:t xml:space="preserve"> </w:t>
            </w:r>
            <w:r>
              <w:rPr>
                <w:rFonts w:cs="Arial"/>
                <w:szCs w:val="20"/>
              </w:rPr>
              <w:t xml:space="preserve">UE just follows the network instruction for changing PCI, reconfiguring other cell level parameters (e.g., NCGI) or updating the security key. Even in legacy handover, UE just know some cell parameters are changed rather than which is source cell or which is target cell, i.e., </w:t>
            </w:r>
            <w:r>
              <w:rPr>
                <w:rFonts w:cs="Arial" w:hint="eastAsia"/>
                <w:szCs w:val="20"/>
              </w:rPr>
              <w:t>UE</w:t>
            </w:r>
            <w:r>
              <w:rPr>
                <w:rFonts w:cs="Arial"/>
                <w:szCs w:val="20"/>
              </w:rPr>
              <w:t xml:space="preserve"> does not need to know what happens exactly on the network side.</w:t>
            </w:r>
          </w:p>
        </w:tc>
      </w:tr>
      <w:tr w:rsidR="002236F9" w:rsidRPr="00DB7BF9" w14:paraId="64349599" w14:textId="77777777" w:rsidTr="008D7668">
        <w:tc>
          <w:tcPr>
            <w:tcW w:w="1975" w:type="dxa"/>
          </w:tcPr>
          <w:p w14:paraId="5CB4D46B" w14:textId="17861F11" w:rsidR="002236F9" w:rsidRPr="00DB7BF9" w:rsidRDefault="008872FA" w:rsidP="002236F9">
            <w:pPr>
              <w:jc w:val="left"/>
              <w:rPr>
                <w:rFonts w:ascii="Arial" w:hAnsi="Arial" w:cs="Arial"/>
                <w:sz w:val="20"/>
                <w:szCs w:val="20"/>
              </w:rPr>
            </w:pPr>
            <w:r>
              <w:rPr>
                <w:rFonts w:ascii="Arial" w:hAnsi="Arial" w:cs="Arial"/>
                <w:sz w:val="20"/>
                <w:szCs w:val="20"/>
              </w:rPr>
              <w:t>Samsung</w:t>
            </w:r>
          </w:p>
        </w:tc>
        <w:tc>
          <w:tcPr>
            <w:tcW w:w="1530" w:type="dxa"/>
          </w:tcPr>
          <w:p w14:paraId="2045E417" w14:textId="532F52D7" w:rsidR="002236F9" w:rsidRPr="00DB7BF9" w:rsidRDefault="008872FA" w:rsidP="002236F9">
            <w:pPr>
              <w:jc w:val="left"/>
              <w:rPr>
                <w:rFonts w:ascii="Arial" w:hAnsi="Arial" w:cs="Arial"/>
                <w:sz w:val="20"/>
                <w:szCs w:val="20"/>
              </w:rPr>
            </w:pPr>
            <w:r>
              <w:rPr>
                <w:rFonts w:ascii="Arial" w:hAnsi="Arial" w:cs="Arial"/>
                <w:sz w:val="20"/>
                <w:szCs w:val="20"/>
              </w:rPr>
              <w:t>Yes</w:t>
            </w:r>
          </w:p>
        </w:tc>
        <w:tc>
          <w:tcPr>
            <w:tcW w:w="6231" w:type="dxa"/>
          </w:tcPr>
          <w:p w14:paraId="344C0A51" w14:textId="77777777" w:rsidR="002236F9" w:rsidRPr="00DB7BF9" w:rsidRDefault="002236F9" w:rsidP="002236F9">
            <w:pPr>
              <w:jc w:val="left"/>
              <w:rPr>
                <w:rFonts w:ascii="Arial" w:hAnsi="Arial" w:cs="Arial"/>
                <w:sz w:val="20"/>
                <w:szCs w:val="20"/>
              </w:rPr>
            </w:pP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Heading2"/>
        <w:numPr>
          <w:ilvl w:val="0"/>
          <w:numId w:val="0"/>
        </w:numPr>
        <w:rPr>
          <w:lang w:val="en-GB"/>
        </w:rPr>
      </w:pPr>
      <w:r>
        <w:rPr>
          <w:lang w:val="en-GB"/>
        </w:rPr>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lastRenderedPageBreak/>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well to large number of mIAB-node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mIAB-node’s mobility information or location history, route prediction, etc.</w:t>
      </w:r>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3BC9020E" w14:textId="275BE6D8" w:rsidR="00524F1A" w:rsidRPr="00D35356" w:rsidRDefault="00524F1A" w:rsidP="008D7668">
            <w:pPr>
              <w:jc w:val="left"/>
              <w:rPr>
                <w:rFonts w:ascii="Arial" w:hAnsi="Arial" w:cs="Arial"/>
                <w:b/>
                <w:bCs/>
                <w:sz w:val="20"/>
                <w:szCs w:val="20"/>
              </w:rPr>
            </w:pPr>
            <w:r>
              <w:rPr>
                <w:rFonts w:ascii="Arial" w:hAnsi="Arial" w:cs="Arial"/>
                <w:sz w:val="20"/>
                <w:szCs w:val="20"/>
              </w:rPr>
              <w:t xml:space="preserve">1. We are fine </w:t>
            </w:r>
            <w:r w:rsidR="003D0268">
              <w:rPr>
                <w:rFonts w:ascii="Arial" w:hAnsi="Arial" w:cs="Arial"/>
                <w:sz w:val="20"/>
                <w:szCs w:val="20"/>
              </w:rPr>
              <w:t xml:space="preserve">if </w:t>
            </w:r>
            <w:r>
              <w:rPr>
                <w:rFonts w:ascii="Arial" w:hAnsi="Arial" w:cs="Arial"/>
                <w:sz w:val="20"/>
                <w:szCs w:val="20"/>
              </w:rPr>
              <w:t xml:space="preserve">RAN2 to discuss a solution that UE can report potential PCI collision to NW to prevent PCI collision. However, we suggest to make it clear </w:t>
            </w:r>
            <w:r w:rsidR="00DC7B08">
              <w:rPr>
                <w:rFonts w:ascii="Arial" w:hAnsi="Arial" w:cs="Arial"/>
                <w:sz w:val="20"/>
                <w:szCs w:val="20"/>
              </w:rPr>
              <w:t>it is within</w:t>
            </w:r>
            <w:r w:rsidR="00102065">
              <w:rPr>
                <w:rFonts w:ascii="Arial" w:hAnsi="Arial" w:cs="Arial"/>
                <w:sz w:val="20"/>
                <w:szCs w:val="20"/>
              </w:rPr>
              <w:t xml:space="preserve"> RAN2 scope, i.e.,</w:t>
            </w:r>
            <w:r>
              <w:rPr>
                <w:rFonts w:ascii="Arial" w:hAnsi="Arial" w:cs="Arial"/>
                <w:sz w:val="20"/>
                <w:szCs w:val="20"/>
              </w:rPr>
              <w:t xml:space="preserve"> </w:t>
            </w:r>
            <w:r w:rsidRPr="00102065">
              <w:rPr>
                <w:rFonts w:ascii="Arial" w:hAnsi="Arial" w:cs="Arial"/>
                <w:b/>
                <w:bCs/>
                <w:sz w:val="20"/>
                <w:szCs w:val="20"/>
                <w:u w:val="single"/>
              </w:rPr>
              <w:t>it is UE to report</w:t>
            </w:r>
            <w:r w:rsidRPr="00524F1A">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w:t>
            </w:r>
            <w:r w:rsidR="000B0374">
              <w:rPr>
                <w:rFonts w:ascii="Arial" w:hAnsi="Arial" w:cs="Arial"/>
                <w:sz w:val="20"/>
                <w:szCs w:val="20"/>
              </w:rPr>
              <w:t xml:space="preserve"> Meanwhile, please note that MT reporting is not in scoping of this release due to the note in WID objective</w:t>
            </w:r>
            <w:r w:rsidR="00D35356">
              <w:rPr>
                <w:rFonts w:ascii="Arial" w:hAnsi="Arial" w:cs="Arial"/>
                <w:sz w:val="20"/>
                <w:szCs w:val="20"/>
              </w:rPr>
              <w:t xml:space="preserve"> (</w:t>
            </w:r>
            <w:r w:rsidR="00D35356" w:rsidRPr="00D35356">
              <w:rPr>
                <w:rFonts w:ascii="Arial" w:hAnsi="Arial" w:cs="Arial"/>
                <w:sz w:val="20"/>
                <w:szCs w:val="20"/>
              </w:rPr>
              <w:t>The mobile IAB-node should have no descendent IAB-nodes, i.e., it serves only UEs</w:t>
            </w:r>
            <w:r w:rsidR="00D35356">
              <w:rPr>
                <w:rFonts w:ascii="Arial" w:hAnsi="Arial" w:cs="Arial"/>
                <w:b/>
                <w:bCs/>
                <w:sz w:val="20"/>
                <w:szCs w:val="20"/>
              </w:rPr>
              <w:t>)</w:t>
            </w:r>
            <w:r w:rsidR="000B0374">
              <w:rPr>
                <w:rFonts w:ascii="Arial" w:hAnsi="Arial" w:cs="Arial"/>
                <w:sz w:val="20"/>
                <w:szCs w:val="20"/>
              </w:rPr>
              <w:t>.</w:t>
            </w:r>
          </w:p>
          <w:p w14:paraId="0C3FF568" w14:textId="68D3F27A"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w:t>
            </w:r>
            <w:r w:rsidR="008A0FC8">
              <w:rPr>
                <w:rFonts w:ascii="Arial" w:hAnsi="Arial" w:cs="Arial"/>
                <w:sz w:val="20"/>
                <w:szCs w:val="20"/>
              </w:rPr>
              <w:t xml:space="preserve">with current procedure specified in TS 38.213, </w:t>
            </w:r>
            <w:r>
              <w:rPr>
                <w:rFonts w:ascii="Arial" w:hAnsi="Arial" w:cs="Arial"/>
                <w:sz w:val="20"/>
                <w:szCs w:val="20"/>
              </w:rPr>
              <w:t xml:space="preserve">it is impossible for a UE to </w:t>
            </w:r>
            <w:r w:rsidR="007D12B1">
              <w:rPr>
                <w:rFonts w:ascii="Arial" w:hAnsi="Arial" w:cs="Arial"/>
                <w:sz w:val="20"/>
                <w:szCs w:val="20"/>
              </w:rPr>
              <w:t>differential two Cells' NCGI which have same PCI</w:t>
            </w:r>
            <w:r w:rsidR="00F809DE">
              <w:rPr>
                <w:rFonts w:ascii="Arial" w:hAnsi="Arial" w:cs="Arial"/>
                <w:sz w:val="20"/>
                <w:szCs w:val="20"/>
              </w:rPr>
              <w:t xml:space="preserve"> and in same frequency</w:t>
            </w:r>
            <w:r w:rsidR="007D12B1">
              <w:rPr>
                <w:rFonts w:ascii="Arial" w:hAnsi="Arial" w:cs="Arial"/>
                <w:sz w:val="20"/>
                <w:szCs w:val="20"/>
              </w:rPr>
              <w:t>.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lastRenderedPageBreak/>
              <w:t xml:space="preserve"> </w:t>
            </w:r>
          </w:p>
        </w:tc>
      </w:tr>
      <w:tr w:rsidR="00DF3BCB" w:rsidRPr="00DB7BF9" w14:paraId="2C43CB09" w14:textId="77777777" w:rsidTr="008D7668">
        <w:tc>
          <w:tcPr>
            <w:tcW w:w="1975" w:type="dxa"/>
          </w:tcPr>
          <w:p w14:paraId="7179C45E" w14:textId="43FD4EB8" w:rsidR="00DF3BCB" w:rsidRPr="00DB7BF9" w:rsidRDefault="00784B9D"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676F4D59" w14:textId="107E97EE" w:rsidR="00DF3BCB" w:rsidRPr="00DB7BF9" w:rsidRDefault="00784B9D" w:rsidP="008D7668">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3F72B45" w14:textId="0E11618D" w:rsidR="00DF3BCB" w:rsidRPr="00DB7BF9" w:rsidRDefault="00784B9D" w:rsidP="008D7668">
            <w:pPr>
              <w:jc w:val="left"/>
              <w:rPr>
                <w:rFonts w:ascii="Arial" w:hAnsi="Arial" w:cs="Arial"/>
                <w:sz w:val="20"/>
                <w:szCs w:val="20"/>
              </w:rPr>
            </w:pPr>
            <w:r w:rsidRPr="00784B9D">
              <w:rPr>
                <w:rFonts w:ascii="Arial" w:hAnsi="Arial" w:cs="Arial"/>
                <w:sz w:val="20"/>
                <w:szCs w:val="20"/>
              </w:rPr>
              <w:t xml:space="preserve">PCI collision can be avoided via OAM in most cases of mobile IAB scenario. And the PCI </w:t>
            </w:r>
            <w:r w:rsidR="00806749" w:rsidRPr="00784B9D">
              <w:rPr>
                <w:rFonts w:ascii="Arial" w:hAnsi="Arial" w:cs="Arial"/>
                <w:sz w:val="20"/>
                <w:szCs w:val="20"/>
              </w:rPr>
              <w:t>Optimization</w:t>
            </w:r>
            <w:r w:rsidRPr="00784B9D">
              <w:rPr>
                <w:rFonts w:ascii="Arial" w:hAnsi="Arial" w:cs="Arial"/>
                <w:sz w:val="20"/>
                <w:szCs w:val="20"/>
              </w:rPr>
              <w:t xml:space="preserve"> Function can be applied as a supplement if PCI suffers collision in some other cases.</w:t>
            </w:r>
          </w:p>
        </w:tc>
      </w:tr>
      <w:tr w:rsidR="00277975" w:rsidRPr="00DB7BF9" w14:paraId="0E80B41F" w14:textId="77777777" w:rsidTr="008D7668">
        <w:tc>
          <w:tcPr>
            <w:tcW w:w="1975" w:type="dxa"/>
          </w:tcPr>
          <w:p w14:paraId="3FD0F15C" w14:textId="5F02DB53"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DC82F23" w14:textId="0BA4F0AC"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51B1B11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w:t>
            </w:r>
            <w:r w:rsidRPr="00AC45F5">
              <w:rPr>
                <w:rFonts w:ascii="Arial" w:eastAsia="MS Mincho" w:hAnsi="Arial" w:cs="Arial"/>
                <w:sz w:val="20"/>
                <w:szCs w:val="20"/>
                <w:lang w:eastAsia="ja-JP"/>
              </w:rPr>
              <w:t>Served Cell Information</w:t>
            </w:r>
            <w:r>
              <w:rPr>
                <w:rFonts w:ascii="Arial" w:eastAsia="MS Mincho" w:hAnsi="Arial" w:cs="Arial"/>
                <w:sz w:val="20"/>
                <w:szCs w:val="20"/>
                <w:lang w:eastAsia="ja-JP"/>
              </w:rPr>
              <w:t xml:space="preserve">, so the donor-CU may check via Xn if the mobile IAB-node’s PCIs makes a collision at the neighbour gNBs. </w:t>
            </w:r>
          </w:p>
          <w:p w14:paraId="13C52DF4" w14:textId="28E327C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7975" w:rsidRPr="00DB7BF9" w14:paraId="2C2DEC79" w14:textId="77777777" w:rsidTr="008D7668">
        <w:tc>
          <w:tcPr>
            <w:tcW w:w="1975" w:type="dxa"/>
          </w:tcPr>
          <w:p w14:paraId="7A8AD1DD" w14:textId="06974980"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3AA20BDD" w14:textId="15CF58D9" w:rsidR="00277975" w:rsidRPr="00DB7BF9" w:rsidRDefault="00803707" w:rsidP="00277975">
            <w:pPr>
              <w:jc w:val="left"/>
              <w:rPr>
                <w:rFonts w:ascii="Arial" w:hAnsi="Arial" w:cs="Arial"/>
                <w:sz w:val="20"/>
                <w:szCs w:val="20"/>
              </w:rPr>
            </w:pPr>
            <w:r>
              <w:rPr>
                <w:rFonts w:ascii="Arial" w:hAnsi="Arial" w:cs="Arial"/>
                <w:sz w:val="20"/>
                <w:szCs w:val="20"/>
              </w:rPr>
              <w:t>No</w:t>
            </w:r>
          </w:p>
        </w:tc>
        <w:tc>
          <w:tcPr>
            <w:tcW w:w="6231" w:type="dxa"/>
          </w:tcPr>
          <w:p w14:paraId="65EBBBC7" w14:textId="02AE8E1A" w:rsidR="00277975" w:rsidRDefault="00803707" w:rsidP="00277975">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5ADEB6F" w14:textId="42C7AB5A" w:rsidR="00803707" w:rsidRPr="00DB7BF9" w:rsidRDefault="00803707" w:rsidP="00277975">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236F9" w:rsidRPr="00DB7BF9" w14:paraId="10F2D860" w14:textId="77777777" w:rsidTr="008D7668">
        <w:tc>
          <w:tcPr>
            <w:tcW w:w="1975" w:type="dxa"/>
          </w:tcPr>
          <w:p w14:paraId="78D5AE34" w14:textId="36BF2C7A" w:rsidR="002236F9" w:rsidRPr="00DB7BF9" w:rsidRDefault="002236F9" w:rsidP="002236F9">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3888EF56" w14:textId="5F1A1E62" w:rsidR="002236F9" w:rsidRPr="00DB7BF9" w:rsidRDefault="002236F9" w:rsidP="002236F9">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080C7C2F" w14:textId="77777777" w:rsidR="002236F9" w:rsidRDefault="002236F9" w:rsidP="002236F9">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mIAB case and we are fine with </w:t>
            </w:r>
            <w:r w:rsidRPr="00DB7BF9">
              <w:rPr>
                <w:rFonts w:ascii="Arial" w:hAnsi="Arial" w:cs="Arial"/>
                <w:sz w:val="20"/>
                <w:szCs w:val="20"/>
              </w:rPr>
              <w:t>RAN2</w:t>
            </w:r>
            <w:r>
              <w:rPr>
                <w:rFonts w:ascii="Arial" w:hAnsi="Arial" w:cs="Arial"/>
                <w:sz w:val="20"/>
                <w:szCs w:val="20"/>
              </w:rPr>
              <w:t xml:space="preserve"> to discuss</w:t>
            </w:r>
            <w:r w:rsidRPr="00DB7BF9">
              <w:rPr>
                <w:rFonts w:ascii="Arial" w:hAnsi="Arial" w:cs="Arial"/>
                <w:sz w:val="20"/>
                <w:szCs w:val="20"/>
              </w:rPr>
              <w:t xml:space="preserve"> </w:t>
            </w:r>
            <w:r>
              <w:rPr>
                <w:rFonts w:ascii="Arial" w:hAnsi="Arial" w:cs="Arial"/>
                <w:sz w:val="20"/>
                <w:szCs w:val="20"/>
              </w:rPr>
              <w:t xml:space="preserve">further enhancement to PCI collision detection. </w:t>
            </w:r>
          </w:p>
          <w:p w14:paraId="78528630" w14:textId="6204BDBC" w:rsidR="002236F9" w:rsidRPr="00DB7BF9" w:rsidRDefault="002236F9" w:rsidP="002236F9">
            <w:pPr>
              <w:jc w:val="left"/>
              <w:rPr>
                <w:rFonts w:ascii="Arial" w:hAnsi="Arial" w:cs="Arial"/>
                <w:sz w:val="20"/>
                <w:szCs w:val="20"/>
              </w:rPr>
            </w:pPr>
            <w:r>
              <w:rPr>
                <w:rFonts w:ascii="Arial" w:hAnsi="Arial" w:cs="Arial"/>
                <w:sz w:val="20"/>
                <w:szCs w:val="20"/>
              </w:rPr>
              <w:t xml:space="preserve">RAN2 can study the </w:t>
            </w:r>
            <w:r w:rsidRPr="00DB7BF9">
              <w:rPr>
                <w:rFonts w:ascii="Arial" w:hAnsi="Arial" w:cs="Arial"/>
                <w:sz w:val="20"/>
                <w:szCs w:val="20"/>
              </w:rPr>
              <w:t>mechanisms to obtain information on PCI collision</w:t>
            </w:r>
            <w:r>
              <w:rPr>
                <w:rFonts w:ascii="Arial" w:hAnsi="Arial" w:cs="Arial"/>
                <w:sz w:val="20"/>
                <w:szCs w:val="20"/>
              </w:rPr>
              <w:t>s which is listed by rapporteur,</w:t>
            </w:r>
            <w:r w:rsidRPr="00DB7BF9">
              <w:rPr>
                <w:rFonts w:ascii="Arial" w:hAnsi="Arial" w:cs="Arial"/>
                <w:sz w:val="20"/>
                <w:szCs w:val="20"/>
              </w:rPr>
              <w:t xml:space="preserve"> e.g., </w:t>
            </w:r>
            <w:r>
              <w:rPr>
                <w:rFonts w:ascii="Arial" w:hAnsi="Arial" w:cs="Arial"/>
                <w:sz w:val="20"/>
                <w:szCs w:val="20"/>
              </w:rPr>
              <w:t>UE and/or IAB-MT</w:t>
            </w:r>
            <w:r w:rsidRPr="00DB7BF9">
              <w:rPr>
                <w:rFonts w:ascii="Arial" w:hAnsi="Arial" w:cs="Arial"/>
                <w:sz w:val="20"/>
                <w:szCs w:val="20"/>
              </w:rPr>
              <w:t xml:space="preserve"> measurements</w:t>
            </w:r>
            <w:r>
              <w:rPr>
                <w:rFonts w:ascii="Arial" w:hAnsi="Arial" w:cs="Arial"/>
                <w:sz w:val="20"/>
                <w:szCs w:val="20"/>
              </w:rPr>
              <w:t xml:space="preserve"> report and the mIAB-node’s location.</w:t>
            </w:r>
          </w:p>
        </w:tc>
      </w:tr>
      <w:tr w:rsidR="002236F9" w:rsidRPr="00DB7BF9" w14:paraId="58BEE533" w14:textId="77777777" w:rsidTr="008D7668">
        <w:tc>
          <w:tcPr>
            <w:tcW w:w="1975" w:type="dxa"/>
          </w:tcPr>
          <w:p w14:paraId="4F6394F2" w14:textId="261951B5" w:rsidR="002236F9" w:rsidRPr="00DB7BF9" w:rsidRDefault="008872FA" w:rsidP="002236F9">
            <w:pPr>
              <w:jc w:val="left"/>
              <w:rPr>
                <w:rFonts w:ascii="Arial" w:hAnsi="Arial" w:cs="Arial"/>
                <w:sz w:val="20"/>
                <w:szCs w:val="20"/>
              </w:rPr>
            </w:pPr>
            <w:r>
              <w:rPr>
                <w:rFonts w:ascii="Arial" w:hAnsi="Arial" w:cs="Arial"/>
                <w:sz w:val="20"/>
                <w:szCs w:val="20"/>
              </w:rPr>
              <w:t>Samsung</w:t>
            </w:r>
          </w:p>
        </w:tc>
        <w:tc>
          <w:tcPr>
            <w:tcW w:w="1530" w:type="dxa"/>
          </w:tcPr>
          <w:p w14:paraId="3A55D8FD" w14:textId="713B67AA" w:rsidR="002236F9" w:rsidRPr="00DB7BF9" w:rsidRDefault="008872FA" w:rsidP="002236F9">
            <w:pPr>
              <w:jc w:val="left"/>
              <w:rPr>
                <w:rFonts w:ascii="Arial" w:hAnsi="Arial" w:cs="Arial"/>
                <w:sz w:val="20"/>
                <w:szCs w:val="20"/>
              </w:rPr>
            </w:pPr>
            <w:r>
              <w:rPr>
                <w:rFonts w:ascii="Arial" w:hAnsi="Arial" w:cs="Arial"/>
                <w:sz w:val="20"/>
                <w:szCs w:val="20"/>
              </w:rPr>
              <w:t>Yes</w:t>
            </w:r>
          </w:p>
        </w:tc>
        <w:tc>
          <w:tcPr>
            <w:tcW w:w="6231" w:type="dxa"/>
          </w:tcPr>
          <w:p w14:paraId="0A7229EB" w14:textId="5C4E3287" w:rsidR="002236F9" w:rsidRPr="00DB7BF9" w:rsidRDefault="008872FA" w:rsidP="002236F9">
            <w:pPr>
              <w:jc w:val="left"/>
              <w:rPr>
                <w:rFonts w:ascii="Arial" w:hAnsi="Arial" w:cs="Arial"/>
                <w:sz w:val="20"/>
                <w:szCs w:val="20"/>
              </w:rPr>
            </w:pPr>
            <w:r>
              <w:rPr>
                <w:rFonts w:ascii="Arial" w:hAnsi="Arial" w:cs="Arial"/>
                <w:sz w:val="20"/>
                <w:szCs w:val="20"/>
              </w:rPr>
              <w:t xml:space="preserve">With regards to changes proposed by Apple, we do not think </w:t>
            </w:r>
            <w:r w:rsidR="00845898">
              <w:rPr>
                <w:rFonts w:ascii="Arial" w:hAnsi="Arial" w:cs="Arial"/>
                <w:sz w:val="20"/>
                <w:szCs w:val="20"/>
              </w:rPr>
              <w:t>we should rule out MT reports</w:t>
            </w:r>
            <w:r w:rsidR="00E3318F">
              <w:rPr>
                <w:rFonts w:ascii="Arial" w:hAnsi="Arial" w:cs="Arial"/>
                <w:sz w:val="20"/>
                <w:szCs w:val="20"/>
              </w:rPr>
              <w:t xml:space="preserve"> (which help CU detect PCI collisions)</w:t>
            </w:r>
            <w:r w:rsidR="00845898">
              <w:rPr>
                <w:rFonts w:ascii="Arial" w:hAnsi="Arial" w:cs="Arial"/>
                <w:sz w:val="20"/>
                <w:szCs w:val="20"/>
              </w:rPr>
              <w:t>.</w:t>
            </w: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Heading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lastRenderedPageBreak/>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0C5D604E" w14:textId="1847A053" w:rsidR="00453FD1" w:rsidRDefault="00453FD1" w:rsidP="008D7668">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376C1709" w14:textId="5AD556CA" w:rsidR="005E598C" w:rsidRDefault="00697053" w:rsidP="008D7668">
            <w:pPr>
              <w:jc w:val="left"/>
              <w:rPr>
                <w:rFonts w:ascii="Arial" w:hAnsi="Arial" w:cs="Arial"/>
                <w:sz w:val="20"/>
                <w:szCs w:val="20"/>
              </w:rPr>
            </w:pPr>
            <w:r>
              <w:rPr>
                <w:rFonts w:ascii="Arial" w:hAnsi="Arial" w:cs="Arial"/>
                <w:sz w:val="20"/>
                <w:szCs w:val="20"/>
              </w:rPr>
              <w:t>2</w:t>
            </w:r>
            <w:r w:rsidR="005E598C">
              <w:rPr>
                <w:rFonts w:ascii="Arial" w:hAnsi="Arial" w:cs="Arial"/>
                <w:sz w:val="20"/>
                <w:szCs w:val="20"/>
              </w:rPr>
              <w:t xml:space="preserve">. RAN2 has agreed to consider RACH-less HO. If RACH-less is agreed, why do we </w:t>
            </w:r>
            <w:r w:rsidR="00453FD1">
              <w:rPr>
                <w:rFonts w:ascii="Arial" w:hAnsi="Arial" w:cs="Arial"/>
                <w:sz w:val="20"/>
                <w:szCs w:val="20"/>
              </w:rPr>
              <w:t xml:space="preserve">need </w:t>
            </w:r>
            <w:r w:rsidR="005E598C">
              <w:rPr>
                <w:rFonts w:ascii="Arial" w:hAnsi="Arial" w:cs="Arial"/>
                <w:sz w:val="20"/>
                <w:szCs w:val="20"/>
              </w:rPr>
              <w:t>RAN1's input?</w:t>
            </w:r>
          </w:p>
          <w:p w14:paraId="09485CC0" w14:textId="5B808F14" w:rsidR="00DF3BCB" w:rsidRPr="00DB7BF9" w:rsidRDefault="00697053" w:rsidP="008D7668">
            <w:pPr>
              <w:jc w:val="left"/>
              <w:rPr>
                <w:rFonts w:ascii="Arial" w:hAnsi="Arial" w:cs="Arial"/>
                <w:sz w:val="20"/>
                <w:szCs w:val="20"/>
              </w:rPr>
            </w:pPr>
            <w:r>
              <w:rPr>
                <w:rFonts w:ascii="Arial" w:hAnsi="Arial" w:cs="Arial"/>
                <w:sz w:val="20"/>
                <w:szCs w:val="20"/>
              </w:rPr>
              <w:t>3</w:t>
            </w:r>
            <w:r w:rsidR="005E598C">
              <w:rPr>
                <w:rFonts w:ascii="Arial" w:hAnsi="Arial" w:cs="Arial"/>
                <w:sz w:val="20"/>
                <w:szCs w:val="20"/>
              </w:rPr>
              <w:t xml:space="preserve">. In our understanding, if without RACH-less HO, RACH collision can happen only </w:t>
            </w:r>
            <w:r w:rsidR="00B953D0">
              <w:rPr>
                <w:rFonts w:ascii="Arial" w:hAnsi="Arial" w:cs="Arial"/>
                <w:sz w:val="20"/>
                <w:szCs w:val="20"/>
              </w:rPr>
              <w:t>if UE group handover happens before MT migration</w:t>
            </w:r>
            <w:r w:rsidR="00CD1AE7">
              <w:rPr>
                <w:rFonts w:ascii="Arial" w:hAnsi="Arial" w:cs="Arial"/>
                <w:sz w:val="20"/>
                <w:szCs w:val="20"/>
              </w:rPr>
              <w:t xml:space="preserve"> (i.e. NW needs to send handover command to all UEs within a short duration)</w:t>
            </w:r>
            <w:r w:rsidR="005E598C" w:rsidRPr="005E598C">
              <w:rPr>
                <w:rFonts w:ascii="Arial" w:hAnsi="Arial" w:cs="Arial" w:hint="eastAsia"/>
                <w:sz w:val="20"/>
                <w:szCs w:val="20"/>
              </w:rPr>
              <w:t>.</w:t>
            </w:r>
            <w:r w:rsidR="005E598C">
              <w:rPr>
                <w:rFonts w:ascii="Arial" w:hAnsi="Arial" w:cs="Arial"/>
                <w:sz w:val="20"/>
                <w:szCs w:val="20"/>
              </w:rPr>
              <w:t xml:space="preserve"> </w:t>
            </w:r>
            <w:r w:rsidR="00B953D0">
              <w:rPr>
                <w:rFonts w:ascii="Arial" w:hAnsi="Arial" w:cs="Arial"/>
                <w:sz w:val="20"/>
                <w:szCs w:val="20"/>
              </w:rPr>
              <w:t xml:space="preserve">With another alternative, if UE group handover happens after inter-donor DU switch, we don't think the RACH collision can happen because target CU can send dedicated handover command to </w:t>
            </w:r>
            <w:r w:rsidR="00570C68">
              <w:rPr>
                <w:rFonts w:ascii="Arial" w:hAnsi="Arial" w:cs="Arial"/>
                <w:sz w:val="20"/>
                <w:szCs w:val="20"/>
              </w:rPr>
              <w:t>all UEs just like legacy handover</w:t>
            </w:r>
            <w:r w:rsidR="00B953D0">
              <w:rPr>
                <w:rFonts w:ascii="Arial" w:hAnsi="Arial" w:cs="Arial"/>
                <w:sz w:val="20"/>
                <w:szCs w:val="20"/>
              </w:rPr>
              <w:t>.</w:t>
            </w:r>
            <w:r w:rsidR="00453FD1">
              <w:rPr>
                <w:rFonts w:ascii="Arial" w:hAnsi="Arial" w:cs="Arial"/>
                <w:sz w:val="20"/>
                <w:szCs w:val="20"/>
              </w:rPr>
              <w:t xml:space="preserve"> However, the decision should be made by RAN3.</w:t>
            </w:r>
          </w:p>
        </w:tc>
      </w:tr>
      <w:tr w:rsidR="00DF3BCB" w:rsidRPr="00DB7BF9" w14:paraId="224815E8" w14:textId="77777777" w:rsidTr="008D7668">
        <w:tc>
          <w:tcPr>
            <w:tcW w:w="1975" w:type="dxa"/>
          </w:tcPr>
          <w:p w14:paraId="799F61D6" w14:textId="740E5056" w:rsidR="00DF3BCB" w:rsidRPr="00DB7BF9" w:rsidRDefault="00902B1A"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72794354" w14:textId="314B103B"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997DA15" w14:textId="77777777" w:rsidR="00DF3BCB" w:rsidRDefault="00902B1A" w:rsidP="008D7668">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3118DFA2" w14:textId="23445D47" w:rsidR="00902B1A" w:rsidRPr="00DB7BF9" w:rsidRDefault="00902B1A" w:rsidP="008D7668">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UE perform </w:t>
            </w:r>
            <w:r w:rsidR="00024F30">
              <w:rPr>
                <w:rFonts w:ascii="Arial" w:hAnsi="Arial" w:cs="Arial"/>
                <w:sz w:val="20"/>
                <w:szCs w:val="20"/>
              </w:rPr>
              <w:t xml:space="preserve">HO together with mobile IAB-node full migration, RAN2 only to consider the RACH collision avoidance if </w:t>
            </w:r>
            <w:r w:rsidR="000723DA">
              <w:rPr>
                <w:rFonts w:ascii="Arial" w:hAnsi="Arial" w:cs="Arial"/>
                <w:sz w:val="20"/>
                <w:szCs w:val="20"/>
              </w:rPr>
              <w:t>the RACH collision issue</w:t>
            </w:r>
            <w:r w:rsidR="00024F30">
              <w:rPr>
                <w:rFonts w:ascii="Arial" w:hAnsi="Arial" w:cs="Arial"/>
                <w:sz w:val="20"/>
                <w:szCs w:val="20"/>
              </w:rPr>
              <w:t xml:space="preserve"> has been identified by RAN1.</w:t>
            </w:r>
          </w:p>
        </w:tc>
      </w:tr>
      <w:tr w:rsidR="00277975" w:rsidRPr="00DB7BF9" w14:paraId="469ADD4E" w14:textId="77777777" w:rsidTr="008D7668">
        <w:tc>
          <w:tcPr>
            <w:tcW w:w="1975" w:type="dxa"/>
          </w:tcPr>
          <w:p w14:paraId="427D26C5" w14:textId="48DC2F7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64523F7" w14:textId="4216517C"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358190C0" w14:textId="6D40C6A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7975" w:rsidRPr="00DB7BF9" w14:paraId="304A63F1" w14:textId="77777777" w:rsidTr="008D7668">
        <w:tc>
          <w:tcPr>
            <w:tcW w:w="1975" w:type="dxa"/>
          </w:tcPr>
          <w:p w14:paraId="3E28E515" w14:textId="03E0ABCD" w:rsidR="00277975" w:rsidRPr="00DB7BF9" w:rsidRDefault="00803707" w:rsidP="00277975">
            <w:pPr>
              <w:jc w:val="left"/>
              <w:rPr>
                <w:rFonts w:ascii="Arial" w:hAnsi="Arial" w:cs="Arial"/>
                <w:sz w:val="20"/>
                <w:szCs w:val="20"/>
              </w:rPr>
            </w:pPr>
            <w:r>
              <w:rPr>
                <w:rFonts w:ascii="Arial" w:hAnsi="Arial" w:cs="Arial"/>
                <w:sz w:val="20"/>
                <w:szCs w:val="20"/>
              </w:rPr>
              <w:t>Ericsson</w:t>
            </w:r>
          </w:p>
        </w:tc>
        <w:tc>
          <w:tcPr>
            <w:tcW w:w="1530" w:type="dxa"/>
          </w:tcPr>
          <w:p w14:paraId="41E9381C" w14:textId="47B4E7FD" w:rsidR="00277975" w:rsidRPr="00DB7BF9" w:rsidRDefault="00803707" w:rsidP="00277975">
            <w:pPr>
              <w:jc w:val="left"/>
              <w:rPr>
                <w:rFonts w:ascii="Arial" w:hAnsi="Arial" w:cs="Arial"/>
                <w:sz w:val="20"/>
                <w:szCs w:val="20"/>
              </w:rPr>
            </w:pPr>
            <w:r>
              <w:rPr>
                <w:rFonts w:ascii="Arial" w:hAnsi="Arial" w:cs="Arial"/>
                <w:sz w:val="20"/>
                <w:szCs w:val="20"/>
              </w:rPr>
              <w:t>Yes with comment</w:t>
            </w:r>
          </w:p>
        </w:tc>
        <w:tc>
          <w:tcPr>
            <w:tcW w:w="6231" w:type="dxa"/>
          </w:tcPr>
          <w:p w14:paraId="2B1A7013" w14:textId="663B65AC" w:rsidR="00277975" w:rsidRPr="00DB7BF9" w:rsidRDefault="00803707" w:rsidP="00277975">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rsidR="00440D25" w:rsidRPr="00DB7BF9" w14:paraId="6B96D3B7" w14:textId="77777777" w:rsidTr="008D7668">
        <w:tc>
          <w:tcPr>
            <w:tcW w:w="1975" w:type="dxa"/>
          </w:tcPr>
          <w:p w14:paraId="30E8E2A1" w14:textId="35449917" w:rsidR="00440D25" w:rsidRPr="00DB7BF9" w:rsidRDefault="00440D25" w:rsidP="00440D25">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714AF84D" w14:textId="23B1DB5A" w:rsidR="00440D25" w:rsidRPr="00DB7BF9" w:rsidRDefault="00440D25" w:rsidP="00440D25">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49A03AA" w14:textId="5BDC109B" w:rsidR="00440D25" w:rsidRDefault="00440D25" w:rsidP="00440D25">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mIAB-DU </w:t>
            </w:r>
            <w:r>
              <w:rPr>
                <w:rFonts w:ascii="Arial" w:hAnsi="Arial" w:cs="Arial"/>
                <w:sz w:val="20"/>
                <w:szCs w:val="20"/>
              </w:rPr>
              <w:lastRenderedPageBreak/>
              <w:t>that RACH-less HO cannot be used normally.</w:t>
            </w:r>
          </w:p>
          <w:p w14:paraId="64249C8E" w14:textId="738B41D5" w:rsidR="00440D25" w:rsidRPr="00DB7BF9" w:rsidRDefault="00440D25" w:rsidP="00440D25">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440D25" w:rsidRPr="00DB7BF9" w14:paraId="488C5E76" w14:textId="77777777" w:rsidTr="008D7668">
        <w:tc>
          <w:tcPr>
            <w:tcW w:w="1975" w:type="dxa"/>
          </w:tcPr>
          <w:p w14:paraId="14451569" w14:textId="6656E4A8" w:rsidR="00440D25" w:rsidRPr="00DB7BF9" w:rsidRDefault="00845898" w:rsidP="00440D25">
            <w:pPr>
              <w:jc w:val="left"/>
              <w:rPr>
                <w:rFonts w:ascii="Arial" w:hAnsi="Arial" w:cs="Arial"/>
                <w:sz w:val="20"/>
                <w:szCs w:val="20"/>
              </w:rPr>
            </w:pPr>
            <w:r>
              <w:rPr>
                <w:rFonts w:ascii="Arial" w:hAnsi="Arial" w:cs="Arial"/>
                <w:sz w:val="20"/>
                <w:szCs w:val="20"/>
              </w:rPr>
              <w:lastRenderedPageBreak/>
              <w:t>Samsung</w:t>
            </w:r>
          </w:p>
        </w:tc>
        <w:tc>
          <w:tcPr>
            <w:tcW w:w="1530" w:type="dxa"/>
          </w:tcPr>
          <w:p w14:paraId="39530F6C" w14:textId="48CFC2BE" w:rsidR="00440D25" w:rsidRPr="00DB7BF9" w:rsidRDefault="00CB195D" w:rsidP="00440D25">
            <w:pPr>
              <w:jc w:val="left"/>
              <w:rPr>
                <w:rFonts w:ascii="Arial" w:hAnsi="Arial" w:cs="Arial"/>
                <w:sz w:val="20"/>
                <w:szCs w:val="20"/>
              </w:rPr>
            </w:pPr>
            <w:r>
              <w:rPr>
                <w:rFonts w:ascii="Arial" w:hAnsi="Arial" w:cs="Arial"/>
                <w:sz w:val="20"/>
                <w:szCs w:val="20"/>
              </w:rPr>
              <w:t>Yes</w:t>
            </w:r>
          </w:p>
        </w:tc>
        <w:tc>
          <w:tcPr>
            <w:tcW w:w="6231" w:type="dxa"/>
          </w:tcPr>
          <w:p w14:paraId="7F9DEE9E" w14:textId="77777777" w:rsidR="00845898" w:rsidRDefault="00845898" w:rsidP="00845898">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42837781" w14:textId="679361FF" w:rsidR="00440D25" w:rsidRPr="00DB7BF9" w:rsidRDefault="00845898" w:rsidP="00845898">
            <w:pPr>
              <w:jc w:val="left"/>
              <w:rPr>
                <w:rFonts w:ascii="Arial" w:hAnsi="Arial" w:cs="Arial"/>
                <w:sz w:val="20"/>
                <w:szCs w:val="20"/>
              </w:rPr>
            </w:pPr>
            <w:r>
              <w:rPr>
                <w:rFonts w:ascii="Arial" w:hAnsi="Arial" w:cs="Arial"/>
                <w:sz w:val="20"/>
                <w:szCs w:val="20"/>
              </w:rPr>
              <w:t xml:space="preserve">If Apple wants to highlight the fact that scenarios have not been firmed up yet, and that they should be, then we </w:t>
            </w:r>
            <w:r w:rsidR="00CB195D">
              <w:rPr>
                <w:rFonts w:ascii="Arial" w:hAnsi="Arial" w:cs="Arial"/>
                <w:sz w:val="20"/>
                <w:szCs w:val="20"/>
              </w:rPr>
              <w:t xml:space="preserve">actually </w:t>
            </w:r>
            <w:r>
              <w:rPr>
                <w:rFonts w:ascii="Arial" w:hAnsi="Arial" w:cs="Arial"/>
                <w:sz w:val="20"/>
                <w:szCs w:val="20"/>
              </w:rPr>
              <w:t>agree</w:t>
            </w:r>
            <w:r w:rsidR="00CB195D">
              <w:rPr>
                <w:rFonts w:ascii="Arial" w:hAnsi="Arial" w:cs="Arial"/>
                <w:sz w:val="20"/>
                <w:szCs w:val="20"/>
              </w:rPr>
              <w:t xml:space="preserve"> and would support further work on this asap</w:t>
            </w:r>
            <w:r>
              <w:rPr>
                <w:rFonts w:ascii="Arial" w:hAnsi="Arial" w:cs="Arial"/>
                <w:sz w:val="20"/>
                <w:szCs w:val="20"/>
              </w:rPr>
              <w:t>, but this is a cross-WG issue. In any case we agree with sending this LS.</w:t>
            </w:r>
            <w:bookmarkStart w:id="0" w:name="_GoBack"/>
            <w:bookmarkEnd w:id="0"/>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Heading1"/>
      </w:pPr>
      <w:r>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B38DF" w14:textId="77777777" w:rsidR="00274475" w:rsidRDefault="00274475" w:rsidP="002A3524">
      <w:pPr>
        <w:spacing w:after="0" w:line="240" w:lineRule="auto"/>
      </w:pPr>
      <w:r>
        <w:separator/>
      </w:r>
    </w:p>
  </w:endnote>
  <w:endnote w:type="continuationSeparator" w:id="0">
    <w:p w14:paraId="4E2BEBB6" w14:textId="77777777" w:rsidR="00274475" w:rsidRDefault="00274475"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A31D9" w14:textId="77777777" w:rsidR="00274475" w:rsidRDefault="00274475" w:rsidP="002A3524">
      <w:pPr>
        <w:spacing w:after="0" w:line="240" w:lineRule="auto"/>
      </w:pPr>
      <w:r>
        <w:separator/>
      </w:r>
    </w:p>
  </w:footnote>
  <w:footnote w:type="continuationSeparator" w:id="0">
    <w:p w14:paraId="0C34DDF5" w14:textId="77777777" w:rsidR="00274475" w:rsidRDefault="00274475" w:rsidP="002A3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4"/>
  </w:num>
  <w:num w:numId="4">
    <w:abstractNumId w:val="8"/>
  </w:num>
  <w:num w:numId="5">
    <w:abstractNumId w:val="7"/>
  </w:num>
  <w:num w:numId="6">
    <w:abstractNumId w:val="16"/>
  </w:num>
  <w:num w:numId="7">
    <w:abstractNumId w:val="15"/>
  </w:num>
  <w:num w:numId="8">
    <w:abstractNumId w:val="11"/>
  </w:num>
  <w:num w:numId="9">
    <w:abstractNumId w:val="1"/>
  </w:num>
  <w:num w:numId="10">
    <w:abstractNumId w:val="2"/>
  </w:num>
  <w:num w:numId="11">
    <w:abstractNumId w:val="19"/>
  </w:num>
  <w:num w:numId="12">
    <w:abstractNumId w:val="13"/>
  </w:num>
  <w:num w:numId="13">
    <w:abstractNumId w:val="14"/>
  </w:num>
  <w:num w:numId="14">
    <w:abstractNumId w:val="5"/>
  </w:num>
  <w:num w:numId="15">
    <w:abstractNumId w:val="3"/>
  </w:num>
  <w:num w:numId="16">
    <w:abstractNumId w:val="23"/>
  </w:num>
  <w:num w:numId="17">
    <w:abstractNumId w:val="12"/>
  </w:num>
  <w:num w:numId="18">
    <w:abstractNumId w:val="21"/>
  </w:num>
  <w:num w:numId="19">
    <w:abstractNumId w:val="9"/>
  </w:num>
  <w:num w:numId="20">
    <w:abstractNumId w:val="0"/>
  </w:num>
  <w:num w:numId="21">
    <w:abstractNumId w:val="17"/>
  </w:num>
  <w:num w:numId="22">
    <w:abstractNumId w:val="10"/>
  </w:num>
  <w:num w:numId="23">
    <w:abstractNumId w:val="18"/>
  </w:num>
  <w:num w:numId="24">
    <w:abstractNumId w:val="6"/>
  </w:num>
  <w:num w:numId="25">
    <w:abstractNumId w:val="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F88"/>
    <w:rsid w:val="00045BFD"/>
    <w:rsid w:val="00046DD7"/>
    <w:rsid w:val="00047697"/>
    <w:rsid w:val="00051C44"/>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236F9"/>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ì¬º¥¹¥È¶ÎÂä Char,ÁÐ³ö¶ÎÂä Char,列表段落1 Char,—ño’i—Ž Char,¥ê¥¹¥È¶ÎÂä Char,Lettre d'introduction Char,列 Char"/>
    <w:link w:val="ListParagraph"/>
    <w:uiPriority w:val="34"/>
    <w:qFormat/>
    <w:rPr>
      <w:sz w:val="24"/>
      <w:szCs w:val="24"/>
    </w:rPr>
  </w:style>
  <w:style w:type="paragraph" w:styleId="ListParagraph">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Normal"/>
    <w:next w:val="Normal"/>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572D8-1AE4-4BE9-A6CE-093EE822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MT2</cp:lastModifiedBy>
  <cp:revision>6</cp:revision>
  <dcterms:created xsi:type="dcterms:W3CDTF">2022-08-23T08:01:00Z</dcterms:created>
  <dcterms:modified xsi:type="dcterms:W3CDTF">2022-08-23T08:16:00Z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