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AFC9" w14:textId="3A1B678C"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w:t>
      </w:r>
      <w:r w:rsidR="00375B12">
        <w:rPr>
          <w:rFonts w:ascii="Arial" w:hAnsi="Arial" w:cs="Arial"/>
          <w:lang w:val="de-DE"/>
        </w:rPr>
        <w:t>2</w:t>
      </w:r>
      <w:r>
        <w:rPr>
          <w:rFonts w:ascii="Arial" w:hAnsi="Arial" w:cs="Arial"/>
          <w:lang w:val="de-DE"/>
        </w:rPr>
        <w:t xml:space="preserve"> #11</w:t>
      </w:r>
      <w:r w:rsidR="00375B12">
        <w:rPr>
          <w:rFonts w:ascii="Arial" w:hAnsi="Arial" w:cs="Arial"/>
          <w:lang w:val="de-DE"/>
        </w:rPr>
        <w:t>9</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w:t>
      </w:r>
      <w:r w:rsidR="00375B12">
        <w:rPr>
          <w:rFonts w:ascii="Arial" w:hAnsi="Arial" w:cs="Arial"/>
          <w:szCs w:val="32"/>
          <w:lang w:val="de-DE"/>
        </w:rPr>
        <w:t>2</w:t>
      </w:r>
      <w:r>
        <w:rPr>
          <w:rFonts w:ascii="Arial" w:hAnsi="Arial" w:cs="Arial"/>
          <w:szCs w:val="32"/>
          <w:lang w:val="de-DE"/>
        </w:rPr>
        <w:t>-22</w:t>
      </w:r>
      <w:r w:rsidR="00375B12">
        <w:rPr>
          <w:rFonts w:ascii="Arial" w:hAnsi="Arial" w:cs="Arial"/>
          <w:szCs w:val="32"/>
          <w:lang w:val="de-DE"/>
        </w:rPr>
        <w:t>xxxxx</w:t>
      </w:r>
    </w:p>
    <w:p w14:paraId="062DA1AB" w14:textId="03141C13"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26144A">
        <w:rPr>
          <w:rFonts w:ascii="Arial" w:hAnsi="Arial" w:cs="Arial"/>
        </w:rPr>
        <w:t>Aug 17 – 25</w:t>
      </w:r>
      <w:r>
        <w:rPr>
          <w:rFonts w:ascii="Arial" w:hAnsi="Arial" w:cs="Arial"/>
        </w:rPr>
        <w:t>, 2022</w:t>
      </w:r>
    </w:p>
    <w:p w14:paraId="4F0726CA" w14:textId="25BA5816"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375B12">
        <w:rPr>
          <w:rFonts w:ascii="Arial" w:hAnsi="Arial" w:cs="Arial"/>
          <w:bCs/>
        </w:rPr>
        <w:t>8.12</w:t>
      </w:r>
      <w:r w:rsidR="00D77CA4" w:rsidRPr="00D77CA4">
        <w:rPr>
          <w:rFonts w:ascii="Arial" w:hAnsi="Arial" w:cs="Arial"/>
          <w:bCs/>
        </w:rPr>
        <w:t>.1</w:t>
      </w:r>
    </w:p>
    <w:p w14:paraId="606801E6" w14:textId="73226215"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375B12">
        <w:rPr>
          <w:rFonts w:ascii="Arial" w:hAnsi="Arial" w:cs="Arial"/>
          <w:bCs/>
        </w:rPr>
        <w:t>Inc.</w:t>
      </w:r>
    </w:p>
    <w:p w14:paraId="111DD1B0" w14:textId="55FC6030" w:rsidR="00055347" w:rsidRPr="00375B12" w:rsidRDefault="00822E5A" w:rsidP="00EF58CE">
      <w:pPr>
        <w:pStyle w:val="3GPPHeader"/>
        <w:spacing w:before="120" w:after="120" w:line="240" w:lineRule="auto"/>
        <w:ind w:left="1680" w:hangingChars="700" w:hanging="1680"/>
        <w:rPr>
          <w:rFonts w:ascii="Arial" w:hAnsi="Arial" w:cs="Arial"/>
          <w:bCs/>
          <w:lang w:val="en-GB"/>
        </w:rPr>
      </w:pPr>
      <w:r w:rsidRPr="00D77CA4">
        <w:rPr>
          <w:rFonts w:ascii="Arial" w:hAnsi="Arial" w:cs="Arial"/>
          <w:bCs/>
          <w:lang w:val="it-IT"/>
        </w:rPr>
        <w:t>Title:</w:t>
      </w:r>
      <w:r w:rsidRPr="00D77CA4">
        <w:rPr>
          <w:rFonts w:ascii="Arial" w:hAnsi="Arial" w:cs="Arial"/>
          <w:bCs/>
          <w:lang w:val="it-IT"/>
        </w:rPr>
        <w:tab/>
      </w:r>
      <w:r w:rsidR="00375B12" w:rsidRPr="00375B12">
        <w:rPr>
          <w:rFonts w:ascii="Arial" w:hAnsi="Arial" w:cs="Arial"/>
          <w:bCs/>
          <w:lang w:val="it-IT"/>
        </w:rPr>
        <w:t>[AT119-e][031][IAB18] (Qualcomm)</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Heading1"/>
      </w:pPr>
      <w:r>
        <w:t>Introduction</w:t>
      </w:r>
    </w:p>
    <w:p w14:paraId="66A71B13" w14:textId="22FE3BD8"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paper </w:t>
      </w:r>
      <w:r w:rsidR="00597EEC">
        <w:rPr>
          <w:rFonts w:ascii="Arial" w:hAnsi="Arial" w:cs="Arial"/>
          <w:color w:val="000000"/>
        </w:rPr>
        <w:t>captures</w:t>
      </w:r>
      <w:r>
        <w:rPr>
          <w:rFonts w:ascii="Arial" w:hAnsi="Arial" w:cs="Arial"/>
          <w:color w:val="000000"/>
        </w:rPr>
        <w:t xml:space="preserve"> the following </w:t>
      </w:r>
      <w:r w:rsidR="00375B12">
        <w:rPr>
          <w:rFonts w:ascii="Arial" w:hAnsi="Arial" w:cs="Arial"/>
          <w:color w:val="000000"/>
        </w:rPr>
        <w:t>offline</w:t>
      </w:r>
      <w:r>
        <w:rPr>
          <w:rFonts w:ascii="Arial" w:hAnsi="Arial" w:cs="Arial"/>
          <w:color w:val="000000"/>
        </w:rPr>
        <w:t xml:space="preserve"> discussion:</w:t>
      </w:r>
    </w:p>
    <w:p w14:paraId="5B195765" w14:textId="77777777" w:rsidR="00375B12" w:rsidRDefault="00375B12" w:rsidP="00375B12">
      <w:pPr>
        <w:pStyle w:val="EmailDiscussion"/>
      </w:pPr>
      <w:r>
        <w:t>[AT119-e][031][IAB18] (Qualcomm)</w:t>
      </w:r>
    </w:p>
    <w:p w14:paraId="763AAA69" w14:textId="77777777" w:rsidR="00375B12" w:rsidRDefault="00375B12" w:rsidP="00375B12">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43A86D7D" w14:textId="77777777" w:rsidR="00375B12" w:rsidRDefault="00375B12" w:rsidP="00375B12">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2F7D2B41" w14:textId="77777777" w:rsidR="00375B12" w:rsidRDefault="00375B12" w:rsidP="00375B12">
      <w:pPr>
        <w:pStyle w:val="EmailDiscussion2"/>
      </w:pPr>
      <w:r>
        <w:tab/>
        <w:t xml:space="preserve">Deadline: In time for short CB W2 Friday </w:t>
      </w:r>
    </w:p>
    <w:p w14:paraId="11029180" w14:textId="77777777" w:rsidR="00375B12" w:rsidRDefault="00375B12" w:rsidP="00375B12">
      <w:pPr>
        <w:pStyle w:val="EmailDiscussion2"/>
      </w:pPr>
    </w:p>
    <w:p w14:paraId="2A949AD1" w14:textId="77777777" w:rsidR="00375B12" w:rsidRPr="004A628C" w:rsidRDefault="00375B12" w:rsidP="00375B12">
      <w:pPr>
        <w:pStyle w:val="EmailDiscussion2"/>
        <w:rPr>
          <w:i/>
          <w:iCs/>
        </w:rPr>
      </w:pPr>
      <w:r w:rsidRPr="004A628C">
        <w:rPr>
          <w:i/>
          <w:iCs/>
        </w:rPr>
        <w:t>Chair: Note that the bar is high for identifying FFSes, issues that need to be resolved</w:t>
      </w:r>
      <w:r>
        <w:rPr>
          <w:i/>
          <w:iCs/>
        </w:rPr>
        <w:t xml:space="preserve"> for this WI</w:t>
      </w:r>
      <w:r w:rsidRPr="004A628C">
        <w:rPr>
          <w:i/>
          <w:iCs/>
        </w:rPr>
        <w:t xml:space="preserve">. </w:t>
      </w:r>
      <w:r>
        <w:rPr>
          <w:i/>
          <w:iCs/>
        </w:rPr>
        <w:t xml:space="preserve">R2 should only work on core Uu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70F395DF" w14:textId="77777777" w:rsidR="00055347" w:rsidRDefault="00822E5A" w:rsidP="00EF58CE">
      <w:pPr>
        <w:ind w:left="144" w:hanging="144"/>
        <w:jc w:val="left"/>
        <w:rPr>
          <w:rFonts w:ascii="Calibri" w:hAnsi="Calibri" w:cs="Calibri"/>
          <w:color w:val="000000"/>
          <w:sz w:val="18"/>
        </w:rPr>
      </w:pPr>
      <w:r>
        <w:rPr>
          <w:rFonts w:ascii="Calibri" w:hAnsi="Calibri" w:cs="Calibri"/>
          <w:color w:val="000000"/>
          <w:sz w:val="18"/>
        </w:rPr>
        <w:t xml:space="preserve"> </w:t>
      </w:r>
    </w:p>
    <w:p w14:paraId="771B975E" w14:textId="35F16DFE" w:rsidR="00A309CA" w:rsidRPr="00A309CA" w:rsidRDefault="00A309CA" w:rsidP="00EF58CE">
      <w:pPr>
        <w:jc w:val="left"/>
        <w:rPr>
          <w:rFonts w:ascii="Arial" w:eastAsia="SimSun" w:hAnsi="Arial" w:cs="Arial"/>
          <w:bCs/>
        </w:rPr>
      </w:pPr>
      <w:r w:rsidRPr="00A309CA">
        <w:rPr>
          <w:rFonts w:ascii="Arial" w:eastAsia="SimSun" w:hAnsi="Arial" w:cs="Arial"/>
          <w:bCs/>
        </w:rPr>
        <w:t xml:space="preserve">The </w:t>
      </w:r>
      <w:r w:rsidR="00375B12">
        <w:rPr>
          <w:rFonts w:ascii="Arial" w:eastAsia="SimSun" w:hAnsi="Arial" w:cs="Arial"/>
          <w:bCs/>
        </w:rPr>
        <w:t>offline has the deadline</w:t>
      </w:r>
      <w:r w:rsidRPr="00A309CA">
        <w:rPr>
          <w:rFonts w:ascii="Arial" w:eastAsia="SimSun" w:hAnsi="Arial" w:cs="Arial"/>
          <w:bCs/>
        </w:rPr>
        <w:t>:</w:t>
      </w:r>
      <w:r w:rsidR="00375B12" w:rsidRPr="00375B12">
        <w:rPr>
          <w:rFonts w:ascii="Arial" w:eastAsia="SimSun" w:hAnsi="Arial" w:cs="Arial"/>
          <w:b/>
          <w:color w:val="FF0000"/>
          <w:u w:val="single"/>
        </w:rPr>
        <w:t xml:space="preserve"> </w:t>
      </w:r>
      <w:r w:rsidR="00375B12">
        <w:rPr>
          <w:rFonts w:ascii="Arial" w:eastAsia="SimSun" w:hAnsi="Arial" w:cs="Arial"/>
          <w:b/>
          <w:color w:val="FF0000"/>
          <w:u w:val="single"/>
        </w:rPr>
        <w:t>Wednesday</w:t>
      </w:r>
      <w:r w:rsidR="00375B12" w:rsidRPr="00A309CA">
        <w:rPr>
          <w:rFonts w:ascii="Arial" w:eastAsia="SimSun" w:hAnsi="Arial" w:cs="Arial"/>
          <w:b/>
          <w:color w:val="FF0000"/>
          <w:u w:val="single"/>
        </w:rPr>
        <w:t xml:space="preserve">, </w:t>
      </w:r>
      <w:r w:rsidR="00375B12">
        <w:rPr>
          <w:rFonts w:ascii="Arial" w:eastAsia="SimSun" w:hAnsi="Arial" w:cs="Arial"/>
          <w:b/>
          <w:color w:val="FF0000"/>
          <w:u w:val="single"/>
        </w:rPr>
        <w:t>24</w:t>
      </w:r>
      <w:r w:rsidR="00375B12" w:rsidRPr="00A309CA">
        <w:rPr>
          <w:rFonts w:ascii="Arial" w:eastAsia="SimSun" w:hAnsi="Arial" w:cs="Arial"/>
          <w:b/>
          <w:color w:val="FF0000"/>
          <w:u w:val="single"/>
          <w:vertAlign w:val="superscript"/>
        </w:rPr>
        <w:t>th</w:t>
      </w:r>
      <w:r w:rsidR="00375B12" w:rsidRPr="00A309CA">
        <w:rPr>
          <w:rFonts w:ascii="Arial" w:eastAsia="SimSun" w:hAnsi="Arial" w:cs="Arial"/>
          <w:b/>
          <w:color w:val="FF0000"/>
          <w:u w:val="single"/>
        </w:rPr>
        <w:t xml:space="preserve"> August, 2022, 23:59 UTC.</w:t>
      </w:r>
    </w:p>
    <w:p w14:paraId="73575D1F" w14:textId="4CE520E7" w:rsidR="00055347" w:rsidRDefault="00822E5A" w:rsidP="007011B4">
      <w:pPr>
        <w:pStyle w:val="Heading1"/>
      </w:pPr>
      <w:r>
        <w:t>Discussion</w:t>
      </w:r>
    </w:p>
    <w:p w14:paraId="1B21E70B" w14:textId="04E442E2" w:rsidR="00E60DCA" w:rsidRPr="00B62245" w:rsidRDefault="00B53581" w:rsidP="00F84340">
      <w:pPr>
        <w:pStyle w:val="Heading2"/>
        <w:numPr>
          <w:ilvl w:val="0"/>
          <w:numId w:val="0"/>
        </w:numPr>
        <w:rPr>
          <w:b/>
          <w:bCs/>
          <w:sz w:val="28"/>
        </w:rPr>
      </w:pPr>
      <w:r w:rsidRPr="00B53581">
        <w:rPr>
          <w:rStyle w:val="Heading2Char"/>
        </w:rPr>
        <w:t>2.</w:t>
      </w:r>
      <w:r w:rsidR="00E60DCA" w:rsidRPr="00B53581">
        <w:rPr>
          <w:rStyle w:val="Heading2Char"/>
        </w:rPr>
        <w:t>1</w:t>
      </w:r>
      <w:r w:rsidR="00F84340">
        <w:rPr>
          <w:rStyle w:val="Heading2Char"/>
        </w:rPr>
        <w:tab/>
        <w:t xml:space="preserve"> </w:t>
      </w:r>
      <w:r>
        <w:rPr>
          <w:rStyle w:val="Heading2Char"/>
        </w:rPr>
        <w:t>Rel-18 UE cell (re-)selection</w:t>
      </w:r>
    </w:p>
    <w:p w14:paraId="7EA94C0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Multiple contributions propose to discuss enhancements to cell (re-)selection for Rel-18 UEs from/to/between mobile IAB-nodes.</w:t>
      </w:r>
    </w:p>
    <w:p w14:paraId="3FD6FA9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Qualcomm R2-2207283, Samsung R2-2207816, Vivo R2-2208459</w:t>
      </w:r>
      <w:r w:rsidRPr="00DB7BF9">
        <w:rPr>
          <w:rFonts w:ascii="Arial" w:hAnsi="Arial" w:cs="Arial"/>
          <w:sz w:val="20"/>
          <w:szCs w:val="20"/>
        </w:rPr>
        <w:t xml:space="preserve"> propose to discuss cell (re-)selection criteria from/to mobile IAB cells for Rel-18s UEs.</w:t>
      </w:r>
    </w:p>
    <w:p w14:paraId="35576BE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Apple R2-2207421, Interdigital R2-2208267 </w:t>
      </w:r>
      <w:r w:rsidRPr="00DB7BF9">
        <w:rPr>
          <w:rFonts w:ascii="Arial" w:hAnsi="Arial" w:cs="Arial"/>
          <w:sz w:val="20"/>
          <w:szCs w:val="20"/>
        </w:rPr>
        <w:t xml:space="preserve">propose that the Rel-18 UE receives information on the mobile-IAB-node’s mobility state, potentially from SIB.  </w:t>
      </w:r>
    </w:p>
    <w:p w14:paraId="75D39E4F"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 Lenovo R2-2207708 </w:t>
      </w:r>
      <w:r w:rsidRPr="00DB7BF9">
        <w:rPr>
          <w:rFonts w:ascii="Arial" w:hAnsi="Arial" w:cs="Arial"/>
          <w:sz w:val="20"/>
          <w:szCs w:val="20"/>
        </w:rPr>
        <w:t xml:space="preserve">propose that the mobile IAB-node broadcasts its mobility attribute. </w:t>
      </w:r>
    </w:p>
    <w:p w14:paraId="55FB6274" w14:textId="77777777" w:rsidR="000D05E9" w:rsidRDefault="000D05E9" w:rsidP="000D05E9">
      <w:pPr>
        <w:spacing w:after="120" w:line="240" w:lineRule="auto"/>
        <w:rPr>
          <w:rFonts w:ascii="Arial" w:hAnsi="Arial" w:cs="Arial"/>
          <w:b/>
          <w:bCs/>
          <w:sz w:val="20"/>
          <w:szCs w:val="20"/>
        </w:rPr>
      </w:pPr>
    </w:p>
    <w:p w14:paraId="526D46A4" w14:textId="02140B1F"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1F082ADA" w14:textId="68214D8F" w:rsidR="00B53581" w:rsidRPr="00DB7BF9" w:rsidRDefault="00B53581" w:rsidP="000D05E9">
      <w:pPr>
        <w:spacing w:after="120" w:line="240" w:lineRule="auto"/>
        <w:rPr>
          <w:rFonts w:ascii="Arial" w:hAnsi="Arial" w:cs="Arial"/>
          <w:b/>
          <w:bCs/>
          <w:sz w:val="20"/>
          <w:szCs w:val="20"/>
        </w:rPr>
      </w:pPr>
      <w:r w:rsidRPr="00DB7BF9">
        <w:rPr>
          <w:rFonts w:ascii="Arial" w:hAnsi="Arial" w:cs="Arial"/>
          <w:b/>
          <w:bCs/>
          <w:sz w:val="20"/>
          <w:szCs w:val="20"/>
        </w:rPr>
        <w:t>Q1: Do you support this proposal. If not</w:t>
      </w:r>
      <w:r w:rsidR="00DF3BCB" w:rsidRPr="00DB7BF9">
        <w:rPr>
          <w:rFonts w:ascii="Arial" w:hAnsi="Arial" w:cs="Arial"/>
          <w:b/>
          <w:bCs/>
          <w:sz w:val="20"/>
          <w:szCs w:val="20"/>
        </w:rPr>
        <w:t>,</w:t>
      </w:r>
      <w:r w:rsidRPr="00DB7BF9">
        <w:rPr>
          <w:rFonts w:ascii="Arial" w:hAnsi="Arial" w:cs="Arial"/>
          <w:b/>
          <w:bCs/>
          <w:sz w:val="20"/>
          <w:szCs w:val="20"/>
        </w:rPr>
        <w:t xml:space="preserve"> please provide reasons</w:t>
      </w:r>
      <w:r w:rsidR="008E6AAC">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B53581" w:rsidRPr="00DB7BF9" w14:paraId="6E8B8096" w14:textId="77777777" w:rsidTr="008D7668">
        <w:tc>
          <w:tcPr>
            <w:tcW w:w="1975" w:type="dxa"/>
            <w:shd w:val="clear" w:color="auto" w:fill="C5E0B3" w:themeFill="accent6" w:themeFillTint="66"/>
          </w:tcPr>
          <w:p w14:paraId="6DCF243E" w14:textId="77777777" w:rsidR="00B53581" w:rsidRPr="00DB7BF9" w:rsidRDefault="00B53581" w:rsidP="008D7668">
            <w:pPr>
              <w:jc w:val="left"/>
              <w:rPr>
                <w:rFonts w:ascii="Arial" w:hAnsi="Arial" w:cs="Arial"/>
                <w:b/>
                <w:bCs/>
                <w:sz w:val="20"/>
              </w:rPr>
            </w:pPr>
            <w:r w:rsidRPr="00DB7BF9">
              <w:rPr>
                <w:rFonts w:ascii="Arial" w:hAnsi="Arial" w:cs="Arial"/>
                <w:b/>
                <w:bCs/>
                <w:sz w:val="20"/>
              </w:rPr>
              <w:t>Company</w:t>
            </w:r>
          </w:p>
        </w:tc>
        <w:tc>
          <w:tcPr>
            <w:tcW w:w="1530" w:type="dxa"/>
            <w:shd w:val="clear" w:color="auto" w:fill="C5E0B3" w:themeFill="accent6" w:themeFillTint="66"/>
          </w:tcPr>
          <w:p w14:paraId="3EAE4D0B" w14:textId="77777777" w:rsidR="00B53581" w:rsidRPr="00DB7BF9" w:rsidRDefault="00B53581" w:rsidP="008D7668">
            <w:pPr>
              <w:jc w:val="left"/>
              <w:rPr>
                <w:rFonts w:ascii="Arial" w:hAnsi="Arial" w:cs="Arial"/>
                <w:b/>
                <w:bCs/>
                <w:sz w:val="20"/>
              </w:rPr>
            </w:pPr>
            <w:r w:rsidRPr="00DB7BF9">
              <w:rPr>
                <w:rFonts w:ascii="Arial" w:hAnsi="Arial" w:cs="Arial"/>
                <w:b/>
                <w:bCs/>
                <w:sz w:val="20"/>
              </w:rPr>
              <w:t>Yes/No</w:t>
            </w:r>
          </w:p>
        </w:tc>
        <w:tc>
          <w:tcPr>
            <w:tcW w:w="6231" w:type="dxa"/>
            <w:shd w:val="clear" w:color="auto" w:fill="C5E0B3" w:themeFill="accent6" w:themeFillTint="66"/>
          </w:tcPr>
          <w:p w14:paraId="3FCE75D7" w14:textId="77777777" w:rsidR="00B53581" w:rsidRPr="00DB7BF9" w:rsidRDefault="00B53581" w:rsidP="008D7668">
            <w:pPr>
              <w:jc w:val="left"/>
              <w:rPr>
                <w:rFonts w:ascii="Arial" w:hAnsi="Arial" w:cs="Arial"/>
                <w:b/>
                <w:bCs/>
                <w:sz w:val="20"/>
              </w:rPr>
            </w:pPr>
            <w:r w:rsidRPr="00DB7BF9">
              <w:rPr>
                <w:rFonts w:ascii="Arial" w:hAnsi="Arial" w:cs="Arial"/>
                <w:b/>
                <w:bCs/>
                <w:sz w:val="20"/>
              </w:rPr>
              <w:t>Comments</w:t>
            </w:r>
          </w:p>
        </w:tc>
      </w:tr>
      <w:tr w:rsidR="00B53581" w:rsidRPr="00DB7BF9" w14:paraId="2601D0A1" w14:textId="77777777" w:rsidTr="008D7668">
        <w:tc>
          <w:tcPr>
            <w:tcW w:w="1975" w:type="dxa"/>
          </w:tcPr>
          <w:p w14:paraId="78D0DF45" w14:textId="22106391" w:rsidR="00B53581" w:rsidRPr="00DB7BF9" w:rsidRDefault="00B53581" w:rsidP="008D7668">
            <w:pPr>
              <w:jc w:val="left"/>
              <w:rPr>
                <w:rFonts w:ascii="Arial" w:hAnsi="Arial" w:cs="Arial"/>
                <w:sz w:val="20"/>
              </w:rPr>
            </w:pPr>
          </w:p>
        </w:tc>
        <w:tc>
          <w:tcPr>
            <w:tcW w:w="1530" w:type="dxa"/>
          </w:tcPr>
          <w:p w14:paraId="00123FC0" w14:textId="1005B21C" w:rsidR="00B53581" w:rsidRPr="00DB7BF9" w:rsidRDefault="00B53581" w:rsidP="008D7668">
            <w:pPr>
              <w:jc w:val="left"/>
              <w:rPr>
                <w:rFonts w:ascii="Arial" w:hAnsi="Arial" w:cs="Arial"/>
                <w:sz w:val="20"/>
              </w:rPr>
            </w:pPr>
          </w:p>
        </w:tc>
        <w:tc>
          <w:tcPr>
            <w:tcW w:w="6231" w:type="dxa"/>
          </w:tcPr>
          <w:p w14:paraId="57244898" w14:textId="6313F75E" w:rsidR="00B53581" w:rsidRPr="00DB7BF9" w:rsidRDefault="00B53581" w:rsidP="008D7668">
            <w:pPr>
              <w:jc w:val="left"/>
              <w:rPr>
                <w:rFonts w:ascii="Arial" w:hAnsi="Arial" w:cs="Arial"/>
                <w:sz w:val="20"/>
              </w:rPr>
            </w:pPr>
          </w:p>
        </w:tc>
      </w:tr>
      <w:tr w:rsidR="00B53581" w:rsidRPr="00DB7BF9" w14:paraId="66C47A1D" w14:textId="77777777" w:rsidTr="008D7668">
        <w:tc>
          <w:tcPr>
            <w:tcW w:w="1975" w:type="dxa"/>
          </w:tcPr>
          <w:p w14:paraId="2EAD76B3" w14:textId="77777777" w:rsidR="00B53581" w:rsidRPr="00DB7BF9" w:rsidRDefault="00B53581" w:rsidP="008D7668">
            <w:pPr>
              <w:jc w:val="left"/>
              <w:rPr>
                <w:rFonts w:ascii="Arial" w:hAnsi="Arial" w:cs="Arial"/>
                <w:sz w:val="20"/>
              </w:rPr>
            </w:pPr>
          </w:p>
        </w:tc>
        <w:tc>
          <w:tcPr>
            <w:tcW w:w="1530" w:type="dxa"/>
          </w:tcPr>
          <w:p w14:paraId="4FAF6C12" w14:textId="77777777" w:rsidR="00B53581" w:rsidRPr="00DB7BF9" w:rsidRDefault="00B53581" w:rsidP="008D7668">
            <w:pPr>
              <w:jc w:val="left"/>
              <w:rPr>
                <w:rFonts w:ascii="Arial" w:hAnsi="Arial" w:cs="Arial"/>
                <w:sz w:val="20"/>
              </w:rPr>
            </w:pPr>
          </w:p>
        </w:tc>
        <w:tc>
          <w:tcPr>
            <w:tcW w:w="6231" w:type="dxa"/>
          </w:tcPr>
          <w:p w14:paraId="17D1CD7A" w14:textId="77777777" w:rsidR="00B53581" w:rsidRPr="00DB7BF9" w:rsidRDefault="00B53581" w:rsidP="008D7668">
            <w:pPr>
              <w:jc w:val="left"/>
              <w:rPr>
                <w:rFonts w:ascii="Arial" w:hAnsi="Arial" w:cs="Arial"/>
                <w:sz w:val="20"/>
              </w:rPr>
            </w:pPr>
          </w:p>
        </w:tc>
      </w:tr>
      <w:tr w:rsidR="00B53581" w:rsidRPr="00DB7BF9" w14:paraId="07D17872" w14:textId="77777777" w:rsidTr="008D7668">
        <w:tc>
          <w:tcPr>
            <w:tcW w:w="1975" w:type="dxa"/>
          </w:tcPr>
          <w:p w14:paraId="1A8D9E9A" w14:textId="77777777" w:rsidR="00B53581" w:rsidRPr="00DB7BF9" w:rsidRDefault="00B53581" w:rsidP="008D7668">
            <w:pPr>
              <w:jc w:val="left"/>
              <w:rPr>
                <w:rFonts w:ascii="Arial" w:hAnsi="Arial" w:cs="Arial"/>
                <w:sz w:val="20"/>
              </w:rPr>
            </w:pPr>
          </w:p>
        </w:tc>
        <w:tc>
          <w:tcPr>
            <w:tcW w:w="1530" w:type="dxa"/>
          </w:tcPr>
          <w:p w14:paraId="460A3B48" w14:textId="77777777" w:rsidR="00B53581" w:rsidRPr="00DB7BF9" w:rsidRDefault="00B53581" w:rsidP="008D7668">
            <w:pPr>
              <w:jc w:val="left"/>
              <w:rPr>
                <w:rFonts w:ascii="Arial" w:hAnsi="Arial" w:cs="Arial"/>
                <w:sz w:val="20"/>
              </w:rPr>
            </w:pPr>
          </w:p>
        </w:tc>
        <w:tc>
          <w:tcPr>
            <w:tcW w:w="6231" w:type="dxa"/>
          </w:tcPr>
          <w:p w14:paraId="119121FC" w14:textId="77777777" w:rsidR="00B53581" w:rsidRPr="00DB7BF9" w:rsidRDefault="00B53581" w:rsidP="008D7668">
            <w:pPr>
              <w:jc w:val="left"/>
              <w:rPr>
                <w:rFonts w:ascii="Arial" w:hAnsi="Arial" w:cs="Arial"/>
                <w:sz w:val="20"/>
              </w:rPr>
            </w:pPr>
          </w:p>
        </w:tc>
      </w:tr>
      <w:tr w:rsidR="00B53581" w:rsidRPr="00DB7BF9" w14:paraId="62D4145D" w14:textId="77777777" w:rsidTr="008D7668">
        <w:tc>
          <w:tcPr>
            <w:tcW w:w="1975" w:type="dxa"/>
          </w:tcPr>
          <w:p w14:paraId="0A06743A" w14:textId="77777777" w:rsidR="00B53581" w:rsidRPr="00DB7BF9" w:rsidRDefault="00B53581" w:rsidP="008D7668">
            <w:pPr>
              <w:jc w:val="left"/>
              <w:rPr>
                <w:rFonts w:ascii="Arial" w:hAnsi="Arial" w:cs="Arial"/>
                <w:sz w:val="20"/>
              </w:rPr>
            </w:pPr>
          </w:p>
        </w:tc>
        <w:tc>
          <w:tcPr>
            <w:tcW w:w="1530" w:type="dxa"/>
          </w:tcPr>
          <w:p w14:paraId="34A57B23" w14:textId="77777777" w:rsidR="00B53581" w:rsidRPr="00DB7BF9" w:rsidRDefault="00B53581" w:rsidP="008D7668">
            <w:pPr>
              <w:jc w:val="left"/>
              <w:rPr>
                <w:rFonts w:ascii="Arial" w:hAnsi="Arial" w:cs="Arial"/>
                <w:sz w:val="20"/>
              </w:rPr>
            </w:pPr>
          </w:p>
        </w:tc>
        <w:tc>
          <w:tcPr>
            <w:tcW w:w="6231" w:type="dxa"/>
          </w:tcPr>
          <w:p w14:paraId="4B71ABAE" w14:textId="77777777" w:rsidR="00B53581" w:rsidRPr="00DB7BF9" w:rsidRDefault="00B53581" w:rsidP="008D7668">
            <w:pPr>
              <w:jc w:val="left"/>
              <w:rPr>
                <w:rFonts w:ascii="Arial" w:hAnsi="Arial" w:cs="Arial"/>
                <w:sz w:val="20"/>
              </w:rPr>
            </w:pPr>
          </w:p>
        </w:tc>
      </w:tr>
      <w:tr w:rsidR="00B53581" w:rsidRPr="00DB7BF9" w14:paraId="4028C245" w14:textId="77777777" w:rsidTr="008D7668">
        <w:tc>
          <w:tcPr>
            <w:tcW w:w="1975" w:type="dxa"/>
          </w:tcPr>
          <w:p w14:paraId="7D1E3209" w14:textId="77777777" w:rsidR="00B53581" w:rsidRPr="00DB7BF9" w:rsidRDefault="00B53581" w:rsidP="008D7668">
            <w:pPr>
              <w:jc w:val="left"/>
              <w:rPr>
                <w:rFonts w:ascii="Arial" w:hAnsi="Arial" w:cs="Arial"/>
                <w:sz w:val="20"/>
              </w:rPr>
            </w:pPr>
          </w:p>
        </w:tc>
        <w:tc>
          <w:tcPr>
            <w:tcW w:w="1530" w:type="dxa"/>
          </w:tcPr>
          <w:p w14:paraId="0A7285F3" w14:textId="77777777" w:rsidR="00B53581" w:rsidRPr="00DB7BF9" w:rsidRDefault="00B53581" w:rsidP="008D7668">
            <w:pPr>
              <w:jc w:val="left"/>
              <w:rPr>
                <w:rFonts w:ascii="Arial" w:hAnsi="Arial" w:cs="Arial"/>
                <w:sz w:val="20"/>
              </w:rPr>
            </w:pPr>
          </w:p>
        </w:tc>
        <w:tc>
          <w:tcPr>
            <w:tcW w:w="6231" w:type="dxa"/>
          </w:tcPr>
          <w:p w14:paraId="6689665C" w14:textId="77777777" w:rsidR="00B53581" w:rsidRPr="00DB7BF9" w:rsidRDefault="00B53581" w:rsidP="008D7668">
            <w:pPr>
              <w:jc w:val="left"/>
              <w:rPr>
                <w:rFonts w:ascii="Arial" w:hAnsi="Arial" w:cs="Arial"/>
                <w:sz w:val="20"/>
              </w:rPr>
            </w:pPr>
          </w:p>
        </w:tc>
      </w:tr>
      <w:tr w:rsidR="00B53581" w:rsidRPr="00DB7BF9" w14:paraId="535DF428" w14:textId="77777777" w:rsidTr="008D7668">
        <w:tc>
          <w:tcPr>
            <w:tcW w:w="1975" w:type="dxa"/>
          </w:tcPr>
          <w:p w14:paraId="76B1ABA7" w14:textId="77777777" w:rsidR="00B53581" w:rsidRPr="00DB7BF9" w:rsidRDefault="00B53581" w:rsidP="008D7668">
            <w:pPr>
              <w:jc w:val="left"/>
              <w:rPr>
                <w:rFonts w:ascii="Arial" w:hAnsi="Arial" w:cs="Arial"/>
                <w:sz w:val="20"/>
              </w:rPr>
            </w:pPr>
          </w:p>
        </w:tc>
        <w:tc>
          <w:tcPr>
            <w:tcW w:w="1530" w:type="dxa"/>
          </w:tcPr>
          <w:p w14:paraId="191316AA" w14:textId="77777777" w:rsidR="00B53581" w:rsidRPr="00DB7BF9" w:rsidRDefault="00B53581" w:rsidP="008D7668">
            <w:pPr>
              <w:jc w:val="left"/>
              <w:rPr>
                <w:rFonts w:ascii="Arial" w:hAnsi="Arial" w:cs="Arial"/>
                <w:sz w:val="20"/>
              </w:rPr>
            </w:pPr>
          </w:p>
        </w:tc>
        <w:tc>
          <w:tcPr>
            <w:tcW w:w="6231" w:type="dxa"/>
          </w:tcPr>
          <w:p w14:paraId="0C5927F1" w14:textId="77777777" w:rsidR="00B53581" w:rsidRPr="00DB7BF9" w:rsidRDefault="00B53581" w:rsidP="008D7668">
            <w:pPr>
              <w:jc w:val="left"/>
              <w:rPr>
                <w:rFonts w:ascii="Arial" w:hAnsi="Arial" w:cs="Arial"/>
                <w:sz w:val="20"/>
              </w:rPr>
            </w:pPr>
          </w:p>
        </w:tc>
      </w:tr>
    </w:tbl>
    <w:p w14:paraId="453BEADA" w14:textId="77777777" w:rsidR="00E60DCA" w:rsidRPr="00DB7BF9" w:rsidRDefault="00E60DCA" w:rsidP="008D7668">
      <w:pPr>
        <w:rPr>
          <w:rFonts w:ascii="Arial" w:hAnsi="Arial" w:cs="Arial"/>
          <w:b/>
          <w:bCs/>
        </w:rPr>
      </w:pPr>
    </w:p>
    <w:p w14:paraId="26AD8EE7" w14:textId="005169C0" w:rsidR="00E60DCA" w:rsidRPr="00B62245" w:rsidRDefault="00F84340" w:rsidP="00F84340">
      <w:pPr>
        <w:pStyle w:val="Heading2"/>
        <w:numPr>
          <w:ilvl w:val="0"/>
          <w:numId w:val="0"/>
        </w:numPr>
      </w:pPr>
      <w:r>
        <w:t>2.2</w:t>
      </w:r>
      <w:r>
        <w:tab/>
        <w:t xml:space="preserve"> </w:t>
      </w:r>
      <w:r w:rsidR="00E60DCA" w:rsidRPr="00B62245">
        <w:t>IAB-node reports to CU</w:t>
      </w:r>
    </w:p>
    <w:p w14:paraId="6B50085C"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Multiple contributions propose that the mobile IAB-node reports mobility-related information to the network, e.g., so that the CU can include such information in UE handover decisions, to simplify some RRC procedures, to allow the network to create a mIAB mobility history, to avoid that the network selects the mobile IAB-node as a parent node in topology adaptation, etc. </w:t>
      </w:r>
    </w:p>
    <w:p w14:paraId="785DA675"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R2-2207122, Lenovo R2-2207708, Qualcomm R2-2207283, Kyocera R2-2208291</w:t>
      </w:r>
      <w:r w:rsidRPr="00DB7BF9">
        <w:rPr>
          <w:rFonts w:ascii="Arial" w:hAnsi="Arial" w:cs="Arial"/>
          <w:sz w:val="20"/>
          <w:szCs w:val="20"/>
        </w:rPr>
        <w:t xml:space="preserve"> propose that the mIAB-node reports its mobility predicate to the CU.</w:t>
      </w:r>
    </w:p>
    <w:p w14:paraId="3BC7CC38"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Qualcomm R2-2207283</w:t>
      </w:r>
      <w:r w:rsidRPr="00DB7BF9">
        <w:rPr>
          <w:rFonts w:ascii="Arial" w:hAnsi="Arial" w:cs="Arial"/>
          <w:sz w:val="20"/>
          <w:szCs w:val="20"/>
        </w:rPr>
        <w:t xml:space="preserve"> , </w:t>
      </w:r>
      <w:r w:rsidRPr="00DB7BF9">
        <w:rPr>
          <w:rFonts w:ascii="Arial" w:hAnsi="Arial" w:cs="Arial"/>
          <w:b/>
          <w:bCs/>
          <w:sz w:val="20"/>
          <w:szCs w:val="20"/>
        </w:rPr>
        <w:t xml:space="preserve">Sony R2-2207827 </w:t>
      </w:r>
      <w:r w:rsidRPr="00DB7BF9">
        <w:rPr>
          <w:rFonts w:ascii="Arial" w:hAnsi="Arial" w:cs="Arial"/>
          <w:sz w:val="20"/>
          <w:szCs w:val="20"/>
        </w:rPr>
        <w:t>propose that the mIAB-node reports its location to the CU.</w:t>
      </w:r>
    </w:p>
    <w:p w14:paraId="7AF2419A"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R2-2207122,  Qualcomm R2-2207283</w:t>
      </w:r>
      <w:r w:rsidRPr="00DB7BF9">
        <w:rPr>
          <w:rFonts w:ascii="Arial" w:hAnsi="Arial" w:cs="Arial"/>
          <w:sz w:val="20"/>
          <w:szCs w:val="20"/>
        </w:rPr>
        <w:t xml:space="preserve"> propose that the mIAB-node reports information on its velocity to the CU.</w:t>
      </w:r>
    </w:p>
    <w:p w14:paraId="3ACBB92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Ericsson R2-2208103, Interdigital R2-2208267 </w:t>
      </w:r>
      <w:r w:rsidRPr="00DB7BF9">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411C9F32" w14:textId="77777777" w:rsidR="000D05E9" w:rsidRDefault="000D05E9" w:rsidP="000D05E9">
      <w:pPr>
        <w:spacing w:after="120" w:line="240" w:lineRule="auto"/>
        <w:rPr>
          <w:rFonts w:ascii="Arial" w:hAnsi="Arial" w:cs="Arial"/>
          <w:b/>
          <w:bCs/>
          <w:sz w:val="20"/>
          <w:szCs w:val="20"/>
        </w:rPr>
      </w:pPr>
    </w:p>
    <w:p w14:paraId="348B62CA" w14:textId="5A927EF0"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w:t>
      </w:r>
      <w:r w:rsidR="00DF3BCB" w:rsidRPr="00DB7BF9">
        <w:rPr>
          <w:rFonts w:ascii="Arial" w:hAnsi="Arial" w:cs="Arial"/>
          <w:b/>
          <w:bCs/>
          <w:sz w:val="20"/>
          <w:szCs w:val="20"/>
        </w:rPr>
        <w:t xml:space="preserve"> 2</w:t>
      </w:r>
      <w:r w:rsidRPr="00DB7BF9">
        <w:rPr>
          <w:rFonts w:ascii="Arial" w:hAnsi="Arial" w:cs="Arial"/>
          <w:b/>
          <w:bCs/>
          <w:sz w:val="20"/>
          <w:szCs w:val="20"/>
        </w:rPr>
        <w:t>: The mobile IAB-node to report to the CU information related to its mobility state, e.g., its mobility predicate, location, velocity, etc. Details on this information are FFS.</w:t>
      </w:r>
    </w:p>
    <w:p w14:paraId="5E5C877B" w14:textId="2B2B48F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w:t>
      </w:r>
      <w:r w:rsidRPr="00DB7BF9">
        <w:rPr>
          <w:rFonts w:ascii="Arial" w:hAnsi="Arial" w:cs="Arial"/>
          <w:b/>
          <w:bCs/>
          <w:sz w:val="20"/>
          <w:szCs w:val="20"/>
        </w:rPr>
        <w:t>2</w:t>
      </w:r>
      <w:r w:rsidRPr="00DB7BF9">
        <w:rPr>
          <w:rFonts w:ascii="Arial" w:hAnsi="Arial" w:cs="Arial"/>
          <w:b/>
          <w:bCs/>
          <w:sz w:val="20"/>
          <w:szCs w:val="20"/>
        </w:rPr>
        <w:t>: Do you support this proposal. If not, please provide reasons</w:t>
      </w:r>
      <w:r w:rsidR="002C4E01">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54E8D159" w14:textId="77777777" w:rsidTr="008D7668">
        <w:tc>
          <w:tcPr>
            <w:tcW w:w="1975" w:type="dxa"/>
            <w:shd w:val="clear" w:color="auto" w:fill="C5E0B3" w:themeFill="accent6" w:themeFillTint="66"/>
          </w:tcPr>
          <w:p w14:paraId="1EC66CB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3D44E1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69B0A5A"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518E6E90" w14:textId="77777777" w:rsidTr="008D7668">
        <w:tc>
          <w:tcPr>
            <w:tcW w:w="1975" w:type="dxa"/>
          </w:tcPr>
          <w:p w14:paraId="02B41515" w14:textId="77777777" w:rsidR="00DF3BCB" w:rsidRPr="00DB7BF9" w:rsidRDefault="00DF3BCB" w:rsidP="008D7668">
            <w:pPr>
              <w:jc w:val="left"/>
              <w:rPr>
                <w:rFonts w:ascii="Arial" w:hAnsi="Arial" w:cs="Arial"/>
                <w:sz w:val="20"/>
                <w:szCs w:val="20"/>
              </w:rPr>
            </w:pPr>
          </w:p>
        </w:tc>
        <w:tc>
          <w:tcPr>
            <w:tcW w:w="1530" w:type="dxa"/>
          </w:tcPr>
          <w:p w14:paraId="5199809F" w14:textId="77777777" w:rsidR="00DF3BCB" w:rsidRPr="00DB7BF9" w:rsidRDefault="00DF3BCB" w:rsidP="008D7668">
            <w:pPr>
              <w:jc w:val="left"/>
              <w:rPr>
                <w:rFonts w:ascii="Arial" w:hAnsi="Arial" w:cs="Arial"/>
                <w:sz w:val="20"/>
                <w:szCs w:val="20"/>
              </w:rPr>
            </w:pPr>
          </w:p>
        </w:tc>
        <w:tc>
          <w:tcPr>
            <w:tcW w:w="6231" w:type="dxa"/>
          </w:tcPr>
          <w:p w14:paraId="08E8443C" w14:textId="77777777" w:rsidR="00DF3BCB" w:rsidRPr="00DB7BF9" w:rsidRDefault="00DF3BCB" w:rsidP="008D7668">
            <w:pPr>
              <w:jc w:val="left"/>
              <w:rPr>
                <w:rFonts w:ascii="Arial" w:hAnsi="Arial" w:cs="Arial"/>
                <w:sz w:val="20"/>
                <w:szCs w:val="20"/>
              </w:rPr>
            </w:pPr>
          </w:p>
        </w:tc>
      </w:tr>
      <w:tr w:rsidR="00DF3BCB" w:rsidRPr="00DB7BF9" w14:paraId="11FC789B" w14:textId="77777777" w:rsidTr="008D7668">
        <w:tc>
          <w:tcPr>
            <w:tcW w:w="1975" w:type="dxa"/>
          </w:tcPr>
          <w:p w14:paraId="60347010" w14:textId="77777777" w:rsidR="00DF3BCB" w:rsidRPr="00DB7BF9" w:rsidRDefault="00DF3BCB" w:rsidP="008D7668">
            <w:pPr>
              <w:jc w:val="left"/>
              <w:rPr>
                <w:rFonts w:ascii="Arial" w:hAnsi="Arial" w:cs="Arial"/>
                <w:sz w:val="20"/>
                <w:szCs w:val="20"/>
              </w:rPr>
            </w:pPr>
          </w:p>
        </w:tc>
        <w:tc>
          <w:tcPr>
            <w:tcW w:w="1530" w:type="dxa"/>
          </w:tcPr>
          <w:p w14:paraId="56BC0947" w14:textId="77777777" w:rsidR="00DF3BCB" w:rsidRPr="00DB7BF9" w:rsidRDefault="00DF3BCB" w:rsidP="008D7668">
            <w:pPr>
              <w:jc w:val="left"/>
              <w:rPr>
                <w:rFonts w:ascii="Arial" w:hAnsi="Arial" w:cs="Arial"/>
                <w:sz w:val="20"/>
                <w:szCs w:val="20"/>
              </w:rPr>
            </w:pPr>
          </w:p>
        </w:tc>
        <w:tc>
          <w:tcPr>
            <w:tcW w:w="6231" w:type="dxa"/>
          </w:tcPr>
          <w:p w14:paraId="06BCBF1D" w14:textId="77777777" w:rsidR="00DF3BCB" w:rsidRPr="00DB7BF9" w:rsidRDefault="00DF3BCB" w:rsidP="008D7668">
            <w:pPr>
              <w:jc w:val="left"/>
              <w:rPr>
                <w:rFonts w:ascii="Arial" w:hAnsi="Arial" w:cs="Arial"/>
                <w:sz w:val="20"/>
                <w:szCs w:val="20"/>
              </w:rPr>
            </w:pPr>
          </w:p>
        </w:tc>
      </w:tr>
      <w:tr w:rsidR="00DF3BCB" w:rsidRPr="00DB7BF9" w14:paraId="5A60D461" w14:textId="77777777" w:rsidTr="008D7668">
        <w:tc>
          <w:tcPr>
            <w:tcW w:w="1975" w:type="dxa"/>
          </w:tcPr>
          <w:p w14:paraId="1DAB8736" w14:textId="77777777" w:rsidR="00DF3BCB" w:rsidRPr="00DB7BF9" w:rsidRDefault="00DF3BCB" w:rsidP="008D7668">
            <w:pPr>
              <w:jc w:val="left"/>
              <w:rPr>
                <w:rFonts w:ascii="Arial" w:hAnsi="Arial" w:cs="Arial"/>
                <w:sz w:val="20"/>
                <w:szCs w:val="20"/>
              </w:rPr>
            </w:pPr>
          </w:p>
        </w:tc>
        <w:tc>
          <w:tcPr>
            <w:tcW w:w="1530" w:type="dxa"/>
          </w:tcPr>
          <w:p w14:paraId="586EDF3C" w14:textId="77777777" w:rsidR="00DF3BCB" w:rsidRPr="00DB7BF9" w:rsidRDefault="00DF3BCB" w:rsidP="008D7668">
            <w:pPr>
              <w:jc w:val="left"/>
              <w:rPr>
                <w:rFonts w:ascii="Arial" w:hAnsi="Arial" w:cs="Arial"/>
                <w:sz w:val="20"/>
                <w:szCs w:val="20"/>
              </w:rPr>
            </w:pPr>
          </w:p>
        </w:tc>
        <w:tc>
          <w:tcPr>
            <w:tcW w:w="6231" w:type="dxa"/>
          </w:tcPr>
          <w:p w14:paraId="3076D89D" w14:textId="77777777" w:rsidR="00DF3BCB" w:rsidRPr="00DB7BF9" w:rsidRDefault="00DF3BCB" w:rsidP="008D7668">
            <w:pPr>
              <w:jc w:val="left"/>
              <w:rPr>
                <w:rFonts w:ascii="Arial" w:hAnsi="Arial" w:cs="Arial"/>
                <w:sz w:val="20"/>
                <w:szCs w:val="20"/>
              </w:rPr>
            </w:pPr>
          </w:p>
        </w:tc>
      </w:tr>
      <w:tr w:rsidR="00DF3BCB" w:rsidRPr="00DB7BF9" w14:paraId="5EF5036E" w14:textId="77777777" w:rsidTr="008D7668">
        <w:tc>
          <w:tcPr>
            <w:tcW w:w="1975" w:type="dxa"/>
          </w:tcPr>
          <w:p w14:paraId="4FC062CE" w14:textId="77777777" w:rsidR="00DF3BCB" w:rsidRPr="00DB7BF9" w:rsidRDefault="00DF3BCB" w:rsidP="008D7668">
            <w:pPr>
              <w:jc w:val="left"/>
              <w:rPr>
                <w:rFonts w:ascii="Arial" w:hAnsi="Arial" w:cs="Arial"/>
                <w:sz w:val="20"/>
                <w:szCs w:val="20"/>
              </w:rPr>
            </w:pPr>
          </w:p>
        </w:tc>
        <w:tc>
          <w:tcPr>
            <w:tcW w:w="1530" w:type="dxa"/>
          </w:tcPr>
          <w:p w14:paraId="229B6350" w14:textId="77777777" w:rsidR="00DF3BCB" w:rsidRPr="00DB7BF9" w:rsidRDefault="00DF3BCB" w:rsidP="008D7668">
            <w:pPr>
              <w:jc w:val="left"/>
              <w:rPr>
                <w:rFonts w:ascii="Arial" w:hAnsi="Arial" w:cs="Arial"/>
                <w:sz w:val="20"/>
                <w:szCs w:val="20"/>
              </w:rPr>
            </w:pPr>
          </w:p>
        </w:tc>
        <w:tc>
          <w:tcPr>
            <w:tcW w:w="6231" w:type="dxa"/>
          </w:tcPr>
          <w:p w14:paraId="3E3DABCF" w14:textId="77777777" w:rsidR="00DF3BCB" w:rsidRPr="00DB7BF9" w:rsidRDefault="00DF3BCB" w:rsidP="008D7668">
            <w:pPr>
              <w:jc w:val="left"/>
              <w:rPr>
                <w:rFonts w:ascii="Arial" w:hAnsi="Arial" w:cs="Arial"/>
                <w:sz w:val="20"/>
                <w:szCs w:val="20"/>
              </w:rPr>
            </w:pPr>
          </w:p>
        </w:tc>
      </w:tr>
      <w:tr w:rsidR="00DF3BCB" w:rsidRPr="00DB7BF9" w14:paraId="4C0D2D4D" w14:textId="77777777" w:rsidTr="008D7668">
        <w:tc>
          <w:tcPr>
            <w:tcW w:w="1975" w:type="dxa"/>
          </w:tcPr>
          <w:p w14:paraId="78918DFD" w14:textId="77777777" w:rsidR="00DF3BCB" w:rsidRPr="00DB7BF9" w:rsidRDefault="00DF3BCB" w:rsidP="008D7668">
            <w:pPr>
              <w:jc w:val="left"/>
              <w:rPr>
                <w:rFonts w:ascii="Arial" w:hAnsi="Arial" w:cs="Arial"/>
                <w:sz w:val="20"/>
                <w:szCs w:val="20"/>
              </w:rPr>
            </w:pPr>
          </w:p>
        </w:tc>
        <w:tc>
          <w:tcPr>
            <w:tcW w:w="1530" w:type="dxa"/>
          </w:tcPr>
          <w:p w14:paraId="03012CDB" w14:textId="77777777" w:rsidR="00DF3BCB" w:rsidRPr="00DB7BF9" w:rsidRDefault="00DF3BCB" w:rsidP="008D7668">
            <w:pPr>
              <w:jc w:val="left"/>
              <w:rPr>
                <w:rFonts w:ascii="Arial" w:hAnsi="Arial" w:cs="Arial"/>
                <w:sz w:val="20"/>
                <w:szCs w:val="20"/>
              </w:rPr>
            </w:pPr>
          </w:p>
        </w:tc>
        <w:tc>
          <w:tcPr>
            <w:tcW w:w="6231" w:type="dxa"/>
          </w:tcPr>
          <w:p w14:paraId="5F229078" w14:textId="77777777" w:rsidR="00DF3BCB" w:rsidRPr="00DB7BF9" w:rsidRDefault="00DF3BCB" w:rsidP="008D7668">
            <w:pPr>
              <w:jc w:val="left"/>
              <w:rPr>
                <w:rFonts w:ascii="Arial" w:hAnsi="Arial" w:cs="Arial"/>
                <w:sz w:val="20"/>
                <w:szCs w:val="20"/>
              </w:rPr>
            </w:pPr>
          </w:p>
        </w:tc>
      </w:tr>
      <w:tr w:rsidR="00DF3BCB" w:rsidRPr="00DB7BF9" w14:paraId="7AFC0B4F" w14:textId="77777777" w:rsidTr="008D7668">
        <w:tc>
          <w:tcPr>
            <w:tcW w:w="1975" w:type="dxa"/>
          </w:tcPr>
          <w:p w14:paraId="308FCE6C" w14:textId="77777777" w:rsidR="00DF3BCB" w:rsidRPr="00DB7BF9" w:rsidRDefault="00DF3BCB" w:rsidP="008D7668">
            <w:pPr>
              <w:jc w:val="left"/>
              <w:rPr>
                <w:rFonts w:ascii="Arial" w:hAnsi="Arial" w:cs="Arial"/>
                <w:sz w:val="20"/>
                <w:szCs w:val="20"/>
              </w:rPr>
            </w:pPr>
          </w:p>
        </w:tc>
        <w:tc>
          <w:tcPr>
            <w:tcW w:w="1530" w:type="dxa"/>
          </w:tcPr>
          <w:p w14:paraId="17EECAD8" w14:textId="77777777" w:rsidR="00DF3BCB" w:rsidRPr="00DB7BF9" w:rsidRDefault="00DF3BCB" w:rsidP="008D7668">
            <w:pPr>
              <w:jc w:val="left"/>
              <w:rPr>
                <w:rFonts w:ascii="Arial" w:hAnsi="Arial" w:cs="Arial"/>
                <w:sz w:val="20"/>
                <w:szCs w:val="20"/>
              </w:rPr>
            </w:pPr>
          </w:p>
        </w:tc>
        <w:tc>
          <w:tcPr>
            <w:tcW w:w="6231" w:type="dxa"/>
          </w:tcPr>
          <w:p w14:paraId="3EE8907E" w14:textId="77777777" w:rsidR="00DF3BCB" w:rsidRPr="00DB7BF9" w:rsidRDefault="00DF3BCB" w:rsidP="008D7668">
            <w:pPr>
              <w:jc w:val="left"/>
              <w:rPr>
                <w:rFonts w:ascii="Arial" w:hAnsi="Arial" w:cs="Arial"/>
                <w:sz w:val="20"/>
                <w:szCs w:val="20"/>
              </w:rPr>
            </w:pPr>
          </w:p>
        </w:tc>
      </w:tr>
    </w:tbl>
    <w:p w14:paraId="6259B3C0" w14:textId="77777777" w:rsidR="00E60DCA" w:rsidRDefault="00E60DCA" w:rsidP="008D7668">
      <w:pPr>
        <w:rPr>
          <w:b/>
          <w:bCs/>
        </w:rPr>
      </w:pPr>
    </w:p>
    <w:p w14:paraId="2651BAD2" w14:textId="427EDA29" w:rsidR="00E60DCA" w:rsidRPr="00F84340" w:rsidRDefault="00F84340" w:rsidP="00F84340">
      <w:pPr>
        <w:pStyle w:val="Heading2"/>
        <w:numPr>
          <w:ilvl w:val="0"/>
          <w:numId w:val="0"/>
        </w:numPr>
        <w:tabs>
          <w:tab w:val="clear" w:pos="936"/>
        </w:tabs>
      </w:pPr>
      <w:r>
        <w:t>2.3</w:t>
      </w:r>
      <w:r>
        <w:tab/>
        <w:t xml:space="preserve"> Differentiation of source and target</w:t>
      </w:r>
      <w:r w:rsidR="00E60DCA" w:rsidRPr="00F84340">
        <w:t xml:space="preserve"> cells during full migration</w:t>
      </w:r>
    </w:p>
    <w:p w14:paraId="2878DD9C" w14:textId="0F689A8C"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w:t>
      </w:r>
      <w:r w:rsidR="000D05E9">
        <w:rPr>
          <w:rFonts w:ascii="Arial" w:hAnsi="Arial" w:cs="Arial"/>
          <w:sz w:val="20"/>
          <w:szCs w:val="20"/>
        </w:rPr>
        <w:t>e</w:t>
      </w:r>
      <w:r w:rsidRPr="00DB7BF9">
        <w:rPr>
          <w:rFonts w:ascii="Arial" w:hAnsi="Arial" w:cs="Arial"/>
          <w:sz w:val="20"/>
          <w:szCs w:val="20"/>
        </w:rPr>
        <w:t xml:space="preserve"> discussion on full migration </w:t>
      </w:r>
      <w:r w:rsidR="000D05E9">
        <w:rPr>
          <w:rFonts w:ascii="Arial" w:hAnsi="Arial" w:cs="Arial"/>
          <w:sz w:val="20"/>
          <w:szCs w:val="20"/>
        </w:rPr>
        <w:t>of</w:t>
      </w:r>
      <w:r w:rsidRPr="00DB7BF9">
        <w:rPr>
          <w:rFonts w:ascii="Arial" w:hAnsi="Arial" w:cs="Arial"/>
          <w:sz w:val="20"/>
          <w:szCs w:val="20"/>
        </w:rPr>
        <w:t xml:space="preserve"> stationary IAB started in Rel-17. RAN3 proposed a solution, where the UE hands over between cells of logical DUs. They asked RAN2 if these cells could share the same physical resources and/or the same PCI</w:t>
      </w:r>
      <w:r w:rsidR="000D05E9">
        <w:rPr>
          <w:rFonts w:ascii="Arial" w:hAnsi="Arial" w:cs="Arial"/>
          <w:sz w:val="20"/>
          <w:szCs w:val="20"/>
        </w:rPr>
        <w:t>s</w:t>
      </w:r>
      <w:r w:rsidRPr="00DB7BF9">
        <w:rPr>
          <w:rFonts w:ascii="Arial" w:hAnsi="Arial" w:cs="Arial"/>
          <w:sz w:val="20"/>
          <w:szCs w:val="20"/>
        </w:rPr>
        <w:t xml:space="preserve"> (LS in R2-2106950). Based on this LS, RAN2 agreed:</w:t>
      </w:r>
    </w:p>
    <w:p w14:paraId="3FDA82E9" w14:textId="77777777" w:rsidR="00E60DCA" w:rsidRPr="00DB7BF9" w:rsidRDefault="00E60DCA" w:rsidP="000D05E9">
      <w:pPr>
        <w:pStyle w:val="Agreement"/>
        <w:spacing w:before="0" w:after="120"/>
        <w:ind w:left="0" w:firstLine="144"/>
        <w:rPr>
          <w:rFonts w:cs="Arial"/>
          <w:szCs w:val="20"/>
        </w:rPr>
      </w:pPr>
      <w:r w:rsidRPr="00DB7BF9">
        <w:rPr>
          <w:rFonts w:cs="Arial"/>
          <w:szCs w:val="20"/>
        </w:rPr>
        <w:t xml:space="preserve">R2 assumes that the UE need to be able to treat the separate resources as different cells on L1. </w:t>
      </w:r>
    </w:p>
    <w:p w14:paraId="0707369C" w14:textId="3AFDB085"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3AC6A38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R2-2207122 </w:t>
      </w:r>
      <w:r w:rsidRPr="00DB7BF9">
        <w:rPr>
          <w:rFonts w:ascii="Arial" w:hAnsi="Arial" w:cs="Arial"/>
          <w:sz w:val="20"/>
          <w:szCs w:val="20"/>
        </w:rPr>
        <w:t>proposes that UEs hand over between logical cells during full migration.</w:t>
      </w:r>
    </w:p>
    <w:p w14:paraId="717CA6B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14:paraId="5613D208"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Lenovo R2-2207709</w:t>
      </w:r>
      <w:r w:rsidRPr="00DB7BF9">
        <w:rPr>
          <w:rFonts w:ascii="Arial" w:hAnsi="Arial" w:cs="Arial"/>
          <w:sz w:val="20"/>
          <w:szCs w:val="20"/>
        </w:rPr>
        <w:t xml:space="preserve"> proposes that the cells operate in the same frequency band. </w:t>
      </w:r>
    </w:p>
    <w:p w14:paraId="284B36A3" w14:textId="77777777" w:rsidR="000D05E9" w:rsidRDefault="000D05E9" w:rsidP="008D7668">
      <w:pPr>
        <w:rPr>
          <w:rFonts w:ascii="Arial" w:hAnsi="Arial" w:cs="Arial"/>
          <w:b/>
          <w:bCs/>
          <w:sz w:val="20"/>
          <w:szCs w:val="20"/>
        </w:rPr>
      </w:pPr>
    </w:p>
    <w:p w14:paraId="697ABC82" w14:textId="3B75C889" w:rsidR="00E60DCA" w:rsidRPr="00DB7BF9" w:rsidRDefault="00E60DCA" w:rsidP="008D7668">
      <w:pPr>
        <w:rPr>
          <w:rFonts w:ascii="Arial" w:hAnsi="Arial" w:cs="Arial"/>
          <w:b/>
          <w:bCs/>
          <w:sz w:val="20"/>
          <w:szCs w:val="20"/>
        </w:rPr>
      </w:pPr>
      <w:r w:rsidRPr="00DB7BF9">
        <w:rPr>
          <w:rFonts w:ascii="Arial" w:hAnsi="Arial" w:cs="Arial"/>
          <w:b/>
          <w:bCs/>
          <w:sz w:val="20"/>
          <w:szCs w:val="20"/>
        </w:rPr>
        <w:t xml:space="preserve">Proposal 3: RAN2 to discuss how the UE can differentiate the source </w:t>
      </w:r>
      <w:r w:rsidR="00B13CB3">
        <w:rPr>
          <w:rFonts w:ascii="Arial" w:hAnsi="Arial" w:cs="Arial"/>
          <w:b/>
          <w:bCs/>
          <w:sz w:val="20"/>
          <w:szCs w:val="20"/>
        </w:rPr>
        <w:t xml:space="preserve">cell </w:t>
      </w:r>
      <w:r w:rsidRPr="00DB7BF9">
        <w:rPr>
          <w:rFonts w:ascii="Arial" w:hAnsi="Arial" w:cs="Arial"/>
          <w:b/>
          <w:bCs/>
          <w:sz w:val="20"/>
          <w:szCs w:val="20"/>
        </w:rPr>
        <w:t>and target cell on the IAB-node during full migration</w:t>
      </w:r>
      <w:r w:rsidR="00027491">
        <w:rPr>
          <w:rFonts w:ascii="Arial" w:hAnsi="Arial" w:cs="Arial"/>
          <w:b/>
          <w:bCs/>
          <w:sz w:val="20"/>
          <w:szCs w:val="20"/>
        </w:rPr>
        <w:t>, e.g., based on PCI, frequency, etc</w:t>
      </w:r>
      <w:r w:rsidRPr="00DB7BF9">
        <w:rPr>
          <w:rFonts w:ascii="Arial" w:hAnsi="Arial" w:cs="Arial"/>
          <w:b/>
          <w:bCs/>
          <w:sz w:val="20"/>
          <w:szCs w:val="20"/>
        </w:rPr>
        <w:t xml:space="preserve">. </w:t>
      </w:r>
    </w:p>
    <w:p w14:paraId="77F555DF" w14:textId="0954840F" w:rsidR="00DF3BCB" w:rsidRPr="00DB7BF9" w:rsidRDefault="00DF3BCB" w:rsidP="00DF3BCB">
      <w:pPr>
        <w:rPr>
          <w:rFonts w:ascii="Arial" w:hAnsi="Arial" w:cs="Arial"/>
          <w:b/>
          <w:bCs/>
          <w:sz w:val="20"/>
          <w:szCs w:val="20"/>
        </w:rPr>
      </w:pPr>
      <w:r w:rsidRPr="00DB7BF9">
        <w:rPr>
          <w:rFonts w:ascii="Arial" w:hAnsi="Arial" w:cs="Arial"/>
          <w:b/>
          <w:bCs/>
          <w:sz w:val="20"/>
          <w:szCs w:val="20"/>
        </w:rPr>
        <w:t>Q</w:t>
      </w:r>
      <w:r w:rsidRPr="00DB7BF9">
        <w:rPr>
          <w:rFonts w:ascii="Arial" w:hAnsi="Arial" w:cs="Arial"/>
          <w:b/>
          <w:bCs/>
          <w:sz w:val="20"/>
          <w:szCs w:val="20"/>
        </w:rPr>
        <w:t>3</w:t>
      </w:r>
      <w:r w:rsidRPr="00DB7BF9">
        <w:rPr>
          <w:rFonts w:ascii="Arial" w:hAnsi="Arial" w:cs="Arial"/>
          <w:b/>
          <w:bCs/>
          <w:sz w:val="20"/>
          <w:szCs w:val="20"/>
        </w:rPr>
        <w:t>: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12574FFD" w14:textId="77777777" w:rsidTr="008D7668">
        <w:tc>
          <w:tcPr>
            <w:tcW w:w="1975" w:type="dxa"/>
            <w:shd w:val="clear" w:color="auto" w:fill="C5E0B3" w:themeFill="accent6" w:themeFillTint="66"/>
          </w:tcPr>
          <w:p w14:paraId="19EC3C7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16D906E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EEA01E4"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904D39" w14:textId="77777777" w:rsidTr="008D7668">
        <w:tc>
          <w:tcPr>
            <w:tcW w:w="1975" w:type="dxa"/>
          </w:tcPr>
          <w:p w14:paraId="3AA44D51" w14:textId="77777777" w:rsidR="00DF3BCB" w:rsidRPr="00DB7BF9" w:rsidRDefault="00DF3BCB" w:rsidP="008D7668">
            <w:pPr>
              <w:jc w:val="left"/>
              <w:rPr>
                <w:rFonts w:ascii="Arial" w:hAnsi="Arial" w:cs="Arial"/>
                <w:sz w:val="20"/>
                <w:szCs w:val="20"/>
              </w:rPr>
            </w:pPr>
          </w:p>
        </w:tc>
        <w:tc>
          <w:tcPr>
            <w:tcW w:w="1530" w:type="dxa"/>
          </w:tcPr>
          <w:p w14:paraId="4C36DCF0" w14:textId="77777777" w:rsidR="00DF3BCB" w:rsidRPr="00DB7BF9" w:rsidRDefault="00DF3BCB" w:rsidP="008D7668">
            <w:pPr>
              <w:jc w:val="left"/>
              <w:rPr>
                <w:rFonts w:ascii="Arial" w:hAnsi="Arial" w:cs="Arial"/>
                <w:sz w:val="20"/>
                <w:szCs w:val="20"/>
              </w:rPr>
            </w:pPr>
          </w:p>
        </w:tc>
        <w:tc>
          <w:tcPr>
            <w:tcW w:w="6231" w:type="dxa"/>
          </w:tcPr>
          <w:p w14:paraId="6FC6CC16" w14:textId="77777777" w:rsidR="00DF3BCB" w:rsidRPr="00DB7BF9" w:rsidRDefault="00DF3BCB" w:rsidP="008D7668">
            <w:pPr>
              <w:jc w:val="left"/>
              <w:rPr>
                <w:rFonts w:ascii="Arial" w:hAnsi="Arial" w:cs="Arial"/>
                <w:sz w:val="20"/>
                <w:szCs w:val="20"/>
              </w:rPr>
            </w:pPr>
          </w:p>
        </w:tc>
      </w:tr>
      <w:tr w:rsidR="00DF3BCB" w:rsidRPr="00DB7BF9" w14:paraId="6882F0E2" w14:textId="77777777" w:rsidTr="008D7668">
        <w:tc>
          <w:tcPr>
            <w:tcW w:w="1975" w:type="dxa"/>
          </w:tcPr>
          <w:p w14:paraId="12EF4679" w14:textId="77777777" w:rsidR="00DF3BCB" w:rsidRPr="00DB7BF9" w:rsidRDefault="00DF3BCB" w:rsidP="008D7668">
            <w:pPr>
              <w:jc w:val="left"/>
              <w:rPr>
                <w:rFonts w:ascii="Arial" w:hAnsi="Arial" w:cs="Arial"/>
                <w:sz w:val="20"/>
                <w:szCs w:val="20"/>
              </w:rPr>
            </w:pPr>
          </w:p>
        </w:tc>
        <w:tc>
          <w:tcPr>
            <w:tcW w:w="1530" w:type="dxa"/>
          </w:tcPr>
          <w:p w14:paraId="006F3D5E" w14:textId="77777777" w:rsidR="00DF3BCB" w:rsidRPr="00DB7BF9" w:rsidRDefault="00DF3BCB" w:rsidP="008D7668">
            <w:pPr>
              <w:jc w:val="left"/>
              <w:rPr>
                <w:rFonts w:ascii="Arial" w:hAnsi="Arial" w:cs="Arial"/>
                <w:sz w:val="20"/>
                <w:szCs w:val="20"/>
              </w:rPr>
            </w:pPr>
          </w:p>
        </w:tc>
        <w:tc>
          <w:tcPr>
            <w:tcW w:w="6231" w:type="dxa"/>
          </w:tcPr>
          <w:p w14:paraId="4691F579" w14:textId="77777777" w:rsidR="00DF3BCB" w:rsidRPr="00DB7BF9" w:rsidRDefault="00DF3BCB" w:rsidP="008D7668">
            <w:pPr>
              <w:jc w:val="left"/>
              <w:rPr>
                <w:rFonts w:ascii="Arial" w:hAnsi="Arial" w:cs="Arial"/>
                <w:sz w:val="20"/>
                <w:szCs w:val="20"/>
              </w:rPr>
            </w:pPr>
          </w:p>
        </w:tc>
      </w:tr>
      <w:tr w:rsidR="00DF3BCB" w:rsidRPr="00DB7BF9" w14:paraId="2131079A" w14:textId="77777777" w:rsidTr="008D7668">
        <w:tc>
          <w:tcPr>
            <w:tcW w:w="1975" w:type="dxa"/>
          </w:tcPr>
          <w:p w14:paraId="025FEFD0" w14:textId="77777777" w:rsidR="00DF3BCB" w:rsidRPr="00DB7BF9" w:rsidRDefault="00DF3BCB" w:rsidP="008D7668">
            <w:pPr>
              <w:jc w:val="left"/>
              <w:rPr>
                <w:rFonts w:ascii="Arial" w:hAnsi="Arial" w:cs="Arial"/>
                <w:sz w:val="20"/>
                <w:szCs w:val="20"/>
              </w:rPr>
            </w:pPr>
          </w:p>
        </w:tc>
        <w:tc>
          <w:tcPr>
            <w:tcW w:w="1530" w:type="dxa"/>
          </w:tcPr>
          <w:p w14:paraId="357FACA5" w14:textId="77777777" w:rsidR="00DF3BCB" w:rsidRPr="00DB7BF9" w:rsidRDefault="00DF3BCB" w:rsidP="008D7668">
            <w:pPr>
              <w:jc w:val="left"/>
              <w:rPr>
                <w:rFonts w:ascii="Arial" w:hAnsi="Arial" w:cs="Arial"/>
                <w:sz w:val="20"/>
                <w:szCs w:val="20"/>
              </w:rPr>
            </w:pPr>
          </w:p>
        </w:tc>
        <w:tc>
          <w:tcPr>
            <w:tcW w:w="6231" w:type="dxa"/>
          </w:tcPr>
          <w:p w14:paraId="7E0F049D" w14:textId="77777777" w:rsidR="00DF3BCB" w:rsidRPr="00DB7BF9" w:rsidRDefault="00DF3BCB" w:rsidP="008D7668">
            <w:pPr>
              <w:jc w:val="left"/>
              <w:rPr>
                <w:rFonts w:ascii="Arial" w:hAnsi="Arial" w:cs="Arial"/>
                <w:sz w:val="20"/>
                <w:szCs w:val="20"/>
              </w:rPr>
            </w:pPr>
          </w:p>
        </w:tc>
      </w:tr>
      <w:tr w:rsidR="00DF3BCB" w:rsidRPr="00DB7BF9" w14:paraId="7237861F" w14:textId="77777777" w:rsidTr="008D7668">
        <w:tc>
          <w:tcPr>
            <w:tcW w:w="1975" w:type="dxa"/>
          </w:tcPr>
          <w:p w14:paraId="70FD6F7E" w14:textId="77777777" w:rsidR="00DF3BCB" w:rsidRPr="00DB7BF9" w:rsidRDefault="00DF3BCB" w:rsidP="008D7668">
            <w:pPr>
              <w:jc w:val="left"/>
              <w:rPr>
                <w:rFonts w:ascii="Arial" w:hAnsi="Arial" w:cs="Arial"/>
                <w:sz w:val="20"/>
                <w:szCs w:val="20"/>
              </w:rPr>
            </w:pPr>
          </w:p>
        </w:tc>
        <w:tc>
          <w:tcPr>
            <w:tcW w:w="1530" w:type="dxa"/>
          </w:tcPr>
          <w:p w14:paraId="45AB18BA" w14:textId="77777777" w:rsidR="00DF3BCB" w:rsidRPr="00DB7BF9" w:rsidRDefault="00DF3BCB" w:rsidP="008D7668">
            <w:pPr>
              <w:jc w:val="left"/>
              <w:rPr>
                <w:rFonts w:ascii="Arial" w:hAnsi="Arial" w:cs="Arial"/>
                <w:sz w:val="20"/>
                <w:szCs w:val="20"/>
              </w:rPr>
            </w:pPr>
          </w:p>
        </w:tc>
        <w:tc>
          <w:tcPr>
            <w:tcW w:w="6231" w:type="dxa"/>
          </w:tcPr>
          <w:p w14:paraId="4FE07D66" w14:textId="77777777" w:rsidR="00DF3BCB" w:rsidRPr="00DB7BF9" w:rsidRDefault="00DF3BCB" w:rsidP="008D7668">
            <w:pPr>
              <w:jc w:val="left"/>
              <w:rPr>
                <w:rFonts w:ascii="Arial" w:hAnsi="Arial" w:cs="Arial"/>
                <w:sz w:val="20"/>
                <w:szCs w:val="20"/>
              </w:rPr>
            </w:pPr>
          </w:p>
        </w:tc>
      </w:tr>
      <w:tr w:rsidR="00DF3BCB" w:rsidRPr="00DB7BF9" w14:paraId="0FFC4A23" w14:textId="77777777" w:rsidTr="008D7668">
        <w:tc>
          <w:tcPr>
            <w:tcW w:w="1975" w:type="dxa"/>
          </w:tcPr>
          <w:p w14:paraId="57214BD2" w14:textId="77777777" w:rsidR="00DF3BCB" w:rsidRPr="00DB7BF9" w:rsidRDefault="00DF3BCB" w:rsidP="008D7668">
            <w:pPr>
              <w:jc w:val="left"/>
              <w:rPr>
                <w:rFonts w:ascii="Arial" w:hAnsi="Arial" w:cs="Arial"/>
                <w:sz w:val="20"/>
                <w:szCs w:val="20"/>
              </w:rPr>
            </w:pPr>
          </w:p>
        </w:tc>
        <w:tc>
          <w:tcPr>
            <w:tcW w:w="1530" w:type="dxa"/>
          </w:tcPr>
          <w:p w14:paraId="33669B2B" w14:textId="77777777" w:rsidR="00DF3BCB" w:rsidRPr="00DB7BF9" w:rsidRDefault="00DF3BCB" w:rsidP="008D7668">
            <w:pPr>
              <w:jc w:val="left"/>
              <w:rPr>
                <w:rFonts w:ascii="Arial" w:hAnsi="Arial" w:cs="Arial"/>
                <w:sz w:val="20"/>
                <w:szCs w:val="20"/>
              </w:rPr>
            </w:pPr>
          </w:p>
        </w:tc>
        <w:tc>
          <w:tcPr>
            <w:tcW w:w="6231" w:type="dxa"/>
          </w:tcPr>
          <w:p w14:paraId="025B9F56" w14:textId="77777777" w:rsidR="00DF3BCB" w:rsidRPr="00DB7BF9" w:rsidRDefault="00DF3BCB" w:rsidP="008D7668">
            <w:pPr>
              <w:jc w:val="left"/>
              <w:rPr>
                <w:rFonts w:ascii="Arial" w:hAnsi="Arial" w:cs="Arial"/>
                <w:sz w:val="20"/>
                <w:szCs w:val="20"/>
              </w:rPr>
            </w:pPr>
          </w:p>
        </w:tc>
      </w:tr>
      <w:tr w:rsidR="00DF3BCB" w:rsidRPr="00DB7BF9" w14:paraId="64349599" w14:textId="77777777" w:rsidTr="008D7668">
        <w:tc>
          <w:tcPr>
            <w:tcW w:w="1975" w:type="dxa"/>
          </w:tcPr>
          <w:p w14:paraId="5CB4D46B" w14:textId="77777777" w:rsidR="00DF3BCB" w:rsidRPr="00DB7BF9" w:rsidRDefault="00DF3BCB" w:rsidP="008D7668">
            <w:pPr>
              <w:jc w:val="left"/>
              <w:rPr>
                <w:rFonts w:ascii="Arial" w:hAnsi="Arial" w:cs="Arial"/>
                <w:sz w:val="20"/>
                <w:szCs w:val="20"/>
              </w:rPr>
            </w:pPr>
          </w:p>
        </w:tc>
        <w:tc>
          <w:tcPr>
            <w:tcW w:w="1530" w:type="dxa"/>
          </w:tcPr>
          <w:p w14:paraId="2045E417" w14:textId="77777777" w:rsidR="00DF3BCB" w:rsidRPr="00DB7BF9" w:rsidRDefault="00DF3BCB" w:rsidP="008D7668">
            <w:pPr>
              <w:jc w:val="left"/>
              <w:rPr>
                <w:rFonts w:ascii="Arial" w:hAnsi="Arial" w:cs="Arial"/>
                <w:sz w:val="20"/>
                <w:szCs w:val="20"/>
              </w:rPr>
            </w:pPr>
          </w:p>
        </w:tc>
        <w:tc>
          <w:tcPr>
            <w:tcW w:w="6231" w:type="dxa"/>
          </w:tcPr>
          <w:p w14:paraId="344C0A51" w14:textId="77777777" w:rsidR="00DF3BCB" w:rsidRPr="00DB7BF9" w:rsidRDefault="00DF3BCB" w:rsidP="008D7668">
            <w:pPr>
              <w:jc w:val="left"/>
              <w:rPr>
                <w:rFonts w:ascii="Arial" w:hAnsi="Arial" w:cs="Arial"/>
                <w:sz w:val="20"/>
                <w:szCs w:val="20"/>
              </w:rPr>
            </w:pPr>
          </w:p>
        </w:tc>
      </w:tr>
    </w:tbl>
    <w:p w14:paraId="249EA736" w14:textId="77777777" w:rsidR="00E60DCA" w:rsidRPr="00DB7BF9" w:rsidRDefault="00E60DCA" w:rsidP="008D7668">
      <w:pPr>
        <w:rPr>
          <w:rFonts w:ascii="Arial" w:hAnsi="Arial" w:cs="Arial"/>
          <w:sz w:val="20"/>
          <w:szCs w:val="20"/>
        </w:rPr>
      </w:pPr>
    </w:p>
    <w:p w14:paraId="7581903D" w14:textId="77777777" w:rsidR="00E60DCA" w:rsidRDefault="00E60DCA" w:rsidP="008D7668">
      <w:pPr>
        <w:rPr>
          <w:b/>
          <w:bCs/>
          <w:lang w:val="en-GB"/>
        </w:rPr>
      </w:pPr>
    </w:p>
    <w:p w14:paraId="06877B42" w14:textId="00927A8C" w:rsidR="00E60DCA" w:rsidRPr="00135FA0" w:rsidRDefault="00F84340" w:rsidP="00F84340">
      <w:pPr>
        <w:pStyle w:val="Heading2"/>
        <w:numPr>
          <w:ilvl w:val="0"/>
          <w:numId w:val="0"/>
        </w:numPr>
        <w:rPr>
          <w:lang w:val="en-GB"/>
        </w:rPr>
      </w:pPr>
      <w:r>
        <w:rPr>
          <w:lang w:val="en-GB"/>
        </w:rPr>
        <w:t>2.4</w:t>
      </w:r>
      <w:r>
        <w:rPr>
          <w:lang w:val="en-GB"/>
        </w:rPr>
        <w:tab/>
        <w:t xml:space="preserve"> </w:t>
      </w:r>
      <w:r w:rsidR="00E60DCA" w:rsidRPr="00135FA0">
        <w:rPr>
          <w:lang w:val="en-GB"/>
        </w:rPr>
        <w:t>PCI collision avoidance</w:t>
      </w:r>
    </w:p>
    <w:p w14:paraId="169059A3"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The following contributions propose to investigate PCI collision issues due to mobile IAB:</w:t>
      </w:r>
    </w:p>
    <w:p w14:paraId="3ACB80B5" w14:textId="6AB7BA22"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lang w:val="en-GB"/>
        </w:rPr>
        <w:t xml:space="preserve">Intel R2-2207122, Qualcomm R2-2207284, Sharp R2-2208251, Nokia R2-2208343, Apple R2-2207422, </w:t>
      </w:r>
      <w:r w:rsidRPr="00DB7BF9">
        <w:rPr>
          <w:rFonts w:ascii="Arial" w:hAnsi="Arial" w:cs="Arial"/>
          <w:b/>
          <w:bCs/>
          <w:sz w:val="20"/>
          <w:szCs w:val="20"/>
        </w:rPr>
        <w:t>Vivo R2-2208459</w:t>
      </w:r>
      <w:r w:rsidRPr="00DB7BF9">
        <w:rPr>
          <w:rFonts w:ascii="Arial" w:hAnsi="Arial" w:cs="Arial"/>
          <w:sz w:val="20"/>
          <w:szCs w:val="20"/>
        </w:rPr>
        <w:t xml:space="preserve"> propose to discuss solutions to PCI collision.</w:t>
      </w:r>
    </w:p>
    <w:p w14:paraId="2C1565F7"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Samsung R2-2207627 </w:t>
      </w:r>
      <w:r w:rsidRPr="00DB7BF9">
        <w:rPr>
          <w:rFonts w:ascii="Arial" w:hAnsi="Arial" w:cs="Arial"/>
          <w:sz w:val="20"/>
          <w:szCs w:val="20"/>
          <w:lang w:val="en-GB"/>
        </w:rPr>
        <w:t>proposes to wait</w:t>
      </w:r>
      <w:r w:rsidRPr="00DB7BF9">
        <w:rPr>
          <w:rFonts w:ascii="Arial" w:hAnsi="Arial" w:cs="Arial"/>
          <w:sz w:val="20"/>
          <w:szCs w:val="20"/>
        </w:rPr>
        <w:t xml:space="preserve"> for RAN3 feedback. RAN2 to study impact on UEs.</w:t>
      </w:r>
    </w:p>
    <w:p w14:paraId="4BF56FC6"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an explicit solution to PCI change to avoid collision</w:t>
      </w:r>
    </w:p>
    <w:p w14:paraId="21CDDDDE"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Sony R2-2207827 </w:t>
      </w:r>
      <w:r w:rsidRPr="00DB7BF9">
        <w:rPr>
          <w:rFonts w:ascii="Arial" w:hAnsi="Arial" w:cs="Arial"/>
          <w:sz w:val="20"/>
          <w:szCs w:val="20"/>
          <w:lang w:val="en-GB"/>
        </w:rPr>
        <w:t>proposes that IAB-node reports its location to detect PCI collision</w:t>
      </w:r>
    </w:p>
    <w:p w14:paraId="71C54671" w14:textId="05BD283F"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Ericsson R2-228104 </w:t>
      </w:r>
      <w:r w:rsidRPr="00DB7BF9">
        <w:rPr>
          <w:rFonts w:ascii="Arial" w:hAnsi="Arial" w:cs="Arial"/>
          <w:sz w:val="20"/>
          <w:szCs w:val="20"/>
          <w:lang w:val="en-GB"/>
        </w:rPr>
        <w:t xml:space="preserve">proposes that existing mechanisms </w:t>
      </w:r>
      <w:r w:rsidR="007535FA">
        <w:rPr>
          <w:rFonts w:ascii="Arial" w:hAnsi="Arial" w:cs="Arial"/>
          <w:sz w:val="20"/>
          <w:szCs w:val="20"/>
          <w:lang w:val="en-GB"/>
        </w:rPr>
        <w:t>should</w:t>
      </w:r>
      <w:r w:rsidRPr="00DB7BF9">
        <w:rPr>
          <w:rFonts w:ascii="Arial" w:hAnsi="Arial" w:cs="Arial"/>
          <w:sz w:val="20"/>
          <w:szCs w:val="20"/>
          <w:lang w:val="en-GB"/>
        </w:rPr>
        <w:t xml:space="preserve"> be considered.</w:t>
      </w:r>
    </w:p>
    <w:p w14:paraId="382C511E" w14:textId="5B9B0F0D"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The rapporteur sees the following </w:t>
      </w:r>
      <w:r w:rsidR="00F0498E">
        <w:rPr>
          <w:rFonts w:ascii="Arial" w:hAnsi="Arial" w:cs="Arial"/>
          <w:sz w:val="20"/>
          <w:szCs w:val="20"/>
        </w:rPr>
        <w:t>issues</w:t>
      </w:r>
      <w:r w:rsidRPr="00DB7BF9">
        <w:rPr>
          <w:rFonts w:ascii="Arial" w:hAnsi="Arial" w:cs="Arial"/>
          <w:sz w:val="20"/>
          <w:szCs w:val="20"/>
        </w:rPr>
        <w:t xml:space="preserve">: </w:t>
      </w:r>
    </w:p>
    <w:p w14:paraId="1730AD50" w14:textId="3720A092" w:rsidR="00E60DCA" w:rsidRPr="00DB7BF9" w:rsidRDefault="00E60DCA" w:rsidP="000D05E9">
      <w:pPr>
        <w:pStyle w:val="ListParagraph"/>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PCI partitioning, e.g., via network planning</w:t>
      </w:r>
      <w:r w:rsidR="00F0498E">
        <w:rPr>
          <w:rFonts w:ascii="Arial" w:hAnsi="Arial" w:cs="Arial"/>
          <w:sz w:val="20"/>
          <w:szCs w:val="20"/>
        </w:rPr>
        <w:t xml:space="preserve"> mechanisms</w:t>
      </w:r>
      <w:r w:rsidRPr="00DB7BF9">
        <w:rPr>
          <w:rFonts w:ascii="Arial" w:hAnsi="Arial" w:cs="Arial"/>
          <w:sz w:val="20"/>
          <w:szCs w:val="20"/>
        </w:rPr>
        <w:t>, can be used. This approach</w:t>
      </w:r>
      <w:r w:rsidR="00F0498E">
        <w:rPr>
          <w:rFonts w:ascii="Arial" w:hAnsi="Arial" w:cs="Arial"/>
          <w:sz w:val="20"/>
          <w:szCs w:val="20"/>
        </w:rPr>
        <w:t xml:space="preserve"> may</w:t>
      </w:r>
      <w:r w:rsidRPr="00DB7BF9">
        <w:rPr>
          <w:rFonts w:ascii="Arial" w:hAnsi="Arial" w:cs="Arial"/>
          <w:sz w:val="20"/>
          <w:szCs w:val="20"/>
        </w:rPr>
        <w:t xml:space="preserve"> not scale </w:t>
      </w:r>
      <w:r w:rsidR="00F0498E">
        <w:rPr>
          <w:rFonts w:ascii="Arial" w:hAnsi="Arial" w:cs="Arial"/>
          <w:sz w:val="20"/>
          <w:szCs w:val="20"/>
        </w:rPr>
        <w:t xml:space="preserve">very </w:t>
      </w:r>
      <w:r w:rsidRPr="00DB7BF9">
        <w:rPr>
          <w:rFonts w:ascii="Arial" w:hAnsi="Arial" w:cs="Arial"/>
          <w:sz w:val="20"/>
          <w:szCs w:val="20"/>
        </w:rPr>
        <w:t>well to large number of mIAB-node</w:t>
      </w:r>
      <w:r w:rsidR="007535FA">
        <w:rPr>
          <w:rFonts w:ascii="Arial" w:hAnsi="Arial" w:cs="Arial"/>
          <w:sz w:val="20"/>
          <w:szCs w:val="20"/>
        </w:rPr>
        <w:t>s</w:t>
      </w:r>
      <w:r w:rsidRPr="00DB7BF9">
        <w:rPr>
          <w:rFonts w:ascii="Arial" w:hAnsi="Arial" w:cs="Arial"/>
          <w:sz w:val="20"/>
          <w:szCs w:val="20"/>
        </w:rPr>
        <w:t xml:space="preserve"> since there are only 100</w:t>
      </w:r>
      <w:r w:rsidR="007535FA">
        <w:rPr>
          <w:rFonts w:ascii="Arial" w:hAnsi="Arial" w:cs="Arial"/>
          <w:sz w:val="20"/>
          <w:szCs w:val="20"/>
        </w:rPr>
        <w:t>8</w:t>
      </w:r>
      <w:r w:rsidRPr="00DB7BF9">
        <w:rPr>
          <w:rFonts w:ascii="Arial" w:hAnsi="Arial" w:cs="Arial"/>
          <w:sz w:val="20"/>
          <w:szCs w:val="20"/>
        </w:rPr>
        <w:t xml:space="preserve"> PCI values</w:t>
      </w:r>
      <w:r w:rsidR="00F0498E">
        <w:rPr>
          <w:rFonts w:ascii="Arial" w:hAnsi="Arial" w:cs="Arial"/>
          <w:sz w:val="20"/>
          <w:szCs w:val="20"/>
        </w:rPr>
        <w:t xml:space="preserve"> available</w:t>
      </w:r>
      <w:r w:rsidRPr="00DB7BF9">
        <w:rPr>
          <w:rFonts w:ascii="Arial" w:hAnsi="Arial" w:cs="Arial"/>
          <w:sz w:val="20"/>
          <w:szCs w:val="20"/>
        </w:rPr>
        <w:t>.</w:t>
      </w:r>
    </w:p>
    <w:p w14:paraId="41759F7E" w14:textId="5AB3BA52" w:rsidR="00E60DCA" w:rsidRPr="00DB7BF9" w:rsidRDefault="00E60DCA" w:rsidP="000D05E9">
      <w:pPr>
        <w:pStyle w:val="ListParagraph"/>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 xml:space="preserve">Dynamic mechanisms could be applied where the PCI </w:t>
      </w:r>
      <w:r w:rsidR="00F0498E">
        <w:rPr>
          <w:rFonts w:ascii="Arial" w:hAnsi="Arial" w:cs="Arial"/>
          <w:sz w:val="20"/>
          <w:szCs w:val="20"/>
        </w:rPr>
        <w:t>of the</w:t>
      </w:r>
      <w:r w:rsidRPr="00DB7BF9">
        <w:rPr>
          <w:rFonts w:ascii="Arial" w:hAnsi="Arial" w:cs="Arial"/>
          <w:sz w:val="20"/>
          <w:szCs w:val="20"/>
        </w:rPr>
        <w:t xml:space="preserve"> IAB-node is changed based on information </w:t>
      </w:r>
      <w:r w:rsidR="00F0498E">
        <w:rPr>
          <w:rFonts w:ascii="Arial" w:hAnsi="Arial" w:cs="Arial"/>
          <w:sz w:val="20"/>
          <w:szCs w:val="20"/>
        </w:rPr>
        <w:t>on actual or potential</w:t>
      </w:r>
      <w:r w:rsidRPr="00DB7BF9">
        <w:rPr>
          <w:rFonts w:ascii="Arial" w:hAnsi="Arial" w:cs="Arial"/>
          <w:sz w:val="20"/>
          <w:szCs w:val="20"/>
        </w:rPr>
        <w:t xml:space="preserve"> PCI collision. </w:t>
      </w:r>
      <w:r w:rsidR="00F0498E">
        <w:rPr>
          <w:rFonts w:ascii="Arial" w:hAnsi="Arial" w:cs="Arial"/>
          <w:sz w:val="20"/>
          <w:szCs w:val="20"/>
        </w:rPr>
        <w:t>S</w:t>
      </w:r>
      <w:r w:rsidRPr="00DB7BF9">
        <w:rPr>
          <w:rFonts w:ascii="Arial" w:hAnsi="Arial" w:cs="Arial"/>
          <w:sz w:val="20"/>
          <w:szCs w:val="20"/>
        </w:rPr>
        <w:t xml:space="preserve">uch PCI change </w:t>
      </w:r>
      <w:r w:rsidR="00F0498E">
        <w:rPr>
          <w:rFonts w:ascii="Arial" w:hAnsi="Arial" w:cs="Arial"/>
          <w:sz w:val="20"/>
          <w:szCs w:val="20"/>
        </w:rPr>
        <w:t xml:space="preserve">procedures </w:t>
      </w:r>
      <w:r w:rsidRPr="00DB7BF9">
        <w:rPr>
          <w:rFonts w:ascii="Arial" w:hAnsi="Arial" w:cs="Arial"/>
          <w:sz w:val="20"/>
          <w:szCs w:val="20"/>
        </w:rPr>
        <w:t>need to be defined by RAN3.</w:t>
      </w:r>
    </w:p>
    <w:p w14:paraId="58747EE9" w14:textId="553A86BC" w:rsidR="00E60DCA" w:rsidRPr="00DB7BF9" w:rsidRDefault="00E60DCA" w:rsidP="000D05E9">
      <w:pPr>
        <w:pStyle w:val="ListParagraph"/>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 xml:space="preserve">RAN2 could define mechanisms to obtain information on </w:t>
      </w:r>
      <w:r w:rsidR="00F0498E">
        <w:rPr>
          <w:rFonts w:ascii="Arial" w:hAnsi="Arial" w:cs="Arial"/>
          <w:sz w:val="20"/>
          <w:szCs w:val="20"/>
        </w:rPr>
        <w:t>actual or potential</w:t>
      </w:r>
      <w:r w:rsidRPr="00DB7BF9">
        <w:rPr>
          <w:rFonts w:ascii="Arial" w:hAnsi="Arial" w:cs="Arial"/>
          <w:sz w:val="20"/>
          <w:szCs w:val="20"/>
        </w:rPr>
        <w:t xml:space="preserve"> PCI collision</w:t>
      </w:r>
      <w:r w:rsidR="00F0498E">
        <w:rPr>
          <w:rFonts w:ascii="Arial" w:hAnsi="Arial" w:cs="Arial"/>
          <w:sz w:val="20"/>
          <w:szCs w:val="20"/>
        </w:rPr>
        <w:t xml:space="preserve">s from information </w:t>
      </w:r>
      <w:r w:rsidR="00441319">
        <w:rPr>
          <w:rFonts w:ascii="Arial" w:hAnsi="Arial" w:cs="Arial"/>
          <w:sz w:val="20"/>
          <w:szCs w:val="20"/>
        </w:rPr>
        <w:t xml:space="preserve">that is </w:t>
      </w:r>
      <w:r w:rsidR="00F0498E">
        <w:rPr>
          <w:rFonts w:ascii="Arial" w:hAnsi="Arial" w:cs="Arial"/>
          <w:sz w:val="20"/>
          <w:szCs w:val="20"/>
        </w:rPr>
        <w:t>available on the RAN</w:t>
      </w:r>
      <w:r w:rsidR="00441319">
        <w:rPr>
          <w:rFonts w:ascii="Arial" w:hAnsi="Arial" w:cs="Arial"/>
          <w:sz w:val="20"/>
          <w:szCs w:val="20"/>
        </w:rPr>
        <w:t>,</w:t>
      </w:r>
      <w:r w:rsidRPr="00DB7BF9">
        <w:rPr>
          <w:rFonts w:ascii="Arial" w:hAnsi="Arial" w:cs="Arial"/>
          <w:sz w:val="20"/>
          <w:szCs w:val="20"/>
        </w:rPr>
        <w:t xml:space="preserve"> e.g., </w:t>
      </w:r>
      <w:r w:rsidR="00F0498E">
        <w:rPr>
          <w:rFonts w:ascii="Arial" w:hAnsi="Arial" w:cs="Arial"/>
          <w:sz w:val="20"/>
          <w:szCs w:val="20"/>
        </w:rPr>
        <w:t>UE and</w:t>
      </w:r>
      <w:r w:rsidR="00441319">
        <w:rPr>
          <w:rFonts w:ascii="Arial" w:hAnsi="Arial" w:cs="Arial"/>
          <w:sz w:val="20"/>
          <w:szCs w:val="20"/>
        </w:rPr>
        <w:t>/or</w:t>
      </w:r>
      <w:r w:rsidR="00F0498E">
        <w:rPr>
          <w:rFonts w:ascii="Arial" w:hAnsi="Arial" w:cs="Arial"/>
          <w:sz w:val="20"/>
          <w:szCs w:val="20"/>
        </w:rPr>
        <w:t xml:space="preserve"> IAB-MT</w:t>
      </w:r>
      <w:r w:rsidRPr="00DB7BF9">
        <w:rPr>
          <w:rFonts w:ascii="Arial" w:hAnsi="Arial" w:cs="Arial"/>
          <w:sz w:val="20"/>
          <w:szCs w:val="20"/>
        </w:rPr>
        <w:t xml:space="preserve"> measurements</w:t>
      </w:r>
      <w:r w:rsidR="00F0498E">
        <w:rPr>
          <w:rFonts w:ascii="Arial" w:hAnsi="Arial" w:cs="Arial"/>
          <w:sz w:val="20"/>
          <w:szCs w:val="20"/>
        </w:rPr>
        <w:t xml:space="preserve"> report, the mIAB-node’s mobility information or location history, route prediction, etc.</w:t>
      </w:r>
      <w:r w:rsidRPr="00DB7BF9">
        <w:rPr>
          <w:rFonts w:ascii="Arial" w:hAnsi="Arial" w:cs="Arial"/>
          <w:sz w:val="20"/>
          <w:szCs w:val="20"/>
        </w:rPr>
        <w:t xml:space="preserve">. Such information </w:t>
      </w:r>
      <w:r w:rsidR="00F0498E">
        <w:rPr>
          <w:rFonts w:ascii="Arial" w:hAnsi="Arial" w:cs="Arial"/>
          <w:sz w:val="20"/>
          <w:szCs w:val="20"/>
        </w:rPr>
        <w:t>may</w:t>
      </w:r>
      <w:r w:rsidRPr="00DB7BF9">
        <w:rPr>
          <w:rFonts w:ascii="Arial" w:hAnsi="Arial" w:cs="Arial"/>
          <w:sz w:val="20"/>
          <w:szCs w:val="20"/>
        </w:rPr>
        <w:t xml:space="preserve"> have benefit for PCI </w:t>
      </w:r>
      <w:r w:rsidR="00F0498E">
        <w:rPr>
          <w:rFonts w:ascii="Arial" w:hAnsi="Arial" w:cs="Arial"/>
          <w:sz w:val="20"/>
          <w:szCs w:val="20"/>
        </w:rPr>
        <w:t>planning</w:t>
      </w:r>
      <w:r w:rsidRPr="00DB7BF9">
        <w:rPr>
          <w:rFonts w:ascii="Arial" w:hAnsi="Arial" w:cs="Arial"/>
          <w:sz w:val="20"/>
          <w:szCs w:val="20"/>
        </w:rPr>
        <w:t xml:space="preserve"> as well as </w:t>
      </w:r>
      <w:r w:rsidR="00F0498E">
        <w:rPr>
          <w:rFonts w:ascii="Arial" w:hAnsi="Arial" w:cs="Arial"/>
          <w:sz w:val="20"/>
          <w:szCs w:val="20"/>
        </w:rPr>
        <w:t xml:space="preserve">for </w:t>
      </w:r>
      <w:r w:rsidRPr="00DB7BF9">
        <w:rPr>
          <w:rFonts w:ascii="Arial" w:hAnsi="Arial" w:cs="Arial"/>
          <w:sz w:val="20"/>
          <w:szCs w:val="20"/>
        </w:rPr>
        <w:t xml:space="preserve">dynamic PCI-change </w:t>
      </w:r>
      <w:r w:rsidR="00441319">
        <w:rPr>
          <w:rFonts w:ascii="Arial" w:hAnsi="Arial" w:cs="Arial"/>
          <w:sz w:val="20"/>
          <w:szCs w:val="20"/>
        </w:rPr>
        <w:t>procedures</w:t>
      </w:r>
      <w:r w:rsidRPr="00DB7BF9">
        <w:rPr>
          <w:rFonts w:ascii="Arial" w:hAnsi="Arial" w:cs="Arial"/>
          <w:sz w:val="20"/>
          <w:szCs w:val="20"/>
        </w:rPr>
        <w:t>.</w:t>
      </w:r>
    </w:p>
    <w:p w14:paraId="2CA036CC" w14:textId="77777777" w:rsidR="000D05E9" w:rsidRDefault="000D05E9" w:rsidP="000D05E9">
      <w:pPr>
        <w:spacing w:after="120" w:line="240" w:lineRule="auto"/>
        <w:rPr>
          <w:rFonts w:ascii="Arial" w:hAnsi="Arial" w:cs="Arial"/>
          <w:b/>
          <w:bCs/>
          <w:sz w:val="20"/>
          <w:szCs w:val="20"/>
        </w:rPr>
      </w:pPr>
    </w:p>
    <w:p w14:paraId="26825E2C" w14:textId="222A278D" w:rsidR="00F0498E" w:rsidRPr="00DB7BF9" w:rsidRDefault="00F0498E" w:rsidP="00F0498E">
      <w:pPr>
        <w:spacing w:after="120" w:line="240" w:lineRule="auto"/>
        <w:rPr>
          <w:rFonts w:ascii="Arial" w:hAnsi="Arial" w:cs="Arial"/>
          <w:b/>
          <w:bCs/>
          <w:sz w:val="20"/>
          <w:szCs w:val="20"/>
        </w:rPr>
      </w:pPr>
      <w:r w:rsidRPr="00DB7BF9">
        <w:rPr>
          <w:rFonts w:ascii="Arial" w:hAnsi="Arial" w:cs="Arial"/>
          <w:b/>
          <w:bCs/>
          <w:sz w:val="20"/>
          <w:szCs w:val="20"/>
        </w:rPr>
        <w:t xml:space="preserve">Proposal 4: RAN2 to discuss </w:t>
      </w:r>
      <w:r>
        <w:rPr>
          <w:rFonts w:ascii="Arial" w:hAnsi="Arial" w:cs="Arial"/>
          <w:b/>
          <w:bCs/>
          <w:sz w:val="20"/>
          <w:szCs w:val="20"/>
        </w:rPr>
        <w:t xml:space="preserve">mechanism for the RAN to obtain information </w:t>
      </w:r>
      <w:r w:rsidR="0020235B">
        <w:rPr>
          <w:rFonts w:ascii="Arial" w:hAnsi="Arial" w:cs="Arial"/>
          <w:b/>
          <w:bCs/>
          <w:sz w:val="20"/>
          <w:szCs w:val="20"/>
        </w:rPr>
        <w:t>on</w:t>
      </w:r>
      <w:r>
        <w:rPr>
          <w:rFonts w:ascii="Arial" w:hAnsi="Arial" w:cs="Arial"/>
          <w:b/>
          <w:bCs/>
          <w:sz w:val="20"/>
          <w:szCs w:val="20"/>
        </w:rPr>
        <w:t xml:space="preserve"> actual or potential PCI collisions.</w:t>
      </w:r>
    </w:p>
    <w:p w14:paraId="33390DC6" w14:textId="1D327D5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w:t>
      </w:r>
      <w:r w:rsidRPr="00DB7BF9">
        <w:rPr>
          <w:rFonts w:ascii="Arial" w:hAnsi="Arial" w:cs="Arial"/>
          <w:b/>
          <w:bCs/>
          <w:sz w:val="20"/>
          <w:szCs w:val="20"/>
        </w:rPr>
        <w:t>4</w:t>
      </w:r>
      <w:r w:rsidRPr="00DB7BF9">
        <w:rPr>
          <w:rFonts w:ascii="Arial" w:hAnsi="Arial" w:cs="Arial"/>
          <w:b/>
          <w:bCs/>
          <w:sz w:val="20"/>
          <w:szCs w:val="20"/>
        </w:rPr>
        <w:t>: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05CD671C" w14:textId="77777777" w:rsidTr="008D7668">
        <w:tc>
          <w:tcPr>
            <w:tcW w:w="1975" w:type="dxa"/>
            <w:shd w:val="clear" w:color="auto" w:fill="C5E0B3" w:themeFill="accent6" w:themeFillTint="66"/>
          </w:tcPr>
          <w:p w14:paraId="2ED22AB0"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4FBC7F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0D836BD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6DA5173F" w14:textId="77777777" w:rsidTr="008D7668">
        <w:tc>
          <w:tcPr>
            <w:tcW w:w="1975" w:type="dxa"/>
          </w:tcPr>
          <w:p w14:paraId="33F959A4" w14:textId="77777777" w:rsidR="00DF3BCB" w:rsidRPr="00DB7BF9" w:rsidRDefault="00DF3BCB" w:rsidP="008D7668">
            <w:pPr>
              <w:jc w:val="left"/>
              <w:rPr>
                <w:rFonts w:ascii="Arial" w:hAnsi="Arial" w:cs="Arial"/>
                <w:sz w:val="20"/>
                <w:szCs w:val="20"/>
              </w:rPr>
            </w:pPr>
          </w:p>
        </w:tc>
        <w:tc>
          <w:tcPr>
            <w:tcW w:w="1530" w:type="dxa"/>
          </w:tcPr>
          <w:p w14:paraId="7FF0B274" w14:textId="77777777" w:rsidR="00DF3BCB" w:rsidRPr="00DB7BF9" w:rsidRDefault="00DF3BCB" w:rsidP="008D7668">
            <w:pPr>
              <w:jc w:val="left"/>
              <w:rPr>
                <w:rFonts w:ascii="Arial" w:hAnsi="Arial" w:cs="Arial"/>
                <w:sz w:val="20"/>
                <w:szCs w:val="20"/>
              </w:rPr>
            </w:pPr>
          </w:p>
        </w:tc>
        <w:tc>
          <w:tcPr>
            <w:tcW w:w="6231" w:type="dxa"/>
          </w:tcPr>
          <w:p w14:paraId="4FFB1017" w14:textId="77777777" w:rsidR="00DF3BCB" w:rsidRPr="00DB7BF9" w:rsidRDefault="00DF3BCB" w:rsidP="008D7668">
            <w:pPr>
              <w:jc w:val="left"/>
              <w:rPr>
                <w:rFonts w:ascii="Arial" w:hAnsi="Arial" w:cs="Arial"/>
                <w:sz w:val="20"/>
                <w:szCs w:val="20"/>
              </w:rPr>
            </w:pPr>
          </w:p>
        </w:tc>
      </w:tr>
      <w:tr w:rsidR="00DF3BCB" w:rsidRPr="00DB7BF9" w14:paraId="2C43CB09" w14:textId="77777777" w:rsidTr="008D7668">
        <w:tc>
          <w:tcPr>
            <w:tcW w:w="1975" w:type="dxa"/>
          </w:tcPr>
          <w:p w14:paraId="7179C45E" w14:textId="77777777" w:rsidR="00DF3BCB" w:rsidRPr="00DB7BF9" w:rsidRDefault="00DF3BCB" w:rsidP="008D7668">
            <w:pPr>
              <w:jc w:val="left"/>
              <w:rPr>
                <w:rFonts w:ascii="Arial" w:hAnsi="Arial" w:cs="Arial"/>
                <w:sz w:val="20"/>
                <w:szCs w:val="20"/>
              </w:rPr>
            </w:pPr>
          </w:p>
        </w:tc>
        <w:tc>
          <w:tcPr>
            <w:tcW w:w="1530" w:type="dxa"/>
          </w:tcPr>
          <w:p w14:paraId="676F4D59" w14:textId="77777777" w:rsidR="00DF3BCB" w:rsidRPr="00DB7BF9" w:rsidRDefault="00DF3BCB" w:rsidP="008D7668">
            <w:pPr>
              <w:jc w:val="left"/>
              <w:rPr>
                <w:rFonts w:ascii="Arial" w:hAnsi="Arial" w:cs="Arial"/>
                <w:sz w:val="20"/>
                <w:szCs w:val="20"/>
              </w:rPr>
            </w:pPr>
          </w:p>
        </w:tc>
        <w:tc>
          <w:tcPr>
            <w:tcW w:w="6231" w:type="dxa"/>
          </w:tcPr>
          <w:p w14:paraId="33F72B45" w14:textId="77777777" w:rsidR="00DF3BCB" w:rsidRPr="00DB7BF9" w:rsidRDefault="00DF3BCB" w:rsidP="008D7668">
            <w:pPr>
              <w:jc w:val="left"/>
              <w:rPr>
                <w:rFonts w:ascii="Arial" w:hAnsi="Arial" w:cs="Arial"/>
                <w:sz w:val="20"/>
                <w:szCs w:val="20"/>
              </w:rPr>
            </w:pPr>
          </w:p>
        </w:tc>
      </w:tr>
      <w:tr w:rsidR="00DF3BCB" w:rsidRPr="00DB7BF9" w14:paraId="0E80B41F" w14:textId="77777777" w:rsidTr="008D7668">
        <w:tc>
          <w:tcPr>
            <w:tcW w:w="1975" w:type="dxa"/>
          </w:tcPr>
          <w:p w14:paraId="3FD0F15C" w14:textId="77777777" w:rsidR="00DF3BCB" w:rsidRPr="00DB7BF9" w:rsidRDefault="00DF3BCB" w:rsidP="008D7668">
            <w:pPr>
              <w:jc w:val="left"/>
              <w:rPr>
                <w:rFonts w:ascii="Arial" w:hAnsi="Arial" w:cs="Arial"/>
                <w:sz w:val="20"/>
                <w:szCs w:val="20"/>
              </w:rPr>
            </w:pPr>
          </w:p>
        </w:tc>
        <w:tc>
          <w:tcPr>
            <w:tcW w:w="1530" w:type="dxa"/>
          </w:tcPr>
          <w:p w14:paraId="4DC82F23" w14:textId="77777777" w:rsidR="00DF3BCB" w:rsidRPr="00DB7BF9" w:rsidRDefault="00DF3BCB" w:rsidP="008D7668">
            <w:pPr>
              <w:jc w:val="left"/>
              <w:rPr>
                <w:rFonts w:ascii="Arial" w:hAnsi="Arial" w:cs="Arial"/>
                <w:sz w:val="20"/>
                <w:szCs w:val="20"/>
              </w:rPr>
            </w:pPr>
          </w:p>
        </w:tc>
        <w:tc>
          <w:tcPr>
            <w:tcW w:w="6231" w:type="dxa"/>
          </w:tcPr>
          <w:p w14:paraId="13C52DF4" w14:textId="77777777" w:rsidR="00DF3BCB" w:rsidRPr="00DB7BF9" w:rsidRDefault="00DF3BCB" w:rsidP="008D7668">
            <w:pPr>
              <w:jc w:val="left"/>
              <w:rPr>
                <w:rFonts w:ascii="Arial" w:hAnsi="Arial" w:cs="Arial"/>
                <w:sz w:val="20"/>
                <w:szCs w:val="20"/>
              </w:rPr>
            </w:pPr>
          </w:p>
        </w:tc>
      </w:tr>
      <w:tr w:rsidR="00DF3BCB" w:rsidRPr="00DB7BF9" w14:paraId="2C2DEC79" w14:textId="77777777" w:rsidTr="008D7668">
        <w:tc>
          <w:tcPr>
            <w:tcW w:w="1975" w:type="dxa"/>
          </w:tcPr>
          <w:p w14:paraId="7A8AD1DD" w14:textId="77777777" w:rsidR="00DF3BCB" w:rsidRPr="00DB7BF9" w:rsidRDefault="00DF3BCB" w:rsidP="008D7668">
            <w:pPr>
              <w:jc w:val="left"/>
              <w:rPr>
                <w:rFonts w:ascii="Arial" w:hAnsi="Arial" w:cs="Arial"/>
                <w:sz w:val="20"/>
                <w:szCs w:val="20"/>
              </w:rPr>
            </w:pPr>
          </w:p>
        </w:tc>
        <w:tc>
          <w:tcPr>
            <w:tcW w:w="1530" w:type="dxa"/>
          </w:tcPr>
          <w:p w14:paraId="3AA20BDD" w14:textId="77777777" w:rsidR="00DF3BCB" w:rsidRPr="00DB7BF9" w:rsidRDefault="00DF3BCB" w:rsidP="008D7668">
            <w:pPr>
              <w:jc w:val="left"/>
              <w:rPr>
                <w:rFonts w:ascii="Arial" w:hAnsi="Arial" w:cs="Arial"/>
                <w:sz w:val="20"/>
                <w:szCs w:val="20"/>
              </w:rPr>
            </w:pPr>
          </w:p>
        </w:tc>
        <w:tc>
          <w:tcPr>
            <w:tcW w:w="6231" w:type="dxa"/>
          </w:tcPr>
          <w:p w14:paraId="75ADEB6F" w14:textId="77777777" w:rsidR="00DF3BCB" w:rsidRPr="00DB7BF9" w:rsidRDefault="00DF3BCB" w:rsidP="008D7668">
            <w:pPr>
              <w:jc w:val="left"/>
              <w:rPr>
                <w:rFonts w:ascii="Arial" w:hAnsi="Arial" w:cs="Arial"/>
                <w:sz w:val="20"/>
                <w:szCs w:val="20"/>
              </w:rPr>
            </w:pPr>
          </w:p>
        </w:tc>
      </w:tr>
      <w:tr w:rsidR="00DF3BCB" w:rsidRPr="00DB7BF9" w14:paraId="10F2D860" w14:textId="77777777" w:rsidTr="008D7668">
        <w:tc>
          <w:tcPr>
            <w:tcW w:w="1975" w:type="dxa"/>
          </w:tcPr>
          <w:p w14:paraId="78D5AE34" w14:textId="77777777" w:rsidR="00DF3BCB" w:rsidRPr="00DB7BF9" w:rsidRDefault="00DF3BCB" w:rsidP="008D7668">
            <w:pPr>
              <w:jc w:val="left"/>
              <w:rPr>
                <w:rFonts w:ascii="Arial" w:hAnsi="Arial" w:cs="Arial"/>
                <w:sz w:val="20"/>
                <w:szCs w:val="20"/>
              </w:rPr>
            </w:pPr>
          </w:p>
        </w:tc>
        <w:tc>
          <w:tcPr>
            <w:tcW w:w="1530" w:type="dxa"/>
          </w:tcPr>
          <w:p w14:paraId="3888EF56" w14:textId="77777777" w:rsidR="00DF3BCB" w:rsidRPr="00DB7BF9" w:rsidRDefault="00DF3BCB" w:rsidP="008D7668">
            <w:pPr>
              <w:jc w:val="left"/>
              <w:rPr>
                <w:rFonts w:ascii="Arial" w:hAnsi="Arial" w:cs="Arial"/>
                <w:sz w:val="20"/>
                <w:szCs w:val="20"/>
              </w:rPr>
            </w:pPr>
          </w:p>
        </w:tc>
        <w:tc>
          <w:tcPr>
            <w:tcW w:w="6231" w:type="dxa"/>
          </w:tcPr>
          <w:p w14:paraId="78528630" w14:textId="77777777" w:rsidR="00DF3BCB" w:rsidRPr="00DB7BF9" w:rsidRDefault="00DF3BCB" w:rsidP="008D7668">
            <w:pPr>
              <w:jc w:val="left"/>
              <w:rPr>
                <w:rFonts w:ascii="Arial" w:hAnsi="Arial" w:cs="Arial"/>
                <w:sz w:val="20"/>
                <w:szCs w:val="20"/>
              </w:rPr>
            </w:pPr>
          </w:p>
        </w:tc>
      </w:tr>
      <w:tr w:rsidR="00DF3BCB" w:rsidRPr="00DB7BF9" w14:paraId="58BEE533" w14:textId="77777777" w:rsidTr="008D7668">
        <w:tc>
          <w:tcPr>
            <w:tcW w:w="1975" w:type="dxa"/>
          </w:tcPr>
          <w:p w14:paraId="4F6394F2" w14:textId="77777777" w:rsidR="00DF3BCB" w:rsidRPr="00DB7BF9" w:rsidRDefault="00DF3BCB" w:rsidP="008D7668">
            <w:pPr>
              <w:jc w:val="left"/>
              <w:rPr>
                <w:rFonts w:ascii="Arial" w:hAnsi="Arial" w:cs="Arial"/>
                <w:sz w:val="20"/>
                <w:szCs w:val="20"/>
              </w:rPr>
            </w:pPr>
          </w:p>
        </w:tc>
        <w:tc>
          <w:tcPr>
            <w:tcW w:w="1530" w:type="dxa"/>
          </w:tcPr>
          <w:p w14:paraId="3A55D8FD" w14:textId="77777777" w:rsidR="00DF3BCB" w:rsidRPr="00DB7BF9" w:rsidRDefault="00DF3BCB" w:rsidP="008D7668">
            <w:pPr>
              <w:jc w:val="left"/>
              <w:rPr>
                <w:rFonts w:ascii="Arial" w:hAnsi="Arial" w:cs="Arial"/>
                <w:sz w:val="20"/>
                <w:szCs w:val="20"/>
              </w:rPr>
            </w:pPr>
          </w:p>
        </w:tc>
        <w:tc>
          <w:tcPr>
            <w:tcW w:w="6231" w:type="dxa"/>
          </w:tcPr>
          <w:p w14:paraId="0A7229EB" w14:textId="77777777" w:rsidR="00DF3BCB" w:rsidRPr="00DB7BF9" w:rsidRDefault="00DF3BCB" w:rsidP="008D7668">
            <w:pPr>
              <w:jc w:val="left"/>
              <w:rPr>
                <w:rFonts w:ascii="Arial" w:hAnsi="Arial" w:cs="Arial"/>
                <w:sz w:val="20"/>
                <w:szCs w:val="20"/>
              </w:rPr>
            </w:pPr>
          </w:p>
        </w:tc>
      </w:tr>
    </w:tbl>
    <w:p w14:paraId="0C0286B6" w14:textId="77777777" w:rsidR="00E60DCA" w:rsidRPr="00DB7BF9" w:rsidRDefault="00E60DCA" w:rsidP="008D7668">
      <w:pPr>
        <w:rPr>
          <w:rFonts w:ascii="Arial" w:hAnsi="Arial" w:cs="Arial"/>
          <w:b/>
          <w:bCs/>
          <w:sz w:val="20"/>
          <w:szCs w:val="20"/>
        </w:rPr>
      </w:pPr>
    </w:p>
    <w:p w14:paraId="57F69D7A" w14:textId="221587BF" w:rsidR="00E60DCA" w:rsidRPr="00135FA0" w:rsidRDefault="00F84340" w:rsidP="00F84340">
      <w:pPr>
        <w:pStyle w:val="Heading2"/>
        <w:numPr>
          <w:ilvl w:val="0"/>
          <w:numId w:val="0"/>
        </w:numPr>
        <w:rPr>
          <w:lang w:val="en-GB"/>
        </w:rPr>
      </w:pPr>
      <w:r>
        <w:rPr>
          <w:lang w:val="en-GB"/>
        </w:rPr>
        <w:lastRenderedPageBreak/>
        <w:t xml:space="preserve">2.5 </w:t>
      </w:r>
      <w:r>
        <w:rPr>
          <w:lang w:val="en-GB"/>
        </w:rPr>
        <w:tab/>
      </w:r>
      <w:r w:rsidR="00E60DCA">
        <w:rPr>
          <w:lang w:val="en-GB"/>
        </w:rPr>
        <w:t>RACH resource</w:t>
      </w:r>
      <w:r w:rsidR="00E60DCA" w:rsidRPr="00135FA0">
        <w:rPr>
          <w:lang w:val="en-GB"/>
        </w:rPr>
        <w:t xml:space="preserve"> collision avoidance</w:t>
      </w:r>
    </w:p>
    <w:p w14:paraId="2B04355A" w14:textId="27C6D0E4"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rPr>
        <w:t>Huawei: R2-2207129,</w:t>
      </w:r>
      <w:r w:rsidRPr="00DB7BF9">
        <w:rPr>
          <w:rFonts w:ascii="Arial" w:hAnsi="Arial" w:cs="Arial"/>
          <w:b/>
          <w:bCs/>
          <w:sz w:val="20"/>
          <w:szCs w:val="20"/>
          <w:lang w:val="en-GB"/>
        </w:rPr>
        <w:t xml:space="preserve"> Lenovo R2-2207709</w:t>
      </w:r>
      <w:r w:rsidR="007B1E1D">
        <w:rPr>
          <w:rFonts w:ascii="Arial" w:hAnsi="Arial" w:cs="Arial"/>
          <w:b/>
          <w:bCs/>
          <w:sz w:val="20"/>
          <w:szCs w:val="20"/>
          <w:lang w:val="en-GB"/>
        </w:rPr>
        <w:t>,</w:t>
      </w:r>
      <w:r w:rsidRPr="00DB7BF9">
        <w:rPr>
          <w:rFonts w:ascii="Arial" w:hAnsi="Arial" w:cs="Arial"/>
          <w:b/>
          <w:bCs/>
          <w:sz w:val="20"/>
          <w:szCs w:val="20"/>
          <w:lang w:val="en-GB"/>
        </w:rPr>
        <w:t xml:space="preserve"> Ericsson R2-228104 </w:t>
      </w:r>
      <w:r w:rsidRPr="00DB7BF9">
        <w:rPr>
          <w:rFonts w:ascii="Arial" w:hAnsi="Arial" w:cs="Arial"/>
          <w:sz w:val="20"/>
          <w:szCs w:val="20"/>
          <w:lang w:val="en-GB"/>
        </w:rPr>
        <w:t>discuss RACH collision issues related to mobile IAB. Generally, there is the feeling that the existing mechanisms may be sufficient. The contributions further propose sending an LS to RAN1 and ask if they anticipate any RACH collision issues for mobile IAB.</w:t>
      </w:r>
    </w:p>
    <w:p w14:paraId="699FA836" w14:textId="77777777" w:rsidR="000D05E9" w:rsidRDefault="000D05E9" w:rsidP="000D05E9">
      <w:pPr>
        <w:spacing w:after="120" w:line="240" w:lineRule="auto"/>
        <w:rPr>
          <w:rFonts w:ascii="Arial" w:hAnsi="Arial" w:cs="Arial"/>
          <w:b/>
          <w:bCs/>
          <w:sz w:val="20"/>
          <w:szCs w:val="20"/>
        </w:rPr>
      </w:pPr>
    </w:p>
    <w:p w14:paraId="5B7F83FA" w14:textId="0451175C"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 xml:space="preserve">Proposal 5: Send LS to RAN1 to ask if </w:t>
      </w:r>
      <w:r w:rsidR="00D36D48">
        <w:rPr>
          <w:rFonts w:ascii="Arial" w:hAnsi="Arial" w:cs="Arial"/>
          <w:b/>
          <w:bCs/>
          <w:sz w:val="20"/>
          <w:szCs w:val="20"/>
        </w:rPr>
        <w:t>they</w:t>
      </w:r>
      <w:r w:rsidRPr="00DB7BF9">
        <w:rPr>
          <w:rFonts w:ascii="Arial" w:hAnsi="Arial" w:cs="Arial"/>
          <w:b/>
          <w:bCs/>
          <w:sz w:val="20"/>
          <w:szCs w:val="20"/>
        </w:rPr>
        <w:t xml:space="preserve"> see RACH collision issue</w:t>
      </w:r>
      <w:r w:rsidR="007B1E1D">
        <w:rPr>
          <w:rFonts w:ascii="Arial" w:hAnsi="Arial" w:cs="Arial"/>
          <w:b/>
          <w:bCs/>
          <w:sz w:val="20"/>
          <w:szCs w:val="20"/>
        </w:rPr>
        <w:t>s</w:t>
      </w:r>
      <w:r w:rsidRPr="00DB7BF9">
        <w:rPr>
          <w:rFonts w:ascii="Arial" w:hAnsi="Arial" w:cs="Arial"/>
          <w:b/>
          <w:bCs/>
          <w:sz w:val="20"/>
          <w:szCs w:val="20"/>
        </w:rPr>
        <w:t xml:space="preserve"> for mobile IAB.</w:t>
      </w:r>
    </w:p>
    <w:p w14:paraId="4C191CA0" w14:textId="6CB0B9E6"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w:t>
      </w:r>
      <w:r w:rsidRPr="00DB7BF9">
        <w:rPr>
          <w:rFonts w:ascii="Arial" w:hAnsi="Arial" w:cs="Arial"/>
          <w:b/>
          <w:bCs/>
          <w:sz w:val="20"/>
          <w:szCs w:val="20"/>
        </w:rPr>
        <w:t>5</w:t>
      </w:r>
      <w:r w:rsidRPr="00DB7BF9">
        <w:rPr>
          <w:rFonts w:ascii="Arial" w:hAnsi="Arial" w:cs="Arial"/>
          <w:b/>
          <w:bCs/>
          <w:sz w:val="20"/>
          <w:szCs w:val="20"/>
        </w:rPr>
        <w:t>: Do you support this proposal. If not, please provide reasons</w:t>
      </w:r>
      <w:r w:rsidR="00657288">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44FB047E" w14:textId="77777777" w:rsidTr="008D7668">
        <w:tc>
          <w:tcPr>
            <w:tcW w:w="1975" w:type="dxa"/>
            <w:shd w:val="clear" w:color="auto" w:fill="C5E0B3" w:themeFill="accent6" w:themeFillTint="66"/>
          </w:tcPr>
          <w:p w14:paraId="7A6C1218"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1EFF191C"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3B72FA59"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1ADD0F" w14:textId="77777777" w:rsidTr="008D7668">
        <w:tc>
          <w:tcPr>
            <w:tcW w:w="1975" w:type="dxa"/>
          </w:tcPr>
          <w:p w14:paraId="6CE83FA5" w14:textId="77777777" w:rsidR="00DF3BCB" w:rsidRPr="00DB7BF9" w:rsidRDefault="00DF3BCB" w:rsidP="008D7668">
            <w:pPr>
              <w:jc w:val="left"/>
              <w:rPr>
                <w:rFonts w:ascii="Arial" w:hAnsi="Arial" w:cs="Arial"/>
                <w:sz w:val="20"/>
                <w:szCs w:val="20"/>
              </w:rPr>
            </w:pPr>
          </w:p>
        </w:tc>
        <w:tc>
          <w:tcPr>
            <w:tcW w:w="1530" w:type="dxa"/>
          </w:tcPr>
          <w:p w14:paraId="24DE9009" w14:textId="77777777" w:rsidR="00DF3BCB" w:rsidRPr="00DB7BF9" w:rsidRDefault="00DF3BCB" w:rsidP="008D7668">
            <w:pPr>
              <w:jc w:val="left"/>
              <w:rPr>
                <w:rFonts w:ascii="Arial" w:hAnsi="Arial" w:cs="Arial"/>
                <w:sz w:val="20"/>
                <w:szCs w:val="20"/>
              </w:rPr>
            </w:pPr>
          </w:p>
        </w:tc>
        <w:tc>
          <w:tcPr>
            <w:tcW w:w="6231" w:type="dxa"/>
          </w:tcPr>
          <w:p w14:paraId="09485CC0" w14:textId="77777777" w:rsidR="00DF3BCB" w:rsidRPr="00DB7BF9" w:rsidRDefault="00DF3BCB" w:rsidP="008D7668">
            <w:pPr>
              <w:jc w:val="left"/>
              <w:rPr>
                <w:rFonts w:ascii="Arial" w:hAnsi="Arial" w:cs="Arial"/>
                <w:sz w:val="20"/>
                <w:szCs w:val="20"/>
              </w:rPr>
            </w:pPr>
          </w:p>
        </w:tc>
      </w:tr>
      <w:tr w:rsidR="00DF3BCB" w:rsidRPr="00DB7BF9" w14:paraId="224815E8" w14:textId="77777777" w:rsidTr="008D7668">
        <w:tc>
          <w:tcPr>
            <w:tcW w:w="1975" w:type="dxa"/>
          </w:tcPr>
          <w:p w14:paraId="799F61D6" w14:textId="77777777" w:rsidR="00DF3BCB" w:rsidRPr="00DB7BF9" w:rsidRDefault="00DF3BCB" w:rsidP="008D7668">
            <w:pPr>
              <w:jc w:val="left"/>
              <w:rPr>
                <w:rFonts w:ascii="Arial" w:hAnsi="Arial" w:cs="Arial"/>
                <w:sz w:val="20"/>
                <w:szCs w:val="20"/>
              </w:rPr>
            </w:pPr>
          </w:p>
        </w:tc>
        <w:tc>
          <w:tcPr>
            <w:tcW w:w="1530" w:type="dxa"/>
          </w:tcPr>
          <w:p w14:paraId="72794354" w14:textId="77777777" w:rsidR="00DF3BCB" w:rsidRPr="00DB7BF9" w:rsidRDefault="00DF3BCB" w:rsidP="008D7668">
            <w:pPr>
              <w:jc w:val="left"/>
              <w:rPr>
                <w:rFonts w:ascii="Arial" w:hAnsi="Arial" w:cs="Arial"/>
                <w:sz w:val="20"/>
                <w:szCs w:val="20"/>
              </w:rPr>
            </w:pPr>
          </w:p>
        </w:tc>
        <w:tc>
          <w:tcPr>
            <w:tcW w:w="6231" w:type="dxa"/>
          </w:tcPr>
          <w:p w14:paraId="3118DFA2" w14:textId="77777777" w:rsidR="00DF3BCB" w:rsidRPr="00DB7BF9" w:rsidRDefault="00DF3BCB" w:rsidP="008D7668">
            <w:pPr>
              <w:jc w:val="left"/>
              <w:rPr>
                <w:rFonts w:ascii="Arial" w:hAnsi="Arial" w:cs="Arial"/>
                <w:sz w:val="20"/>
                <w:szCs w:val="20"/>
              </w:rPr>
            </w:pPr>
          </w:p>
        </w:tc>
      </w:tr>
      <w:tr w:rsidR="00DF3BCB" w:rsidRPr="00DB7BF9" w14:paraId="469ADD4E" w14:textId="77777777" w:rsidTr="008D7668">
        <w:tc>
          <w:tcPr>
            <w:tcW w:w="1975" w:type="dxa"/>
          </w:tcPr>
          <w:p w14:paraId="427D26C5" w14:textId="77777777" w:rsidR="00DF3BCB" w:rsidRPr="00DB7BF9" w:rsidRDefault="00DF3BCB" w:rsidP="008D7668">
            <w:pPr>
              <w:jc w:val="left"/>
              <w:rPr>
                <w:rFonts w:ascii="Arial" w:hAnsi="Arial" w:cs="Arial"/>
                <w:sz w:val="20"/>
                <w:szCs w:val="20"/>
              </w:rPr>
            </w:pPr>
          </w:p>
        </w:tc>
        <w:tc>
          <w:tcPr>
            <w:tcW w:w="1530" w:type="dxa"/>
          </w:tcPr>
          <w:p w14:paraId="564523F7" w14:textId="77777777" w:rsidR="00DF3BCB" w:rsidRPr="00DB7BF9" w:rsidRDefault="00DF3BCB" w:rsidP="008D7668">
            <w:pPr>
              <w:jc w:val="left"/>
              <w:rPr>
                <w:rFonts w:ascii="Arial" w:hAnsi="Arial" w:cs="Arial"/>
                <w:sz w:val="20"/>
                <w:szCs w:val="20"/>
              </w:rPr>
            </w:pPr>
          </w:p>
        </w:tc>
        <w:tc>
          <w:tcPr>
            <w:tcW w:w="6231" w:type="dxa"/>
          </w:tcPr>
          <w:p w14:paraId="358190C0" w14:textId="77777777" w:rsidR="00DF3BCB" w:rsidRPr="00DB7BF9" w:rsidRDefault="00DF3BCB" w:rsidP="008D7668">
            <w:pPr>
              <w:jc w:val="left"/>
              <w:rPr>
                <w:rFonts w:ascii="Arial" w:hAnsi="Arial" w:cs="Arial"/>
                <w:sz w:val="20"/>
                <w:szCs w:val="20"/>
              </w:rPr>
            </w:pPr>
          </w:p>
        </w:tc>
      </w:tr>
      <w:tr w:rsidR="00DF3BCB" w:rsidRPr="00DB7BF9" w14:paraId="304A63F1" w14:textId="77777777" w:rsidTr="008D7668">
        <w:tc>
          <w:tcPr>
            <w:tcW w:w="1975" w:type="dxa"/>
          </w:tcPr>
          <w:p w14:paraId="3E28E515" w14:textId="77777777" w:rsidR="00DF3BCB" w:rsidRPr="00DB7BF9" w:rsidRDefault="00DF3BCB" w:rsidP="008D7668">
            <w:pPr>
              <w:jc w:val="left"/>
              <w:rPr>
                <w:rFonts w:ascii="Arial" w:hAnsi="Arial" w:cs="Arial"/>
                <w:sz w:val="20"/>
                <w:szCs w:val="20"/>
              </w:rPr>
            </w:pPr>
          </w:p>
        </w:tc>
        <w:tc>
          <w:tcPr>
            <w:tcW w:w="1530" w:type="dxa"/>
          </w:tcPr>
          <w:p w14:paraId="41E9381C" w14:textId="77777777" w:rsidR="00DF3BCB" w:rsidRPr="00DB7BF9" w:rsidRDefault="00DF3BCB" w:rsidP="008D7668">
            <w:pPr>
              <w:jc w:val="left"/>
              <w:rPr>
                <w:rFonts w:ascii="Arial" w:hAnsi="Arial" w:cs="Arial"/>
                <w:sz w:val="20"/>
                <w:szCs w:val="20"/>
              </w:rPr>
            </w:pPr>
          </w:p>
        </w:tc>
        <w:tc>
          <w:tcPr>
            <w:tcW w:w="6231" w:type="dxa"/>
          </w:tcPr>
          <w:p w14:paraId="2B1A7013" w14:textId="77777777" w:rsidR="00DF3BCB" w:rsidRPr="00DB7BF9" w:rsidRDefault="00DF3BCB" w:rsidP="008D7668">
            <w:pPr>
              <w:jc w:val="left"/>
              <w:rPr>
                <w:rFonts w:ascii="Arial" w:hAnsi="Arial" w:cs="Arial"/>
                <w:sz w:val="20"/>
                <w:szCs w:val="20"/>
              </w:rPr>
            </w:pPr>
          </w:p>
        </w:tc>
      </w:tr>
      <w:tr w:rsidR="00DF3BCB" w:rsidRPr="00DB7BF9" w14:paraId="6B96D3B7" w14:textId="77777777" w:rsidTr="008D7668">
        <w:tc>
          <w:tcPr>
            <w:tcW w:w="1975" w:type="dxa"/>
          </w:tcPr>
          <w:p w14:paraId="30E8E2A1" w14:textId="77777777" w:rsidR="00DF3BCB" w:rsidRPr="00DB7BF9" w:rsidRDefault="00DF3BCB" w:rsidP="008D7668">
            <w:pPr>
              <w:jc w:val="left"/>
              <w:rPr>
                <w:rFonts w:ascii="Arial" w:hAnsi="Arial" w:cs="Arial"/>
                <w:sz w:val="20"/>
                <w:szCs w:val="20"/>
              </w:rPr>
            </w:pPr>
          </w:p>
        </w:tc>
        <w:tc>
          <w:tcPr>
            <w:tcW w:w="1530" w:type="dxa"/>
          </w:tcPr>
          <w:p w14:paraId="714AF84D" w14:textId="77777777" w:rsidR="00DF3BCB" w:rsidRPr="00DB7BF9" w:rsidRDefault="00DF3BCB" w:rsidP="008D7668">
            <w:pPr>
              <w:jc w:val="left"/>
              <w:rPr>
                <w:rFonts w:ascii="Arial" w:hAnsi="Arial" w:cs="Arial"/>
                <w:sz w:val="20"/>
                <w:szCs w:val="20"/>
              </w:rPr>
            </w:pPr>
          </w:p>
        </w:tc>
        <w:tc>
          <w:tcPr>
            <w:tcW w:w="6231" w:type="dxa"/>
          </w:tcPr>
          <w:p w14:paraId="64249C8E" w14:textId="77777777" w:rsidR="00DF3BCB" w:rsidRPr="00DB7BF9" w:rsidRDefault="00DF3BCB" w:rsidP="008D7668">
            <w:pPr>
              <w:jc w:val="left"/>
              <w:rPr>
                <w:rFonts w:ascii="Arial" w:hAnsi="Arial" w:cs="Arial"/>
                <w:sz w:val="20"/>
                <w:szCs w:val="20"/>
              </w:rPr>
            </w:pPr>
          </w:p>
        </w:tc>
      </w:tr>
      <w:tr w:rsidR="00DF3BCB" w:rsidRPr="00DB7BF9" w14:paraId="488C5E76" w14:textId="77777777" w:rsidTr="008D7668">
        <w:tc>
          <w:tcPr>
            <w:tcW w:w="1975" w:type="dxa"/>
          </w:tcPr>
          <w:p w14:paraId="14451569" w14:textId="77777777" w:rsidR="00DF3BCB" w:rsidRPr="00DB7BF9" w:rsidRDefault="00DF3BCB" w:rsidP="008D7668">
            <w:pPr>
              <w:jc w:val="left"/>
              <w:rPr>
                <w:rFonts w:ascii="Arial" w:hAnsi="Arial" w:cs="Arial"/>
                <w:sz w:val="20"/>
                <w:szCs w:val="20"/>
              </w:rPr>
            </w:pPr>
          </w:p>
        </w:tc>
        <w:tc>
          <w:tcPr>
            <w:tcW w:w="1530" w:type="dxa"/>
          </w:tcPr>
          <w:p w14:paraId="39530F6C" w14:textId="77777777" w:rsidR="00DF3BCB" w:rsidRPr="00DB7BF9" w:rsidRDefault="00DF3BCB" w:rsidP="008D7668">
            <w:pPr>
              <w:jc w:val="left"/>
              <w:rPr>
                <w:rFonts w:ascii="Arial" w:hAnsi="Arial" w:cs="Arial"/>
                <w:sz w:val="20"/>
                <w:szCs w:val="20"/>
              </w:rPr>
            </w:pPr>
          </w:p>
        </w:tc>
        <w:tc>
          <w:tcPr>
            <w:tcW w:w="6231" w:type="dxa"/>
          </w:tcPr>
          <w:p w14:paraId="42837781" w14:textId="77777777" w:rsidR="00DF3BCB" w:rsidRPr="00DB7BF9" w:rsidRDefault="00DF3BCB" w:rsidP="008D7668">
            <w:pPr>
              <w:jc w:val="left"/>
              <w:rPr>
                <w:rFonts w:ascii="Arial" w:hAnsi="Arial" w:cs="Arial"/>
                <w:sz w:val="20"/>
                <w:szCs w:val="20"/>
              </w:rPr>
            </w:pPr>
          </w:p>
        </w:tc>
      </w:tr>
    </w:tbl>
    <w:p w14:paraId="45F6F632" w14:textId="77777777" w:rsidR="00E60DCA" w:rsidRPr="00DB7BF9" w:rsidRDefault="00E60DCA" w:rsidP="008D7668">
      <w:pPr>
        <w:rPr>
          <w:rFonts w:ascii="Arial" w:hAnsi="Arial" w:cs="Arial"/>
          <w:b/>
          <w:bCs/>
          <w:sz w:val="20"/>
          <w:szCs w:val="20"/>
        </w:rPr>
      </w:pPr>
    </w:p>
    <w:p w14:paraId="306D3C63" w14:textId="77777777" w:rsidR="00E60DCA" w:rsidRDefault="00E60DCA" w:rsidP="008D7668">
      <w:pPr>
        <w:rPr>
          <w:b/>
          <w:bCs/>
        </w:rPr>
      </w:pPr>
    </w:p>
    <w:p w14:paraId="181AF755" w14:textId="3733B7FE" w:rsidR="00730C22" w:rsidRDefault="00E60DCA" w:rsidP="00EF58CE">
      <w:pPr>
        <w:pStyle w:val="Heading1"/>
      </w:pPr>
      <w:r>
        <w:t>Conclusion</w:t>
      </w:r>
    </w:p>
    <w:p w14:paraId="56264EDC" w14:textId="693B3DA3" w:rsidR="00E60DCA" w:rsidRPr="00E60DCA" w:rsidRDefault="00E60DCA" w:rsidP="00E60DCA">
      <w:pPr>
        <w:rPr>
          <w:lang w:eastAsia="ja-JP"/>
        </w:rPr>
      </w:pPr>
      <w:r>
        <w:rPr>
          <w:lang w:eastAsia="ja-JP"/>
        </w:rPr>
        <w:t>…</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436AC4EF" w14:textId="2B036880" w:rsidR="00CE64DE" w:rsidRPr="00597EEC" w:rsidRDefault="00CE64DE" w:rsidP="00EF58CE">
      <w:pPr>
        <w:ind w:left="811"/>
        <w:jc w:val="left"/>
        <w:rPr>
          <w:rFonts w:ascii="Arial" w:hAnsi="Arial" w:cs="Arial"/>
          <w:b/>
        </w:rPr>
      </w:pPr>
    </w:p>
    <w:sectPr w:rsidR="00CE64DE" w:rsidRPr="00597EE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0A896" w14:textId="77777777" w:rsidR="0062798E" w:rsidRDefault="0062798E" w:rsidP="002A3524">
      <w:pPr>
        <w:spacing w:after="0" w:line="240" w:lineRule="auto"/>
      </w:pPr>
      <w:r>
        <w:separator/>
      </w:r>
    </w:p>
  </w:endnote>
  <w:endnote w:type="continuationSeparator" w:id="0">
    <w:p w14:paraId="75F77B11" w14:textId="77777777" w:rsidR="0062798E" w:rsidRDefault="0062798E"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2B3A7" w14:textId="77777777" w:rsidR="0062798E" w:rsidRDefault="0062798E" w:rsidP="002A3524">
      <w:pPr>
        <w:spacing w:after="0" w:line="240" w:lineRule="auto"/>
      </w:pPr>
      <w:r>
        <w:separator/>
      </w:r>
    </w:p>
  </w:footnote>
  <w:footnote w:type="continuationSeparator" w:id="0">
    <w:p w14:paraId="04A951C4" w14:textId="77777777" w:rsidR="0062798E" w:rsidRDefault="0062798E" w:rsidP="002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936"/>
        </w:tabs>
        <w:ind w:left="93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6" w15:restartNumberingAfterBreak="0">
    <w:nsid w:val="37450609"/>
    <w:multiLevelType w:val="hybridMultilevel"/>
    <w:tmpl w:val="F75AD218"/>
    <w:lvl w:ilvl="0" w:tplc="8AFC774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E98F0D7"/>
    <w:multiLevelType w:val="singleLevel"/>
    <w:tmpl w:val="4E98F0D7"/>
    <w:lvl w:ilvl="0">
      <w:start w:val="1"/>
      <w:numFmt w:val="decimal"/>
      <w:suff w:val="space"/>
      <w:lvlText w:val="%1."/>
      <w:lvlJc w:val="left"/>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5"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69"/>
        </w:tabs>
        <w:ind w:left="269" w:hanging="360"/>
      </w:pPr>
      <w:rPr>
        <w:rFonts w:ascii="Symbol" w:hAnsi="Symbol" w:hint="default"/>
        <w:b/>
        <w:i w:val="0"/>
        <w:color w:val="auto"/>
        <w:sz w:val="22"/>
      </w:rPr>
    </w:lvl>
    <w:lvl w:ilvl="1" w:tplc="04090003">
      <w:start w:val="1"/>
      <w:numFmt w:val="bullet"/>
      <w:lvlText w:val="o"/>
      <w:lvlJc w:val="left"/>
      <w:pPr>
        <w:tabs>
          <w:tab w:val="num" w:pos="90"/>
        </w:tabs>
        <w:ind w:left="90" w:hanging="360"/>
      </w:pPr>
      <w:rPr>
        <w:rFonts w:ascii="Courier New" w:hAnsi="Courier New" w:cs="Courier New" w:hint="default"/>
      </w:rPr>
    </w:lvl>
    <w:lvl w:ilvl="2" w:tplc="04090005">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19"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23"/>
  </w:num>
  <w:num w:numId="4">
    <w:abstractNumId w:val="8"/>
  </w:num>
  <w:num w:numId="5">
    <w:abstractNumId w:val="7"/>
  </w:num>
  <w:num w:numId="6">
    <w:abstractNumId w:val="16"/>
  </w:num>
  <w:num w:numId="7">
    <w:abstractNumId w:val="15"/>
  </w:num>
  <w:num w:numId="8">
    <w:abstractNumId w:val="11"/>
  </w:num>
  <w:num w:numId="9">
    <w:abstractNumId w:val="1"/>
  </w:num>
  <w:num w:numId="10">
    <w:abstractNumId w:val="2"/>
  </w:num>
  <w:num w:numId="11">
    <w:abstractNumId w:val="19"/>
  </w:num>
  <w:num w:numId="12">
    <w:abstractNumId w:val="13"/>
  </w:num>
  <w:num w:numId="13">
    <w:abstractNumId w:val="14"/>
  </w:num>
  <w:num w:numId="14">
    <w:abstractNumId w:val="5"/>
  </w:num>
  <w:num w:numId="15">
    <w:abstractNumId w:val="3"/>
  </w:num>
  <w:num w:numId="16">
    <w:abstractNumId w:val="22"/>
  </w:num>
  <w:num w:numId="17">
    <w:abstractNumId w:val="12"/>
  </w:num>
  <w:num w:numId="18">
    <w:abstractNumId w:val="21"/>
  </w:num>
  <w:num w:numId="19">
    <w:abstractNumId w:val="9"/>
  </w:num>
  <w:num w:numId="20">
    <w:abstractNumId w:val="0"/>
  </w:num>
  <w:num w:numId="21">
    <w:abstractNumId w:val="17"/>
  </w:num>
  <w:num w:numId="22">
    <w:abstractNumId w:val="10"/>
  </w:num>
  <w:num w:numId="23">
    <w:abstractNumId w:val="18"/>
  </w:num>
  <w:num w:numId="24">
    <w:abstractNumId w:val="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27491"/>
    <w:rsid w:val="00030706"/>
    <w:rsid w:val="000316A3"/>
    <w:rsid w:val="00036976"/>
    <w:rsid w:val="000370EA"/>
    <w:rsid w:val="00041049"/>
    <w:rsid w:val="00045BFD"/>
    <w:rsid w:val="00046DD7"/>
    <w:rsid w:val="00047697"/>
    <w:rsid w:val="00051C44"/>
    <w:rsid w:val="00055347"/>
    <w:rsid w:val="000577FC"/>
    <w:rsid w:val="00063DD0"/>
    <w:rsid w:val="00067376"/>
    <w:rsid w:val="0007055F"/>
    <w:rsid w:val="00073699"/>
    <w:rsid w:val="00073A3F"/>
    <w:rsid w:val="00082BF1"/>
    <w:rsid w:val="000842D6"/>
    <w:rsid w:val="00087B19"/>
    <w:rsid w:val="00093FC9"/>
    <w:rsid w:val="00094983"/>
    <w:rsid w:val="00094D27"/>
    <w:rsid w:val="00095FBC"/>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C01"/>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6709"/>
    <w:rsid w:val="001A3762"/>
    <w:rsid w:val="001A5276"/>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235B"/>
    <w:rsid w:val="0020677E"/>
    <w:rsid w:val="002076A3"/>
    <w:rsid w:val="00210122"/>
    <w:rsid w:val="00215C7F"/>
    <w:rsid w:val="002212B8"/>
    <w:rsid w:val="00223470"/>
    <w:rsid w:val="002314B9"/>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6C58"/>
    <w:rsid w:val="003029F0"/>
    <w:rsid w:val="00303F85"/>
    <w:rsid w:val="00304073"/>
    <w:rsid w:val="00304A3C"/>
    <w:rsid w:val="00304C05"/>
    <w:rsid w:val="00304DDB"/>
    <w:rsid w:val="003063D4"/>
    <w:rsid w:val="00307AC4"/>
    <w:rsid w:val="003131C3"/>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48F4"/>
    <w:rsid w:val="003B3F73"/>
    <w:rsid w:val="003D213B"/>
    <w:rsid w:val="003D23EC"/>
    <w:rsid w:val="003D3201"/>
    <w:rsid w:val="003D7330"/>
    <w:rsid w:val="003E229B"/>
    <w:rsid w:val="003E2742"/>
    <w:rsid w:val="003E2C64"/>
    <w:rsid w:val="003E74E2"/>
    <w:rsid w:val="003F1877"/>
    <w:rsid w:val="003F246C"/>
    <w:rsid w:val="003F2F37"/>
    <w:rsid w:val="003F780E"/>
    <w:rsid w:val="0040040B"/>
    <w:rsid w:val="00404C05"/>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1319"/>
    <w:rsid w:val="00442C82"/>
    <w:rsid w:val="0044384F"/>
    <w:rsid w:val="00443B89"/>
    <w:rsid w:val="00445127"/>
    <w:rsid w:val="004459E6"/>
    <w:rsid w:val="00450B19"/>
    <w:rsid w:val="0045110D"/>
    <w:rsid w:val="00453EA5"/>
    <w:rsid w:val="0045713B"/>
    <w:rsid w:val="0046235D"/>
    <w:rsid w:val="004657F8"/>
    <w:rsid w:val="00466884"/>
    <w:rsid w:val="00473BA8"/>
    <w:rsid w:val="00477833"/>
    <w:rsid w:val="00483040"/>
    <w:rsid w:val="00483525"/>
    <w:rsid w:val="00484C98"/>
    <w:rsid w:val="00485A63"/>
    <w:rsid w:val="0049172B"/>
    <w:rsid w:val="0049202E"/>
    <w:rsid w:val="004A0EF5"/>
    <w:rsid w:val="004A4C11"/>
    <w:rsid w:val="004B2F15"/>
    <w:rsid w:val="004B673E"/>
    <w:rsid w:val="004C16EB"/>
    <w:rsid w:val="004C2FD2"/>
    <w:rsid w:val="004C3088"/>
    <w:rsid w:val="004C3F2B"/>
    <w:rsid w:val="004D0459"/>
    <w:rsid w:val="004E0898"/>
    <w:rsid w:val="004E3F37"/>
    <w:rsid w:val="004E429B"/>
    <w:rsid w:val="004E5CF3"/>
    <w:rsid w:val="004E7F8D"/>
    <w:rsid w:val="0050103B"/>
    <w:rsid w:val="005016E0"/>
    <w:rsid w:val="00502CE9"/>
    <w:rsid w:val="005038C3"/>
    <w:rsid w:val="00504849"/>
    <w:rsid w:val="0050484E"/>
    <w:rsid w:val="00513C92"/>
    <w:rsid w:val="00515698"/>
    <w:rsid w:val="005221DF"/>
    <w:rsid w:val="005225C0"/>
    <w:rsid w:val="00523300"/>
    <w:rsid w:val="00524EE0"/>
    <w:rsid w:val="005250AC"/>
    <w:rsid w:val="00527116"/>
    <w:rsid w:val="005320E8"/>
    <w:rsid w:val="005327EC"/>
    <w:rsid w:val="005332CF"/>
    <w:rsid w:val="0053363E"/>
    <w:rsid w:val="00534B0B"/>
    <w:rsid w:val="00537201"/>
    <w:rsid w:val="005403EE"/>
    <w:rsid w:val="00550EDE"/>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225A"/>
    <w:rsid w:val="005A59C7"/>
    <w:rsid w:val="005A6B3D"/>
    <w:rsid w:val="005B1BC9"/>
    <w:rsid w:val="005B3051"/>
    <w:rsid w:val="005B3E6D"/>
    <w:rsid w:val="005B7690"/>
    <w:rsid w:val="005C6640"/>
    <w:rsid w:val="005D14A3"/>
    <w:rsid w:val="005D6E99"/>
    <w:rsid w:val="005E1A6E"/>
    <w:rsid w:val="005E26C9"/>
    <w:rsid w:val="005E5DD7"/>
    <w:rsid w:val="005E69D0"/>
    <w:rsid w:val="005F7FBB"/>
    <w:rsid w:val="00601BB8"/>
    <w:rsid w:val="00604A33"/>
    <w:rsid w:val="00614908"/>
    <w:rsid w:val="0061572D"/>
    <w:rsid w:val="00615896"/>
    <w:rsid w:val="006163B9"/>
    <w:rsid w:val="006259D7"/>
    <w:rsid w:val="0062798E"/>
    <w:rsid w:val="00632118"/>
    <w:rsid w:val="00633BCE"/>
    <w:rsid w:val="006348E4"/>
    <w:rsid w:val="0063728E"/>
    <w:rsid w:val="0064429A"/>
    <w:rsid w:val="00645475"/>
    <w:rsid w:val="006465FA"/>
    <w:rsid w:val="006475E7"/>
    <w:rsid w:val="00657288"/>
    <w:rsid w:val="00661A9A"/>
    <w:rsid w:val="006649B0"/>
    <w:rsid w:val="00665813"/>
    <w:rsid w:val="00667B3B"/>
    <w:rsid w:val="00670F9F"/>
    <w:rsid w:val="0067190D"/>
    <w:rsid w:val="006751E6"/>
    <w:rsid w:val="00676D81"/>
    <w:rsid w:val="00681782"/>
    <w:rsid w:val="006855D4"/>
    <w:rsid w:val="006870C2"/>
    <w:rsid w:val="0069466C"/>
    <w:rsid w:val="00695D01"/>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402E4"/>
    <w:rsid w:val="0074170E"/>
    <w:rsid w:val="007433BC"/>
    <w:rsid w:val="00751081"/>
    <w:rsid w:val="00753516"/>
    <w:rsid w:val="007535FA"/>
    <w:rsid w:val="00756BCF"/>
    <w:rsid w:val="00757230"/>
    <w:rsid w:val="00776229"/>
    <w:rsid w:val="00776CF5"/>
    <w:rsid w:val="007773E1"/>
    <w:rsid w:val="00782834"/>
    <w:rsid w:val="00785BC4"/>
    <w:rsid w:val="00790DF7"/>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FC8"/>
    <w:rsid w:val="007D7846"/>
    <w:rsid w:val="007D790F"/>
    <w:rsid w:val="007D7BD8"/>
    <w:rsid w:val="007E0FC3"/>
    <w:rsid w:val="007F08D4"/>
    <w:rsid w:val="007F1195"/>
    <w:rsid w:val="008008EC"/>
    <w:rsid w:val="00800B3D"/>
    <w:rsid w:val="00804F65"/>
    <w:rsid w:val="008114FB"/>
    <w:rsid w:val="00812A9F"/>
    <w:rsid w:val="0081662A"/>
    <w:rsid w:val="008176CC"/>
    <w:rsid w:val="00822E5A"/>
    <w:rsid w:val="00824817"/>
    <w:rsid w:val="00825435"/>
    <w:rsid w:val="00825BBA"/>
    <w:rsid w:val="008302B9"/>
    <w:rsid w:val="0084648B"/>
    <w:rsid w:val="00856980"/>
    <w:rsid w:val="008569DE"/>
    <w:rsid w:val="008609AD"/>
    <w:rsid w:val="00863065"/>
    <w:rsid w:val="00864FD6"/>
    <w:rsid w:val="00867B5D"/>
    <w:rsid w:val="008716E1"/>
    <w:rsid w:val="0087246D"/>
    <w:rsid w:val="00877E7D"/>
    <w:rsid w:val="008811C5"/>
    <w:rsid w:val="00883222"/>
    <w:rsid w:val="008836D2"/>
    <w:rsid w:val="0088730C"/>
    <w:rsid w:val="008A1377"/>
    <w:rsid w:val="008A19FD"/>
    <w:rsid w:val="008A1D4D"/>
    <w:rsid w:val="008A4657"/>
    <w:rsid w:val="008A62A0"/>
    <w:rsid w:val="008B19E3"/>
    <w:rsid w:val="008B698E"/>
    <w:rsid w:val="008C06A2"/>
    <w:rsid w:val="008C4BB7"/>
    <w:rsid w:val="008C5BE2"/>
    <w:rsid w:val="008E4C32"/>
    <w:rsid w:val="008E6AAC"/>
    <w:rsid w:val="008F35D2"/>
    <w:rsid w:val="00900F4B"/>
    <w:rsid w:val="00901F15"/>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68EC"/>
    <w:rsid w:val="00987D6E"/>
    <w:rsid w:val="009966A7"/>
    <w:rsid w:val="009A17EE"/>
    <w:rsid w:val="009A3EBC"/>
    <w:rsid w:val="009A6D02"/>
    <w:rsid w:val="009B1055"/>
    <w:rsid w:val="009B381F"/>
    <w:rsid w:val="009B5FCC"/>
    <w:rsid w:val="009C0765"/>
    <w:rsid w:val="009C2C44"/>
    <w:rsid w:val="009C5BE4"/>
    <w:rsid w:val="009D1596"/>
    <w:rsid w:val="009D249F"/>
    <w:rsid w:val="009E1BAD"/>
    <w:rsid w:val="009E5E74"/>
    <w:rsid w:val="009E6BB0"/>
    <w:rsid w:val="009E72EA"/>
    <w:rsid w:val="00A063F0"/>
    <w:rsid w:val="00A10F0C"/>
    <w:rsid w:val="00A15803"/>
    <w:rsid w:val="00A15EC4"/>
    <w:rsid w:val="00A248C9"/>
    <w:rsid w:val="00A309CA"/>
    <w:rsid w:val="00A312DC"/>
    <w:rsid w:val="00A323BD"/>
    <w:rsid w:val="00A35121"/>
    <w:rsid w:val="00A35B5F"/>
    <w:rsid w:val="00A37E44"/>
    <w:rsid w:val="00A40C32"/>
    <w:rsid w:val="00A424C2"/>
    <w:rsid w:val="00A435B7"/>
    <w:rsid w:val="00A5196B"/>
    <w:rsid w:val="00A5296F"/>
    <w:rsid w:val="00A56B3B"/>
    <w:rsid w:val="00A70F00"/>
    <w:rsid w:val="00A71400"/>
    <w:rsid w:val="00A80CCB"/>
    <w:rsid w:val="00A81B53"/>
    <w:rsid w:val="00A8245B"/>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F031B"/>
    <w:rsid w:val="00AF1284"/>
    <w:rsid w:val="00AF1CA1"/>
    <w:rsid w:val="00AF63CE"/>
    <w:rsid w:val="00B0219E"/>
    <w:rsid w:val="00B02F59"/>
    <w:rsid w:val="00B042C0"/>
    <w:rsid w:val="00B0538F"/>
    <w:rsid w:val="00B07DF8"/>
    <w:rsid w:val="00B12427"/>
    <w:rsid w:val="00B12AE2"/>
    <w:rsid w:val="00B13CB3"/>
    <w:rsid w:val="00B1491A"/>
    <w:rsid w:val="00B15C35"/>
    <w:rsid w:val="00B216A7"/>
    <w:rsid w:val="00B250B2"/>
    <w:rsid w:val="00B2568F"/>
    <w:rsid w:val="00B41E9A"/>
    <w:rsid w:val="00B52AC3"/>
    <w:rsid w:val="00B53581"/>
    <w:rsid w:val="00B538D4"/>
    <w:rsid w:val="00B53ED6"/>
    <w:rsid w:val="00B5524F"/>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A5FE8"/>
    <w:rsid w:val="00BA7B58"/>
    <w:rsid w:val="00BB394D"/>
    <w:rsid w:val="00BB3EB7"/>
    <w:rsid w:val="00BB5E30"/>
    <w:rsid w:val="00BC4AF1"/>
    <w:rsid w:val="00BC76B2"/>
    <w:rsid w:val="00BD1BEE"/>
    <w:rsid w:val="00BD3457"/>
    <w:rsid w:val="00BD4A68"/>
    <w:rsid w:val="00BD587D"/>
    <w:rsid w:val="00BE0C84"/>
    <w:rsid w:val="00BE6071"/>
    <w:rsid w:val="00BF0064"/>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77FE"/>
    <w:rsid w:val="00C63927"/>
    <w:rsid w:val="00C6444B"/>
    <w:rsid w:val="00C64F50"/>
    <w:rsid w:val="00C71992"/>
    <w:rsid w:val="00C71DF8"/>
    <w:rsid w:val="00C74457"/>
    <w:rsid w:val="00C74470"/>
    <w:rsid w:val="00C7547B"/>
    <w:rsid w:val="00C8051D"/>
    <w:rsid w:val="00C80F44"/>
    <w:rsid w:val="00C83AE7"/>
    <w:rsid w:val="00C904AD"/>
    <w:rsid w:val="00C94074"/>
    <w:rsid w:val="00CA6AE4"/>
    <w:rsid w:val="00CB34B6"/>
    <w:rsid w:val="00CC52D2"/>
    <w:rsid w:val="00CD10D8"/>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D2B65"/>
    <w:rsid w:val="00DD5CCE"/>
    <w:rsid w:val="00DD7B49"/>
    <w:rsid w:val="00DE44CC"/>
    <w:rsid w:val="00DF113C"/>
    <w:rsid w:val="00DF3BCB"/>
    <w:rsid w:val="00DF4B25"/>
    <w:rsid w:val="00E00F4A"/>
    <w:rsid w:val="00E02E47"/>
    <w:rsid w:val="00E12A1C"/>
    <w:rsid w:val="00E2125D"/>
    <w:rsid w:val="00E23606"/>
    <w:rsid w:val="00E240F5"/>
    <w:rsid w:val="00E25AF8"/>
    <w:rsid w:val="00E272BB"/>
    <w:rsid w:val="00E358A4"/>
    <w:rsid w:val="00E42493"/>
    <w:rsid w:val="00E52FE6"/>
    <w:rsid w:val="00E53977"/>
    <w:rsid w:val="00E5727F"/>
    <w:rsid w:val="00E60ACC"/>
    <w:rsid w:val="00E60DCA"/>
    <w:rsid w:val="00E6255E"/>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3A88"/>
    <w:rsid w:val="00F84340"/>
    <w:rsid w:val="00F8667C"/>
    <w:rsid w:val="00F900CE"/>
    <w:rsid w:val="00F93932"/>
    <w:rsid w:val="00FA1D38"/>
    <w:rsid w:val="00FA3AEE"/>
    <w:rsid w:val="00FA6691"/>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26"/>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clear" w:pos="720"/>
        <w:tab w:val="num"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tabs>
        <w:tab w:val="clear" w:pos="864"/>
        <w:tab w:val="num" w:pos="360"/>
      </w:tabs>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List Char,- Bullets Char,목록 단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rPr>
      <w:sz w:val="24"/>
      <w:szCs w:val="24"/>
    </w:rPr>
  </w:style>
  <w:style w:type="paragraph" w:styleId="ListParagraph">
    <w:name w:val="List Paragraph"/>
    <w:aliases w:val="List,- Bullets,목록 단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character" w:styleId="Strong">
    <w:name w:val="Strong"/>
    <w:basedOn w:val="DefaultParagraphFont"/>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Normal"/>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paragraph" w:styleId="Title">
    <w:name w:val="Title"/>
    <w:basedOn w:val="Normal"/>
    <w:next w:val="Normal"/>
    <w:link w:val="TitleChar"/>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TitleChar">
    <w:name w:val="Title Char"/>
    <w:basedOn w:val="DefaultParagraphFont"/>
    <w:link w:val="Title"/>
    <w:uiPriority w:val="10"/>
    <w:rsid w:val="00012DB5"/>
    <w:rPr>
      <w:rFonts w:ascii="Arial" w:eastAsia="Times New Roman" w:hAnsi="Arial" w:cs="Arial"/>
      <w:b/>
      <w:bCs/>
      <w:kern w:val="28"/>
      <w:lang w:val="en-GB" w:eastAsia="en-US"/>
    </w:rPr>
  </w:style>
  <w:style w:type="paragraph" w:customStyle="1" w:styleId="Source">
    <w:name w:val="Source"/>
    <w:basedOn w:val="Normal"/>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List">
    <w:name w:val="List"/>
    <w:basedOn w:val="Normal"/>
    <w:uiPriority w:val="99"/>
    <w:semiHidden/>
    <w:unhideWhenUsed/>
    <w:rsid w:val="005221DF"/>
    <w:pPr>
      <w:ind w:left="360" w:hanging="360"/>
      <w:contextualSpacing/>
    </w:pPr>
  </w:style>
  <w:style w:type="paragraph" w:styleId="List2">
    <w:name w:val="List 2"/>
    <w:basedOn w:val="Normal"/>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Normal"/>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Normal"/>
    <w:link w:val="maintextChar"/>
    <w:qFormat/>
    <w:rsid w:val="000A4796"/>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rsid w:val="00375B12"/>
    <w:pPr>
      <w:widowControl/>
      <w:numPr>
        <w:numId w:val="22"/>
      </w:numPr>
      <w:spacing w:before="40" w:after="0" w:line="240" w:lineRule="auto"/>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375B12"/>
    <w:rPr>
      <w:rFonts w:ascii="Arial" w:eastAsia="MS Mincho" w:hAnsi="Arial" w:cs="Times New Roman"/>
      <w:b/>
      <w:szCs w:val="24"/>
      <w:lang w:val="en-GB" w:eastAsia="en-GB"/>
    </w:rPr>
  </w:style>
  <w:style w:type="paragraph" w:customStyle="1" w:styleId="EmailDiscussion2">
    <w:name w:val="EmailDiscussion2"/>
    <w:basedOn w:val="Doc-text2"/>
    <w:uiPriority w:val="99"/>
    <w:qFormat/>
    <w:rsid w:val="00375B12"/>
    <w:rPr>
      <w:rFonts w:eastAsia="MS Mincho" w:cs="Times New Roman"/>
      <w:lang w:val="en-GB"/>
    </w:rPr>
  </w:style>
  <w:style w:type="paragraph" w:customStyle="1" w:styleId="Agreement">
    <w:name w:val="Agreement"/>
    <w:basedOn w:val="Normal"/>
    <w:next w:val="Normal"/>
    <w:uiPriority w:val="99"/>
    <w:qFormat/>
    <w:rsid w:val="00E60DCA"/>
    <w:pPr>
      <w:widowControl/>
      <w:numPr>
        <w:numId w:val="23"/>
      </w:numPr>
      <w:spacing w:before="60" w:after="0" w:line="240" w:lineRule="auto"/>
      <w:jc w:val="left"/>
    </w:pPr>
    <w:rPr>
      <w:rFonts w:ascii="Arial" w:eastAsia="MS Mincho" w:hAnsi="Arial" w:cs="Times New Roman"/>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CE2BBA-19E8-44E5-8B74-FAC42512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5</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 1</cp:lastModifiedBy>
  <cp:revision>135</cp:revision>
  <dcterms:created xsi:type="dcterms:W3CDTF">2022-02-28T11:20:00Z</dcterms:created>
  <dcterms:modified xsi:type="dcterms:W3CDTF">2022-08-19T21:50:00Z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