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ECCF" w14:textId="77777777" w:rsidR="00C57F0A" w:rsidRDefault="00A71B0B">
      <w:pPr>
        <w:pStyle w:val="3GPPHeader"/>
        <w:spacing w:after="60"/>
      </w:pPr>
      <w:r>
        <w:t>3GPP TSG-RAN WG2 #119-e</w:t>
      </w:r>
      <w:r>
        <w:tab/>
      </w:r>
      <w:r>
        <w:rPr>
          <w:sz w:val="32"/>
          <w:szCs w:val="32"/>
        </w:rPr>
        <w:t>R2-22xxxxx</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77777777" w:rsidR="00C57F0A" w:rsidRDefault="00A71B0B">
      <w:pPr>
        <w:pStyle w:val="3GPPHeader"/>
        <w:rPr>
          <w:sz w:val="22"/>
          <w:szCs w:val="22"/>
        </w:rPr>
      </w:pPr>
      <w:r>
        <w:rPr>
          <w:sz w:val="22"/>
          <w:szCs w:val="22"/>
        </w:rPr>
        <w:t>Title:</w:t>
      </w:r>
      <w:r>
        <w:rPr>
          <w:sz w:val="22"/>
          <w:szCs w:val="22"/>
        </w:rPr>
        <w:tab/>
        <w:t>[AT118-e][</w:t>
      </w:r>
      <w:proofErr w:type="gramStart"/>
      <w:r>
        <w:rPr>
          <w:sz w:val="22"/>
          <w:szCs w:val="22"/>
        </w:rPr>
        <w:t>013][</w:t>
      </w:r>
      <w:proofErr w:type="gramEnd"/>
      <w:r>
        <w:rPr>
          <w:sz w:val="22"/>
          <w:szCs w:val="22"/>
        </w:rPr>
        <w:t>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Heading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BodyText"/>
      </w:pPr>
      <w:r>
        <w:t xml:space="preserve">The following document summarizes the </w:t>
      </w:r>
      <w:r>
        <w:t>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w:t>
      </w:r>
      <w:proofErr w:type="gramStart"/>
      <w:r>
        <w:rPr>
          <w:lang w:val="en-US"/>
        </w:rPr>
        <w:t>013][</w:t>
      </w:r>
      <w:proofErr w:type="gramEnd"/>
      <w:r>
        <w:rPr>
          <w:lang w:val="en-US"/>
        </w:rPr>
        <w:t>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Hyperlink"/>
            <w:lang w:val="en-US"/>
          </w:rPr>
          <w:t>R2-2207776</w:t>
        </w:r>
      </w:hyperlink>
      <w:r>
        <w:rPr>
          <w:lang w:val="en-US"/>
        </w:rPr>
        <w:t xml:space="preserve">, </w:t>
      </w:r>
      <w:hyperlink r:id="rId13" w:history="1">
        <w:r>
          <w:rPr>
            <w:rStyle w:val="Hyperlink"/>
            <w:lang w:val="en-US"/>
          </w:rPr>
          <w:t>R2-2208654</w:t>
        </w:r>
      </w:hyperlink>
      <w:r>
        <w:rPr>
          <w:lang w:val="en-US"/>
        </w:rPr>
        <w:t xml:space="preserve">, </w:t>
      </w:r>
      <w:hyperlink r:id="rId14" w:history="1">
        <w:r>
          <w:rPr>
            <w:rStyle w:val="Hyperlink"/>
            <w:lang w:val="en-US"/>
          </w:rPr>
          <w:t>R2-2207267</w:t>
        </w:r>
      </w:hyperlink>
      <w:r>
        <w:rPr>
          <w:lang w:val="en-US"/>
        </w:rPr>
        <w:t xml:space="preserve">, </w:t>
      </w:r>
      <w:hyperlink r:id="rId15" w:history="1">
        <w:r>
          <w:rPr>
            <w:rStyle w:val="Hyperlink"/>
            <w:lang w:val="en-US"/>
          </w:rPr>
          <w:t>R2-2207002</w:t>
        </w:r>
      </w:hyperlink>
      <w:r>
        <w:rPr>
          <w:lang w:val="en-US"/>
        </w:rPr>
        <w:t xml:space="preserve">, </w:t>
      </w:r>
      <w:hyperlink r:id="rId16" w:history="1">
        <w:r>
          <w:rPr>
            <w:rStyle w:val="Hyperlink"/>
            <w:lang w:val="en-US"/>
          </w:rPr>
          <w:t>R2-2207006</w:t>
        </w:r>
      </w:hyperlink>
      <w:r>
        <w:rPr>
          <w:lang w:val="en-US"/>
        </w:rPr>
        <w:t xml:space="preserve">, </w:t>
      </w:r>
      <w:hyperlink r:id="rId17" w:history="1">
        <w:r>
          <w:rPr>
            <w:rStyle w:val="Hyperlink"/>
            <w:lang w:val="en-US"/>
          </w:rPr>
          <w:t>R2-2207013</w:t>
        </w:r>
      </w:hyperlink>
      <w:r>
        <w:rPr>
          <w:lang w:val="en-US"/>
        </w:rPr>
        <w:t xml:space="preserve">, </w:t>
      </w:r>
      <w:hyperlink r:id="rId18" w:history="1">
        <w:r>
          <w:rPr>
            <w:rStyle w:val="Hyperlink"/>
            <w:lang w:val="en-US"/>
          </w:rPr>
          <w:t>R2-2208141</w:t>
        </w:r>
      </w:hyperlink>
      <w:r>
        <w:rPr>
          <w:lang w:val="en-US"/>
        </w:rPr>
        <w:t xml:space="preserve"> (if available), and </w:t>
      </w:r>
      <w:hyperlink r:id="rId19" w:history="1">
        <w:r>
          <w:rPr>
            <w:rStyle w:val="Hyperlink"/>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78CFCF0" w14:textId="77777777" w:rsidR="00C57F0A" w:rsidRDefault="00A71B0B">
      <w:pPr>
        <w:pStyle w:val="EmailDiscussion20"/>
        <w:rPr>
          <w:lang w:val="en-US"/>
        </w:rPr>
      </w:pPr>
      <w:r>
        <w:rPr>
          <w:lang w:val="en-US"/>
        </w:rPr>
        <w:tab/>
        <w:t>Intended outcome: Report, Agre</w:t>
      </w:r>
      <w:r>
        <w:rPr>
          <w:lang w:val="en-US"/>
        </w:rPr>
        <w:t>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BodyText"/>
      </w:pPr>
    </w:p>
    <w:p w14:paraId="579A1502" w14:textId="77777777" w:rsidR="00C57F0A" w:rsidRDefault="00A71B0B">
      <w:pPr>
        <w:pStyle w:val="BodyText"/>
      </w:pPr>
      <w:r>
        <w:t xml:space="preserve">A </w:t>
      </w:r>
      <w:r>
        <w:rPr>
          <w:b/>
        </w:rPr>
        <w:t>first round</w:t>
      </w:r>
      <w:r>
        <w:t xml:space="preserve"> with </w:t>
      </w:r>
      <w:r>
        <w:rPr>
          <w:b/>
        </w:rPr>
        <w:t>Deadline for comments W1 Friday Aug 19</w:t>
      </w:r>
      <w:r>
        <w:rPr>
          <w:b/>
          <w:vertAlign w:val="superscript"/>
        </w:rPr>
        <w:t>th</w:t>
      </w:r>
      <w:proofErr w:type="gramStart"/>
      <w:r>
        <w:rPr>
          <w:b/>
        </w:rPr>
        <w:t xml:space="preserve"> 1400</w:t>
      </w:r>
      <w:proofErr w:type="gramEnd"/>
      <w:r>
        <w:rPr>
          <w:b/>
        </w:rPr>
        <w:t xml:space="preserve">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BodyText"/>
      </w:pPr>
    </w:p>
    <w:p w14:paraId="6AC692E0" w14:textId="77777777" w:rsidR="00C57F0A" w:rsidRDefault="00A71B0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eastAsia="Calibri" w:cs="Arial"/>
                <w:b/>
                <w:bCs/>
                <w:sz w:val="20"/>
                <w:szCs w:val="20"/>
              </w:rPr>
            </w:pPr>
            <w:r>
              <w:rPr>
                <w:rFonts w:eastAsia="Calibri"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eastAsia="Calibri" w:cs="Arial"/>
                <w:b/>
                <w:bCs/>
                <w:sz w:val="20"/>
                <w:szCs w:val="20"/>
              </w:rPr>
            </w:pPr>
            <w:r>
              <w:rPr>
                <w:rFonts w:eastAsia="Calibri"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eastAsia="Calibri"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eastAsia="Calibri"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eastAsia="Calibri" w:cs="Arial"/>
                <w:sz w:val="20"/>
                <w:szCs w:val="20"/>
                <w:lang w:val="de-DE"/>
              </w:rPr>
            </w:pPr>
            <w:r>
              <w:rPr>
                <w:rFonts w:eastAsia="Calibri"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pPr>
              <w:rPr>
                <w:rFonts w:eastAsia="Calibri" w:cs="Arial"/>
                <w:sz w:val="20"/>
                <w:szCs w:val="20"/>
                <w:lang w:val="de-DE"/>
              </w:rPr>
            </w:pPr>
            <w:r>
              <w:rPr>
                <w:rFonts w:eastAsia="Calibri" w:cs="Arial"/>
                <w:sz w:val="20"/>
                <w:szCs w:val="20"/>
                <w:lang w:val="de-DE"/>
              </w:rPr>
              <w:t>Eswar Vutukuri (</w:t>
            </w:r>
            <w:r>
              <w:rPr>
                <w:rFonts w:eastAsia="Calibri" w:cs="Arial"/>
                <w:szCs w:val="20"/>
                <w:lang w:val="de-DE"/>
              </w:rPr>
              <w:t>eswar.vutukuri@zte.com.cn</w:t>
            </w:r>
            <w:r>
              <w:rPr>
                <w:rFonts w:eastAsia="Calibri" w:cs="Arial"/>
                <w:sz w:val="20"/>
                <w:szCs w:val="20"/>
                <w:lang w:val="de-DE"/>
              </w:rPr>
              <w:t xml:space="preserve">) </w:t>
            </w:r>
          </w:p>
          <w:p w14:paraId="62CC1545" w14:textId="77777777" w:rsidR="00C57F0A" w:rsidRDefault="00A71B0B">
            <w:pPr>
              <w:rPr>
                <w:rFonts w:eastAsia="SimSun" w:cs="Arial"/>
                <w:sz w:val="20"/>
                <w:szCs w:val="20"/>
                <w:lang w:val="en-US"/>
              </w:rPr>
            </w:pPr>
            <w:r>
              <w:rPr>
                <w:rFonts w:eastAsia="SimSun" w:cs="Arial" w:hint="eastAsia"/>
                <w:sz w:val="20"/>
                <w:szCs w:val="20"/>
                <w:lang w:val="en-US"/>
              </w:rPr>
              <w:t xml:space="preserve">Yu Liu </w:t>
            </w:r>
            <w:hyperlink r:id="rId20" w:history="1">
              <w:r>
                <w:rPr>
                  <w:rStyle w:val="Hyperlink"/>
                  <w:rFonts w:eastAsia="SimSun" w:cs="Arial" w:hint="eastAsia"/>
                  <w:sz w:val="20"/>
                  <w:szCs w:val="20"/>
                  <w:lang w:val="en-US"/>
                </w:rPr>
                <w:t>(liu.yu3@zte.com.cn)</w:t>
              </w:r>
            </w:hyperlink>
          </w:p>
          <w:p w14:paraId="4A58DEB8" w14:textId="77777777" w:rsidR="00C57F0A" w:rsidRDefault="00A71B0B">
            <w:pPr>
              <w:rPr>
                <w:rFonts w:eastAsia="SimSun" w:cs="Arial"/>
                <w:sz w:val="20"/>
                <w:szCs w:val="20"/>
                <w:lang w:val="en-US"/>
              </w:rPr>
            </w:pPr>
            <w:proofErr w:type="spellStart"/>
            <w:r>
              <w:rPr>
                <w:rFonts w:eastAsia="SimSun" w:cs="Arial" w:hint="eastAsia"/>
                <w:sz w:val="20"/>
                <w:szCs w:val="20"/>
                <w:lang w:val="en-US"/>
              </w:rPr>
              <w:t>Wenting</w:t>
            </w:r>
            <w:proofErr w:type="spellEnd"/>
            <w:r>
              <w:rPr>
                <w:rFonts w:eastAsia="SimSun" w:cs="Arial" w:hint="eastAsia"/>
                <w:sz w:val="20"/>
                <w:szCs w:val="20"/>
                <w:lang w:val="en-US"/>
              </w:rPr>
              <w:t xml:space="preserve"> Li (li.wenting@zte.com.cn)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SimSun" w:cs="Arial"/>
                <w:sz w:val="20"/>
                <w:szCs w:val="20"/>
                <w:lang w:val="en-US"/>
              </w:rPr>
            </w:pPr>
            <w:r>
              <w:rPr>
                <w:rFonts w:eastAsia="Calibri"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SimSun" w:cs="Arial"/>
                <w:sz w:val="20"/>
                <w:szCs w:val="20"/>
                <w:lang w:val="en-US"/>
              </w:rPr>
            </w:pPr>
            <w:r>
              <w:rPr>
                <w:rFonts w:eastAsia="Calibri"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eastAsia="Calibri"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SimSun" w:cs="Arial"/>
                <w:sz w:val="20"/>
                <w:szCs w:val="20"/>
                <w:lang w:val="en-US"/>
              </w:rPr>
            </w:pPr>
            <w:r>
              <w:rPr>
                <w:rFonts w:eastAsia="SimSun"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77777777" w:rsidR="00C57F0A" w:rsidRDefault="00C57F0A">
            <w:pPr>
              <w:rPr>
                <w:rFonts w:eastAsia="Calibri"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6A8F0D0D" w14:textId="77777777" w:rsidR="00C57F0A" w:rsidRDefault="00C57F0A">
            <w:pPr>
              <w:rPr>
                <w:rFonts w:eastAsia="Calibri" w:cs="Arial"/>
                <w:sz w:val="20"/>
                <w:szCs w:val="20"/>
                <w:lang w:val="de-DE"/>
              </w:rPr>
            </w:pPr>
          </w:p>
        </w:tc>
      </w:tr>
      <w:tr w:rsidR="00C57F0A"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77777777" w:rsidR="00C57F0A" w:rsidRDefault="00C57F0A">
            <w:pPr>
              <w:rPr>
                <w:rFonts w:eastAsia="Calibri"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652A3D40" w14:textId="77777777" w:rsidR="00C57F0A" w:rsidRDefault="00C57F0A">
            <w:pPr>
              <w:rPr>
                <w:rFonts w:eastAsia="SimSun" w:cs="Arial"/>
                <w:sz w:val="20"/>
                <w:szCs w:val="20"/>
                <w:lang w:val="en-US"/>
              </w:rPr>
            </w:pPr>
          </w:p>
        </w:tc>
      </w:tr>
      <w:tr w:rsidR="00C57F0A"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7777777" w:rsidR="00C57F0A" w:rsidRDefault="00C57F0A">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A76F273" w14:textId="77777777" w:rsidR="00C57F0A" w:rsidRDefault="00C57F0A">
            <w:pPr>
              <w:rPr>
                <w:rFonts w:eastAsia="SimSun" w:cs="Arial"/>
                <w:sz w:val="20"/>
                <w:szCs w:val="20"/>
                <w:lang w:val="en-US"/>
              </w:rPr>
            </w:pPr>
          </w:p>
        </w:tc>
      </w:tr>
    </w:tbl>
    <w:p w14:paraId="7665B24B" w14:textId="77777777" w:rsidR="00C57F0A" w:rsidRDefault="00C57F0A">
      <w:pPr>
        <w:pStyle w:val="EmailDiscussion20"/>
        <w:ind w:left="0" w:firstLine="0"/>
      </w:pPr>
    </w:p>
    <w:p w14:paraId="3675D158" w14:textId="77777777" w:rsidR="00C57F0A" w:rsidRDefault="00C57F0A">
      <w:pPr>
        <w:pStyle w:val="BodyText"/>
      </w:pPr>
    </w:p>
    <w:p w14:paraId="60ECFE99" w14:textId="77777777" w:rsidR="00C57F0A" w:rsidRDefault="00A71B0B">
      <w:pPr>
        <w:pStyle w:val="Heading1"/>
      </w:pPr>
      <w:bookmarkStart w:id="0" w:name="_Ref178064866"/>
      <w:r>
        <w:t>3</w:t>
      </w:r>
      <w:r>
        <w:tab/>
        <w:t>Discussion</w:t>
      </w:r>
      <w:bookmarkEnd w:id="0"/>
      <w:r>
        <w:t>, First round</w:t>
      </w:r>
    </w:p>
    <w:p w14:paraId="7EF0276B" w14:textId="77777777" w:rsidR="00C57F0A" w:rsidRDefault="00A71B0B">
      <w:pPr>
        <w:pStyle w:val="Heading2"/>
      </w:pPr>
      <w:r>
        <w:t>3.1</w:t>
      </w:r>
      <w:r>
        <w:tab/>
      </w:r>
      <w:r>
        <w:t>UE handling of cell-specific parameters provided in dedicated signalling</w:t>
      </w:r>
    </w:p>
    <w:p w14:paraId="5E252D07" w14:textId="77777777" w:rsidR="00C57F0A" w:rsidRDefault="00A71B0B">
      <w:pPr>
        <w:pStyle w:val="Doc-title"/>
        <w:rPr>
          <w:lang w:val="en-US"/>
        </w:rPr>
      </w:pPr>
      <w:hyperlink r:id="rId21" w:history="1">
        <w:r>
          <w:rPr>
            <w:rStyle w:val="Hyperlink"/>
            <w:lang w:val="en-US"/>
          </w:rPr>
          <w:t>R2-2207776</w:t>
        </w:r>
      </w:hyperlink>
      <w:r>
        <w:rPr>
          <w:lang w:val="en-US"/>
        </w:rPr>
        <w:tab/>
        <w:t>UE handling of cell-specific parameters provided in dedicated signalling</w:t>
      </w:r>
      <w:r>
        <w:rPr>
          <w:lang w:val="en-US"/>
        </w:rPr>
        <w:tab/>
        <w:t xml:space="preserve">Huawei, </w:t>
      </w:r>
      <w:proofErr w:type="spellStart"/>
      <w:r>
        <w:rPr>
          <w:lang w:val="en-US"/>
        </w:rPr>
        <w:t>H</w:t>
      </w:r>
      <w:r>
        <w:rPr>
          <w:lang w:val="en-US"/>
        </w:rPr>
        <w:t>iSilicon</w:t>
      </w:r>
      <w:proofErr w:type="spellEnd"/>
      <w:r>
        <w:rPr>
          <w:lang w:val="en-US"/>
        </w:rPr>
        <w:tab/>
        <w:t>discussion</w:t>
      </w:r>
      <w:r>
        <w:rPr>
          <w:lang w:val="en-US"/>
        </w:rPr>
        <w:tab/>
        <w:t>Rel-17</w:t>
      </w:r>
      <w:r>
        <w:rPr>
          <w:lang w:val="en-US"/>
        </w:rPr>
        <w:tab/>
        <w:t xml:space="preserve">TEI17, </w:t>
      </w:r>
      <w:proofErr w:type="spellStart"/>
      <w:r>
        <w:rPr>
          <w:lang w:val="en-US"/>
        </w:rPr>
        <w:t>NR_MBS_enh</w:t>
      </w:r>
      <w:proofErr w:type="spellEnd"/>
      <w:r>
        <w:rPr>
          <w:lang w:val="en-US"/>
        </w:rPr>
        <w:t>-Core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TableGrid"/>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rFonts w:eastAsia="Calibri"/>
                <w:b/>
                <w:bCs/>
              </w:rPr>
            </w:pPr>
            <w:r>
              <w:rPr>
                <w:rFonts w:eastAsia="Calibri"/>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rFonts w:eastAsia="Calibri"/>
                <w:b/>
                <w:bCs/>
              </w:rPr>
            </w:pPr>
            <w:r>
              <w:rPr>
                <w:rFonts w:eastAsia="Calibri"/>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rFonts w:eastAsia="Calibri"/>
                <w:b/>
                <w:bCs/>
              </w:rPr>
            </w:pPr>
            <w:r>
              <w:rPr>
                <w:rFonts w:eastAsia="Calibri"/>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rPr>
                <w:rFonts w:eastAsia="Calibri"/>
              </w:rPr>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rPr>
                <w:rFonts w:eastAsia="Calibri"/>
              </w:rPr>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rPr>
                <w:rFonts w:eastAsia="Calibri"/>
              </w:rPr>
            </w:pPr>
            <w:r>
              <w:rPr>
                <w:rFonts w:eastAsia="Calibri"/>
              </w:rPr>
              <w:t xml:space="preserve">From our understanding, ServingCellConfig is definetly confiugred per UE </w:t>
            </w:r>
            <w:r>
              <w:rPr>
                <w:rFonts w:eastAsia="Calibri"/>
              </w:rPr>
              <w:t>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w:t>
            </w:r>
            <w:r>
              <w:rPr>
                <w:rFonts w:eastAsiaTheme="minorEastAsia"/>
              </w:rPr>
              <w:t xml:space="preserve">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SimSun"/>
                <w:lang w:val="en-US"/>
              </w:rPr>
            </w:pPr>
            <w:r>
              <w:rPr>
                <w:rFonts w:eastAsia="SimSun"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SimSun"/>
                <w:lang w:val="en-US"/>
              </w:rPr>
            </w:pPr>
            <w:r>
              <w:rPr>
                <w:rFonts w:eastAsia="SimSun"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SimSun"/>
                <w:lang w:val="en-US"/>
              </w:rPr>
            </w:pPr>
            <w:r>
              <w:rPr>
                <w:rFonts w:eastAsia="SimSun" w:hint="eastAsia"/>
                <w:lang w:val="en-US"/>
              </w:rPr>
              <w:t xml:space="preserve">Our understanding is that the parameters in the </w:t>
            </w:r>
            <w:proofErr w:type="gramStart"/>
            <w:r>
              <w:rPr>
                <w:rFonts w:eastAsia="Calibri"/>
              </w:rPr>
              <w:t>ServingCellConfigCommon</w:t>
            </w:r>
            <w:r>
              <w:rPr>
                <w:rFonts w:eastAsia="SimSun" w:hint="eastAsia"/>
                <w:lang w:val="en-US"/>
              </w:rPr>
              <w:t>,</w:t>
            </w:r>
            <w:r>
              <w:rPr>
                <w:rFonts w:eastAsia="Calibri"/>
              </w:rPr>
              <w:t>BWP</w:t>
            </w:r>
            <w:proofErr w:type="gramEnd"/>
            <w:r>
              <w:rPr>
                <w:rFonts w:eastAsia="Calibri"/>
              </w:rPr>
              <w:t xml:space="preserve">-DownlinkCommon and/or </w:t>
            </w:r>
            <w:r>
              <w:rPr>
                <w:rFonts w:eastAsia="Calibri"/>
              </w:rPr>
              <w:t>BWP-UplinkCommon</w:t>
            </w:r>
            <w:r>
              <w:rPr>
                <w:rFonts w:eastAsia="SimSun"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rPr>
                <w:rFonts w:eastAsia="Calibri"/>
              </w:rPr>
            </w:pPr>
            <w:r>
              <w:rPr>
                <w:rFonts w:eastAsia="SimSun"/>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rPr>
                <w:rFonts w:eastAsia="Calibri"/>
              </w:rPr>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rPr>
                <w:rFonts w:eastAsia="Calibri"/>
              </w:rPr>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77777777" w:rsidR="00C57F0A" w:rsidRDefault="00C57F0A">
            <w:pPr>
              <w:jc w:val="both"/>
              <w:rPr>
                <w:rFonts w:eastAsia="Calibri"/>
              </w:rPr>
            </w:pPr>
          </w:p>
        </w:tc>
        <w:tc>
          <w:tcPr>
            <w:tcW w:w="1985" w:type="dxa"/>
            <w:tcBorders>
              <w:top w:val="single" w:sz="4" w:space="0" w:color="auto"/>
              <w:left w:val="single" w:sz="4" w:space="0" w:color="auto"/>
              <w:bottom w:val="single" w:sz="4" w:space="0" w:color="auto"/>
              <w:right w:val="single" w:sz="4" w:space="0" w:color="auto"/>
            </w:tcBorders>
          </w:tcPr>
          <w:p w14:paraId="1436F2E2" w14:textId="77777777" w:rsidR="00C57F0A" w:rsidRDefault="00C57F0A">
            <w:pPr>
              <w:jc w:val="both"/>
              <w:rPr>
                <w:rFonts w:eastAsia="Calibri"/>
              </w:rPr>
            </w:pPr>
          </w:p>
        </w:tc>
        <w:tc>
          <w:tcPr>
            <w:tcW w:w="5807" w:type="dxa"/>
            <w:tcBorders>
              <w:top w:val="single" w:sz="4" w:space="0" w:color="auto"/>
              <w:left w:val="single" w:sz="4" w:space="0" w:color="auto"/>
              <w:bottom w:val="single" w:sz="4" w:space="0" w:color="auto"/>
              <w:right w:val="single" w:sz="4" w:space="0" w:color="auto"/>
            </w:tcBorders>
          </w:tcPr>
          <w:p w14:paraId="1B108CAA" w14:textId="77777777" w:rsidR="00C57F0A" w:rsidRDefault="00C57F0A">
            <w:pPr>
              <w:jc w:val="both"/>
              <w:rPr>
                <w:rFonts w:eastAsia="Calibri"/>
              </w:rPr>
            </w:pPr>
          </w:p>
        </w:tc>
      </w:tr>
      <w:tr w:rsidR="00C57F0A"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77777777" w:rsidR="00C57F0A" w:rsidRDefault="00C57F0A">
            <w:pPr>
              <w:jc w:val="both"/>
              <w:rPr>
                <w:rFonts w:eastAsia="Calibri"/>
              </w:rPr>
            </w:pPr>
          </w:p>
        </w:tc>
        <w:tc>
          <w:tcPr>
            <w:tcW w:w="1985" w:type="dxa"/>
            <w:tcBorders>
              <w:top w:val="single" w:sz="4" w:space="0" w:color="auto"/>
              <w:left w:val="single" w:sz="4" w:space="0" w:color="auto"/>
              <w:bottom w:val="single" w:sz="4" w:space="0" w:color="auto"/>
              <w:right w:val="single" w:sz="4" w:space="0" w:color="auto"/>
            </w:tcBorders>
          </w:tcPr>
          <w:p w14:paraId="78FEB3B8" w14:textId="77777777" w:rsidR="00C57F0A" w:rsidRDefault="00C57F0A">
            <w:pPr>
              <w:jc w:val="both"/>
              <w:rPr>
                <w:rFonts w:eastAsia="Calibri"/>
              </w:rPr>
            </w:pPr>
          </w:p>
        </w:tc>
        <w:tc>
          <w:tcPr>
            <w:tcW w:w="5807" w:type="dxa"/>
            <w:tcBorders>
              <w:top w:val="single" w:sz="4" w:space="0" w:color="auto"/>
              <w:left w:val="single" w:sz="4" w:space="0" w:color="auto"/>
              <w:bottom w:val="single" w:sz="4" w:space="0" w:color="auto"/>
              <w:right w:val="single" w:sz="4" w:space="0" w:color="auto"/>
            </w:tcBorders>
          </w:tcPr>
          <w:p w14:paraId="5E418EA8" w14:textId="77777777" w:rsidR="00C57F0A" w:rsidRDefault="00C57F0A">
            <w:pPr>
              <w:jc w:val="both"/>
              <w:rPr>
                <w:rFonts w:eastAsia="Calibri"/>
              </w:rPr>
            </w:pPr>
          </w:p>
        </w:tc>
      </w:tr>
      <w:tr w:rsidR="00C57F0A"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77777777" w:rsidR="00C57F0A" w:rsidRDefault="00C57F0A">
            <w:pPr>
              <w:jc w:val="both"/>
              <w:rPr>
                <w:rFonts w:eastAsia="Calibri"/>
              </w:rPr>
            </w:pPr>
          </w:p>
        </w:tc>
        <w:tc>
          <w:tcPr>
            <w:tcW w:w="1985" w:type="dxa"/>
            <w:tcBorders>
              <w:top w:val="single" w:sz="4" w:space="0" w:color="auto"/>
              <w:left w:val="single" w:sz="4" w:space="0" w:color="auto"/>
              <w:bottom w:val="single" w:sz="4" w:space="0" w:color="auto"/>
              <w:right w:val="single" w:sz="4" w:space="0" w:color="auto"/>
            </w:tcBorders>
          </w:tcPr>
          <w:p w14:paraId="6EA968E7" w14:textId="77777777" w:rsidR="00C57F0A" w:rsidRDefault="00C57F0A">
            <w:pPr>
              <w:jc w:val="both"/>
              <w:rPr>
                <w:rFonts w:eastAsia="Calibri"/>
              </w:rPr>
            </w:pP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C57F0A" w:rsidRDefault="00C57F0A">
            <w:pPr>
              <w:jc w:val="both"/>
              <w:rPr>
                <w:rFonts w:eastAsia="Calibri"/>
              </w:rPr>
            </w:pP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Heading2"/>
      </w:pPr>
      <w:r>
        <w:lastRenderedPageBreak/>
        <w:t>3.2</w:t>
      </w:r>
      <w:r>
        <w:tab/>
        <w:t xml:space="preserve">Correction on </w:t>
      </w:r>
      <w:proofErr w:type="spellStart"/>
      <w:r>
        <w:t>UERadioPagingInformation</w:t>
      </w:r>
      <w:proofErr w:type="spellEnd"/>
      <w:r>
        <w:t xml:space="preserve"> and </w:t>
      </w:r>
      <w:proofErr w:type="spellStart"/>
      <w:r>
        <w:t>UERadioPagingInfo</w:t>
      </w:r>
      <w:proofErr w:type="spellEnd"/>
      <w:r>
        <w:t xml:space="preserve"> container</w:t>
      </w:r>
    </w:p>
    <w:p w14:paraId="1B50948D" w14:textId="77777777" w:rsidR="00C57F0A" w:rsidRDefault="00C57F0A">
      <w:pPr>
        <w:jc w:val="both"/>
        <w:rPr>
          <w:lang w:val="en-US"/>
        </w:rPr>
      </w:pPr>
    </w:p>
    <w:p w14:paraId="7D5FABBA" w14:textId="77777777" w:rsidR="00C57F0A" w:rsidRDefault="00A71B0B">
      <w:pPr>
        <w:pStyle w:val="Doc-title"/>
        <w:rPr>
          <w:lang w:val="en-US"/>
        </w:rPr>
      </w:pPr>
      <w:hyperlink r:id="rId22" w:history="1">
        <w:r>
          <w:rPr>
            <w:rStyle w:val="Hyperlink"/>
            <w:lang w:val="en-US"/>
          </w:rPr>
          <w:t>R2-2208654</w:t>
        </w:r>
      </w:hyperlink>
      <w:r>
        <w:rPr>
          <w:lang w:val="en-US"/>
        </w:rPr>
        <w:tab/>
        <w:t xml:space="preserve">Correction on </w:t>
      </w:r>
      <w:proofErr w:type="spellStart"/>
      <w:r>
        <w:rPr>
          <w:lang w:val="en-US"/>
        </w:rPr>
        <w:t>UERadioPagingInformation</w:t>
      </w:r>
      <w:proofErr w:type="spellEnd"/>
      <w:r>
        <w:rPr>
          <w:lang w:val="en-US"/>
        </w:rPr>
        <w:t xml:space="preserve"> and </w:t>
      </w:r>
      <w:proofErr w:type="spellStart"/>
      <w:r>
        <w:rPr>
          <w:lang w:val="en-US"/>
        </w:rPr>
        <w:t>UERadioPagingInfo</w:t>
      </w:r>
      <w:proofErr w:type="spellEnd"/>
      <w:r>
        <w:rPr>
          <w:lang w:val="en-US"/>
        </w:rPr>
        <w:t xml:space="preserve"> container</w:t>
      </w:r>
      <w:r>
        <w:rPr>
          <w:lang w:val="en-US"/>
        </w:rPr>
        <w:tab/>
        <w:t>Ericsson</w:t>
      </w:r>
      <w:r>
        <w:rPr>
          <w:lang w:val="en-US"/>
        </w:rPr>
        <w:tab/>
        <w:t>CR</w:t>
      </w:r>
      <w:r>
        <w:rPr>
          <w:lang w:val="en-US"/>
        </w:rPr>
        <w:tab/>
        <w:t>Rel-17</w:t>
      </w:r>
      <w:r>
        <w:rPr>
          <w:lang w:val="en-US"/>
        </w:rPr>
        <w:tab/>
        <w:t>38.331</w:t>
      </w:r>
      <w:r>
        <w:rPr>
          <w:lang w:val="en-US"/>
        </w:rPr>
        <w:tab/>
        <w:t>17.1.0</w:t>
      </w:r>
      <w:r>
        <w:rPr>
          <w:lang w:val="en-US"/>
        </w:rPr>
        <w:tab/>
        <w:t>3460</w:t>
      </w:r>
      <w:r>
        <w:rPr>
          <w:lang w:val="en-US"/>
        </w:rPr>
        <w:tab/>
        <w:t>-</w:t>
      </w:r>
      <w:r>
        <w:rPr>
          <w:lang w:val="en-US"/>
        </w:rPr>
        <w:tab/>
        <w:t>F</w:t>
      </w:r>
      <w:r>
        <w:rPr>
          <w:lang w:val="en-US"/>
        </w:rPr>
        <w:tab/>
      </w:r>
      <w:proofErr w:type="spellStart"/>
      <w:r>
        <w:rPr>
          <w:lang w:val="en-US"/>
        </w:rPr>
        <w:t>NR_newRAT</w:t>
      </w:r>
      <w:proofErr w:type="spellEnd"/>
      <w:r>
        <w:rPr>
          <w:lang w:val="en-US"/>
        </w:rPr>
        <w:t xml:space="preserve">-Core, </w:t>
      </w:r>
      <w:proofErr w:type="spellStart"/>
      <w:r>
        <w:rPr>
          <w:lang w:val="en-US"/>
        </w:rPr>
        <w:t>NR_redcap</w:t>
      </w:r>
      <w:proofErr w:type="spellEnd"/>
      <w:r>
        <w:rPr>
          <w:lang w:val="en-US"/>
        </w:rPr>
        <w:t>-Core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w:t>
      </w:r>
      <w:r>
        <w:rPr>
          <w:b/>
          <w:bCs/>
        </w:rPr>
        <w:t>panies agree with the intent of the CR above?</w:t>
      </w:r>
    </w:p>
    <w:p w14:paraId="7D97A298"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rFonts w:eastAsia="Calibri"/>
                <w:b/>
                <w:bCs/>
              </w:rPr>
            </w:pPr>
            <w:r>
              <w:rPr>
                <w:rFonts w:eastAsia="Calibri"/>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rFonts w:eastAsia="Calibri"/>
                <w:b/>
                <w:bCs/>
              </w:rPr>
            </w:pPr>
            <w:r>
              <w:rPr>
                <w:rFonts w:eastAsia="Calibri"/>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rFonts w:eastAsia="Calibri"/>
                <w:b/>
                <w:bCs/>
              </w:rPr>
            </w:pPr>
            <w:r>
              <w:rPr>
                <w:rFonts w:eastAsia="Calibri"/>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rPr>
                <w:rFonts w:eastAsia="Calibri"/>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rPr>
                <w:rFonts w:eastAsia="Calibri"/>
              </w:rPr>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rPr>
                <w:rFonts w:eastAsia="Calibri"/>
              </w:rPr>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eastAsia="Calibri" w:hAnsi="Calibri"/>
                <w:szCs w:val="22"/>
                <w:lang w:val="de-DE"/>
              </w:rPr>
            </w:pPr>
            <w:r>
              <w:rPr>
                <w:rFonts w:eastAsia="Calibri"/>
                <w:szCs w:val="22"/>
                <w:lang w:val="de-DE"/>
              </w:rPr>
              <w:t>This CR seems not correct, if it changes the UE radio capabilty singaling.</w:t>
            </w:r>
          </w:p>
          <w:p w14:paraId="5BF0BA5D" w14:textId="77777777" w:rsidR="00C57F0A" w:rsidRDefault="00A71B0B">
            <w:pPr>
              <w:rPr>
                <w:rFonts w:eastAsia="Calibri"/>
                <w:szCs w:val="22"/>
                <w:lang w:val="de-DE"/>
              </w:rPr>
            </w:pPr>
            <w:r>
              <w:rPr>
                <w:rFonts w:eastAsia="Calibri"/>
                <w:szCs w:val="22"/>
                <w:lang w:val="de-DE"/>
              </w:rPr>
              <w:t xml:space="preserve">It should be discussed/reviewed by RedCap session at least. </w:t>
            </w:r>
          </w:p>
          <w:p w14:paraId="3D2A5F72" w14:textId="77777777" w:rsidR="00C57F0A" w:rsidRDefault="00A71B0B">
            <w:pPr>
              <w:rPr>
                <w:rFonts w:eastAsia="Calibri"/>
                <w:szCs w:val="22"/>
                <w:lang w:val="de-DE"/>
              </w:rPr>
            </w:pPr>
            <w:r>
              <w:rPr>
                <w:rFonts w:eastAsia="Calibri"/>
                <w:szCs w:val="22"/>
                <w:lang w:val="de-DE"/>
              </w:rPr>
              <w:t>The way of changing is NBC for inter-node message.</w:t>
            </w:r>
          </w:p>
          <w:p w14:paraId="1D9C7434" w14:textId="77777777" w:rsidR="00C57F0A" w:rsidRDefault="00A71B0B">
            <w:pPr>
              <w:rPr>
                <w:rFonts w:eastAsia="Calibri"/>
                <w:sz w:val="21"/>
                <w:szCs w:val="21"/>
                <w:lang w:val="en-US"/>
              </w:rPr>
            </w:pPr>
            <w:r>
              <w:rPr>
                <w:rFonts w:eastAsia="Calibri"/>
                <w:szCs w:val="22"/>
                <w:lang w:val="de-DE"/>
              </w:rPr>
              <w:t xml:space="preserve">The IEs in </w:t>
            </w:r>
            <w:r>
              <w:rPr>
                <w:rFonts w:eastAsia="Calibri"/>
              </w:rPr>
              <w:t>UERadioPagingInformation-v1700-IEs are not UE’s paging capability signaling. It is for the inter-node message, which includes the ass</w:t>
            </w:r>
            <w:r>
              <w:rPr>
                <w:rFonts w:eastAsia="Calibri"/>
              </w:rPr>
              <w:t>ist information about UE capability. gNB gets this information so that gNB can do optimized paging based on the UE paging capability information.</w:t>
            </w:r>
          </w:p>
          <w:p w14:paraId="1622B5ED" w14:textId="77777777" w:rsidR="00C57F0A" w:rsidRDefault="00C57F0A">
            <w:pPr>
              <w:rPr>
                <w:rFonts w:eastAsia="Calibri"/>
              </w:rPr>
            </w:pPr>
          </w:p>
          <w:p w14:paraId="4CAA0011" w14:textId="77777777" w:rsidR="00C57F0A" w:rsidRDefault="00A71B0B">
            <w:pPr>
              <w:pStyle w:val="PL"/>
              <w:rPr>
                <w:rFonts w:eastAsia="Calibri"/>
              </w:rPr>
            </w:pPr>
            <w:r>
              <w:rPr>
                <w:rFonts w:eastAsia="Calibri"/>
              </w:rPr>
              <w:t xml:space="preserve">    numberOfRxRedCap-r17                   </w:t>
            </w:r>
            <w:r>
              <w:rPr>
                <w:rFonts w:eastAsia="Calibri"/>
                <w:color w:val="993366"/>
              </w:rPr>
              <w:t>ENUMERATED</w:t>
            </w:r>
            <w:r>
              <w:rPr>
                <w:rFonts w:eastAsia="Calibri"/>
              </w:rPr>
              <w:t xml:space="preserve"> {one, </w:t>
            </w:r>
            <w:proofErr w:type="gramStart"/>
            <w:r>
              <w:rPr>
                <w:rFonts w:eastAsia="Calibri"/>
              </w:rPr>
              <w:t>two}   </w:t>
            </w:r>
            <w:proofErr w:type="gramEnd"/>
            <w:r>
              <w:rPr>
                <w:rFonts w:eastAsia="Calibri"/>
              </w:rPr>
              <w:t xml:space="preserve">                             </w:t>
            </w:r>
            <w:r>
              <w:rPr>
                <w:rFonts w:eastAsia="Calibri"/>
                <w:color w:val="993366"/>
              </w:rPr>
              <w:t>OPTIONAL</w:t>
            </w:r>
            <w:r>
              <w:rPr>
                <w:rFonts w:eastAsia="Calibri"/>
              </w:rPr>
              <w:t>,</w:t>
            </w:r>
          </w:p>
          <w:p w14:paraId="30D16425" w14:textId="77777777" w:rsidR="00C57F0A" w:rsidRDefault="00A71B0B">
            <w:pPr>
              <w:pStyle w:val="PL"/>
              <w:rPr>
                <w:rFonts w:eastAsia="Calibri"/>
              </w:rPr>
            </w:pPr>
            <w:r>
              <w:rPr>
                <w:rFonts w:eastAsia="Calibri"/>
              </w:rPr>
              <w:t xml:space="preserve">    hd-FDDRedCap-r17                       </w:t>
            </w:r>
            <w:r>
              <w:rPr>
                <w:rFonts w:eastAsia="Calibri"/>
                <w:color w:val="993366"/>
              </w:rPr>
              <w:t>ENUMERATED</w:t>
            </w:r>
            <w:r>
              <w:rPr>
                <w:rFonts w:eastAsia="Calibri"/>
              </w:rPr>
              <w:t xml:space="preserve"> {</w:t>
            </w:r>
            <w:proofErr w:type="gramStart"/>
            <w:r>
              <w:rPr>
                <w:rFonts w:eastAsia="Calibri"/>
              </w:rPr>
              <w:t>supported}   </w:t>
            </w:r>
            <w:proofErr w:type="gramEnd"/>
            <w:r>
              <w:rPr>
                <w:rFonts w:eastAsia="Calibri"/>
              </w:rPr>
              <w:t xml:space="preserve">                            </w:t>
            </w:r>
            <w:r>
              <w:rPr>
                <w:rFonts w:eastAsia="Calibri"/>
                <w:color w:val="993366"/>
              </w:rPr>
              <w:t>OPTIONAL</w:t>
            </w:r>
            <w:r>
              <w:rPr>
                <w:rFonts w:eastAsia="Calibri"/>
              </w:rPr>
              <w:t>,</w:t>
            </w:r>
          </w:p>
          <w:p w14:paraId="6BFB9C5B" w14:textId="77777777" w:rsidR="00C57F0A" w:rsidRDefault="00C57F0A">
            <w:pPr>
              <w:rPr>
                <w:rFonts w:eastAsia="Calibri"/>
                <w:szCs w:val="22"/>
                <w:lang w:val="en-GB"/>
              </w:rPr>
            </w:pPr>
          </w:p>
          <w:p w14:paraId="2EAA42C0" w14:textId="77777777" w:rsidR="00C57F0A" w:rsidRDefault="00A71B0B">
            <w:pPr>
              <w:jc w:val="both"/>
              <w:rPr>
                <w:rFonts w:eastAsia="Calibri"/>
              </w:rPr>
            </w:pPr>
            <w:r>
              <w:rPr>
                <w:rFonts w:eastAsia="Calibri"/>
                <w:szCs w:val="22"/>
                <w:lang w:val="en-GB"/>
              </w:rPr>
              <w:t xml:space="preserve">The related UE radio capability </w:t>
            </w:r>
            <w:proofErr w:type="gramStart"/>
            <w:r>
              <w:rPr>
                <w:rFonts w:eastAsia="Calibri"/>
                <w:szCs w:val="22"/>
                <w:lang w:val="en-GB"/>
              </w:rPr>
              <w:t>were</w:t>
            </w:r>
            <w:proofErr w:type="gramEnd"/>
            <w:r>
              <w:rPr>
                <w:rFonts w:eastAsia="Calibri"/>
                <w:szCs w:val="22"/>
                <w:lang w:val="en-GB"/>
              </w:rPr>
              <w:t xml:space="preserve"> already captured in the spec as </w:t>
            </w:r>
            <w:proofErr w:type="spellStart"/>
            <w:r>
              <w:rPr>
                <w:rFonts w:eastAsia="Calibri"/>
                <w:lang w:val="en-GB"/>
              </w:rPr>
              <w:t>maxNumberMIMO-LayersPDSCH</w:t>
            </w:r>
            <w:proofErr w:type="spellEnd"/>
            <w:r>
              <w:rPr>
                <w:rFonts w:eastAsia="Calibri"/>
                <w:lang w:val="en-GB"/>
              </w:rPr>
              <w:t xml:space="preserve"> a</w:t>
            </w:r>
            <w:r>
              <w:rPr>
                <w:rFonts w:eastAsia="Calibri"/>
                <w:lang w:val="en-GB"/>
              </w:rPr>
              <w:t xml:space="preserve">nd </w:t>
            </w:r>
            <w:r>
              <w:rPr>
                <w:rFonts w:eastAsia="Calibri"/>
              </w:rP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rPr>
                <w:rFonts w:eastAsia="Calibri"/>
              </w:rPr>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rPr>
                <w:rFonts w:eastAsia="Calibri"/>
              </w:rPr>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lastRenderedPageBreak/>
              <w:t>2.</w:t>
            </w:r>
            <w:r w:rsidRPr="00075616">
              <w:rPr>
                <w:lang w:val="en-US"/>
              </w:rPr>
              <w:tab/>
              <w:t xml:space="preserve">Change the </w:t>
            </w:r>
            <w:proofErr w:type="spellStart"/>
            <w:r w:rsidRPr="00075616">
              <w:rPr>
                <w:lang w:val="en-US"/>
              </w:rPr>
              <w:t>RedCap</w:t>
            </w:r>
            <w:proofErr w:type="spellEnd"/>
            <w:r w:rsidRPr="00075616">
              <w:rPr>
                <w:lang w:val="en-US"/>
              </w:rPr>
              <w:t xml:space="preserve">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UERadioPagingInformation-v1700-</w:t>
            </w:r>
            <w:proofErr w:type="gramStart"/>
            <w:r w:rsidRPr="00962B3F">
              <w:t>IEs ::=</w:t>
            </w:r>
            <w:proofErr w:type="gramEnd"/>
            <w:r w:rsidRPr="00962B3F">
              <w:t xml:space="preserve">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w:t>
            </w:r>
            <w:proofErr w:type="gramStart"/>
            <w:r w:rsidRPr="00962B3F">
              <w:t xml:space="preserve">supported}   </w:t>
            </w:r>
            <w:proofErr w:type="gramEnd"/>
            <w:r w:rsidRPr="00962B3F">
              <w:t xml:space="preserve">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w:t>
            </w:r>
            <w:proofErr w:type="gramStart"/>
            <w:r w:rsidRPr="00962B3F">
              <w:t xml:space="preserve">two}   </w:t>
            </w:r>
            <w:proofErr w:type="gramEnd"/>
            <w:r w:rsidRPr="00962B3F">
              <w:t xml:space="preserve">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w:t>
            </w:r>
            <w:proofErr w:type="gramStart"/>
            <w:r w:rsidRPr="00F1335F">
              <w:rPr>
                <w:strike/>
                <w:color w:val="FF0000"/>
              </w:rPr>
              <w:t xml:space="preserve">supported}   </w:t>
            </w:r>
            <w:proofErr w:type="gramEnd"/>
            <w:r w:rsidRPr="00F1335F">
              <w:rPr>
                <w:strike/>
                <w:color w:val="FF0000"/>
              </w:rPr>
              <w:t>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w:t>
            </w:r>
            <w:proofErr w:type="gramStart"/>
            <w:r w:rsidRPr="00F1335F">
              <w:rPr>
                <w:color w:val="FF0000"/>
              </w:rPr>
              <w:t>1..</w:t>
            </w:r>
            <w:proofErr w:type="gramEnd"/>
            <w:r w:rsidRPr="00F1335F">
              <w:rPr>
                <w:color w:val="FF0000"/>
              </w:rPr>
              <w:t xml:space="preserve">maxBands)) OF </w:t>
            </w:r>
            <w:proofErr w:type="spellStart"/>
            <w:r w:rsidRPr="00F1335F">
              <w:rPr>
                <w:color w:val="FF0000"/>
              </w:rPr>
              <w:t>FreqBandIndicatorNR</w:t>
            </w:r>
            <w:proofErr w:type="spellEnd"/>
            <w:r w:rsidRPr="00F1335F">
              <w:rPr>
                <w:color w:val="FF0000"/>
              </w:rPr>
              <w:t xml:space="preserve">    OPTIONAL,</w:t>
            </w:r>
          </w:p>
          <w:p w14:paraId="3B9357ED" w14:textId="77777777" w:rsidR="002B635A" w:rsidRPr="00962B3F" w:rsidRDefault="002B635A" w:rsidP="002B635A">
            <w:pPr>
              <w:pStyle w:val="PL"/>
            </w:pPr>
            <w:r w:rsidRPr="00962B3F">
              <w:t xml:space="preserve">    </w:t>
            </w:r>
            <w:proofErr w:type="spellStart"/>
            <w:r w:rsidRPr="00962B3F">
              <w:t>nonCriticalExtension</w:t>
            </w:r>
            <w:proofErr w:type="spellEnd"/>
            <w:r w:rsidRPr="00962B3F">
              <w:t xml:space="preserve">  </w:t>
            </w:r>
            <w:r>
              <w:t xml:space="preserve">  </w:t>
            </w:r>
            <w:r w:rsidRPr="00962B3F">
              <w:rPr>
                <w:color w:val="993366"/>
              </w:rPr>
              <w:t>SEQUENCE</w:t>
            </w:r>
            <w:r w:rsidRPr="00962B3F">
              <w:t xml:space="preserve"> </w:t>
            </w:r>
            <w:proofErr w:type="gramStart"/>
            <w:r w:rsidRPr="00962B3F">
              <w:t xml:space="preserve">{}   </w:t>
            </w:r>
            <w:proofErr w:type="gramEnd"/>
            <w:r w:rsidRPr="00962B3F">
              <w:t xml:space="preserve">            </w:t>
            </w:r>
            <w:r w:rsidRPr="00962B3F">
              <w:rPr>
                <w:color w:val="993366"/>
              </w:rPr>
              <w:t>OPTIONAL</w:t>
            </w:r>
          </w:p>
          <w:p w14:paraId="40B83D53" w14:textId="1EA104ED" w:rsidR="002B635A" w:rsidRDefault="002B635A" w:rsidP="002B635A">
            <w:pPr>
              <w:jc w:val="both"/>
              <w:rPr>
                <w:rFonts w:eastAsia="Calibri"/>
              </w:rPr>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77777777" w:rsidR="002B635A" w:rsidRDefault="002B635A" w:rsidP="002B635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77124533" w14:textId="77777777" w:rsidR="002B635A" w:rsidRDefault="002B635A" w:rsidP="002B635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12F59A16" w14:textId="77777777" w:rsidR="002B635A" w:rsidRDefault="002B635A" w:rsidP="002B635A">
            <w:pPr>
              <w:jc w:val="both"/>
              <w:rPr>
                <w:rFonts w:eastAsia="Calibri"/>
              </w:rPr>
            </w:pPr>
          </w:p>
        </w:tc>
      </w:tr>
      <w:tr w:rsidR="002B635A"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77777777" w:rsidR="002B635A" w:rsidRDefault="002B635A" w:rsidP="002B635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53A2195D" w14:textId="77777777" w:rsidR="002B635A" w:rsidRDefault="002B635A" w:rsidP="002B635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0CB3DA5B" w14:textId="77777777" w:rsidR="002B635A" w:rsidRDefault="002B635A" w:rsidP="002B635A">
            <w:pPr>
              <w:jc w:val="both"/>
              <w:rPr>
                <w:rFonts w:eastAsia="Calibri"/>
              </w:rPr>
            </w:pPr>
          </w:p>
        </w:tc>
      </w:tr>
      <w:tr w:rsidR="002B635A"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77777777" w:rsidR="002B635A" w:rsidRDefault="002B635A" w:rsidP="002B635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5D7FB92A" w14:textId="77777777" w:rsidR="002B635A" w:rsidRDefault="002B635A" w:rsidP="002B635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07EF7B4B" w14:textId="77777777" w:rsidR="002B635A" w:rsidRDefault="002B635A" w:rsidP="002B635A">
            <w:pPr>
              <w:jc w:val="both"/>
              <w:rPr>
                <w:rFonts w:eastAsia="Calibri"/>
              </w:rPr>
            </w:pPr>
          </w:p>
        </w:tc>
      </w:tr>
      <w:tr w:rsidR="002B635A"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77777777" w:rsidR="002B635A" w:rsidRDefault="002B635A" w:rsidP="002B635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1FE74FEB" w14:textId="77777777" w:rsidR="002B635A" w:rsidRDefault="002B635A" w:rsidP="002B635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07F19C94" w14:textId="77777777" w:rsidR="002B635A" w:rsidRDefault="002B635A" w:rsidP="002B635A">
            <w:pPr>
              <w:jc w:val="both"/>
              <w:rPr>
                <w:rFonts w:eastAsia="Calibri"/>
              </w:rPr>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3BAA017E" w14:textId="77777777" w:rsidR="00C57F0A" w:rsidRDefault="00A71B0B">
      <w:pPr>
        <w:pStyle w:val="Heading2"/>
      </w:pPr>
      <w:r>
        <w:t>3.3</w:t>
      </w:r>
      <w:r>
        <w:tab/>
        <w:t>Unified TCI state with deactivated SCG</w:t>
      </w:r>
    </w:p>
    <w:p w14:paraId="0407FFD1" w14:textId="77777777" w:rsidR="00C57F0A" w:rsidRDefault="00A71B0B">
      <w:pPr>
        <w:pStyle w:val="Doc-title"/>
        <w:rPr>
          <w:strike/>
          <w:lang w:val="en-US"/>
        </w:rPr>
      </w:pPr>
      <w:hyperlink r:id="rId23" w:history="1">
        <w:r>
          <w:rPr>
            <w:rStyle w:val="Hyperlink"/>
            <w:strike/>
            <w:lang w:val="en-US"/>
          </w:rPr>
          <w:t>R2-2207002</w:t>
        </w:r>
      </w:hyperlink>
      <w:r>
        <w:rPr>
          <w:strike/>
          <w:lang w:val="en-US"/>
        </w:rPr>
        <w:tab/>
        <w:t>Corrections to initiation upon reception of RAN paging and T380 Expiry</w:t>
      </w:r>
      <w:r>
        <w:rPr>
          <w:strike/>
          <w:lang w:val="en-US"/>
        </w:rPr>
        <w:tab/>
        <w:t>Samsung Electronics Co., Ltd</w:t>
      </w:r>
      <w:r>
        <w:rPr>
          <w:strike/>
          <w:lang w:val="en-US"/>
        </w:rPr>
        <w:tab/>
      </w:r>
      <w:proofErr w:type="spellStart"/>
      <w:r>
        <w:rPr>
          <w:strike/>
          <w:lang w:val="en-US"/>
        </w:rPr>
        <w:t>draftCR</w:t>
      </w:r>
      <w:proofErr w:type="spellEnd"/>
      <w:r>
        <w:rPr>
          <w:strike/>
          <w:lang w:val="en-US"/>
        </w:rPr>
        <w:tab/>
        <w:t>Rel-17</w:t>
      </w:r>
      <w:r>
        <w:rPr>
          <w:strike/>
          <w:lang w:val="en-US"/>
        </w:rPr>
        <w:tab/>
        <w:t>38.331</w:t>
      </w:r>
      <w:r>
        <w:rPr>
          <w:strike/>
          <w:lang w:val="en-US"/>
        </w:rPr>
        <w:tab/>
        <w:t>17.1.0</w:t>
      </w:r>
      <w:r>
        <w:rPr>
          <w:strike/>
          <w:lang w:val="en-US"/>
        </w:rPr>
        <w:tab/>
      </w:r>
      <w:proofErr w:type="spellStart"/>
      <w:r>
        <w:rPr>
          <w:strike/>
          <w:lang w:val="en-US"/>
        </w:rPr>
        <w:t>NR_newRAT</w:t>
      </w:r>
      <w:proofErr w:type="spellEnd"/>
      <w:r>
        <w:rPr>
          <w:strike/>
          <w:lang w:val="en-US"/>
        </w:rPr>
        <w:t xml:space="preserve">-Core, </w:t>
      </w:r>
      <w:proofErr w:type="spellStart"/>
      <w:r>
        <w:rPr>
          <w:strike/>
          <w:lang w:val="en-US"/>
        </w:rPr>
        <w:t>NR_SmallDa</w:t>
      </w:r>
      <w:r>
        <w:rPr>
          <w:strike/>
          <w:lang w:val="en-US"/>
        </w:rPr>
        <w:t>ta_INACTIVE</w:t>
      </w:r>
      <w:proofErr w:type="spellEnd"/>
      <w:r>
        <w:rPr>
          <w:strike/>
          <w:lang w:val="en-US"/>
        </w:rPr>
        <w:t>-Core</w:t>
      </w:r>
    </w:p>
    <w:p w14:paraId="41ED9B84" w14:textId="77777777" w:rsidR="00C57F0A" w:rsidRDefault="00C57F0A">
      <w:pPr>
        <w:pStyle w:val="Doc-text2"/>
        <w:rPr>
          <w:lang w:val="en-US" w:eastAsia="en-GB"/>
        </w:rPr>
      </w:pPr>
    </w:p>
    <w:p w14:paraId="5373DF55" w14:textId="77777777" w:rsidR="00C57F0A" w:rsidRDefault="00A71B0B">
      <w:pPr>
        <w:pStyle w:val="Doc-title"/>
        <w:rPr>
          <w:lang w:val="en-US"/>
        </w:rPr>
      </w:pPr>
      <w:hyperlink r:id="rId24" w:history="1">
        <w:r>
          <w:rPr>
            <w:rStyle w:val="Hyperlink"/>
            <w:lang w:val="en-US"/>
          </w:rPr>
          <w:t>R2-2207267</w:t>
        </w:r>
      </w:hyperlink>
      <w:r>
        <w:rPr>
          <w:lang w:val="en-US"/>
        </w:rPr>
        <w:tab/>
        <w:t>Unified TCI state with deactivated SCG</w:t>
      </w:r>
      <w:r>
        <w:rPr>
          <w:lang w:val="en-US"/>
        </w:rPr>
        <w:tab/>
        <w:t>Nokia, Nokia Shanghai Bell</w:t>
      </w:r>
      <w:r>
        <w:rPr>
          <w:lang w:val="en-US"/>
        </w:rPr>
        <w:tab/>
        <w:t>discussion</w:t>
      </w:r>
      <w:r>
        <w:rPr>
          <w:lang w:val="en-US"/>
        </w:rPr>
        <w:tab/>
        <w:t>Rel-17</w:t>
      </w:r>
      <w:r>
        <w:rPr>
          <w:lang w:val="en-US"/>
        </w:rPr>
        <w:tab/>
        <w:t xml:space="preserve">LTE_NR_DC_enh2-Core, </w:t>
      </w:r>
      <w:proofErr w:type="spellStart"/>
      <w:r>
        <w:rPr>
          <w:lang w:val="en-US"/>
        </w:rPr>
        <w:t>NR_FeMIMO</w:t>
      </w:r>
      <w:proofErr w:type="spellEnd"/>
      <w:r>
        <w:rPr>
          <w:lang w:val="en-US"/>
        </w:rPr>
        <w:t>-Core</w:t>
      </w:r>
    </w:p>
    <w:p w14:paraId="1F4BAB8E" w14:textId="77777777" w:rsidR="00C57F0A" w:rsidRDefault="00C57F0A">
      <w:pPr>
        <w:jc w:val="both"/>
        <w:rPr>
          <w:b/>
          <w:bCs/>
        </w:rPr>
      </w:pPr>
    </w:p>
    <w:p w14:paraId="35011ABD" w14:textId="77777777" w:rsidR="00C57F0A" w:rsidRDefault="00A71B0B">
      <w:pPr>
        <w:jc w:val="both"/>
        <w:rPr>
          <w:b/>
          <w:bCs/>
          <w:szCs w:val="20"/>
          <w:lang w:val="en-GB" w:eastAsia="ja-JP"/>
        </w:rPr>
      </w:pPr>
      <w:r>
        <w:rPr>
          <w:b/>
          <w:bCs/>
        </w:rPr>
        <w:t>Q3. Do companies</w:t>
      </w:r>
      <w:r>
        <w:rPr>
          <w:b/>
          <w:bCs/>
        </w:rPr>
        <w:t xml:space="preserve"> agree with the intent of the CR above?</w:t>
      </w:r>
    </w:p>
    <w:p w14:paraId="066B8853"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10FD2FFA" w14:textId="77777777">
        <w:tc>
          <w:tcPr>
            <w:tcW w:w="1837" w:type="dxa"/>
            <w:tcBorders>
              <w:top w:val="single" w:sz="4" w:space="0" w:color="auto"/>
              <w:left w:val="single" w:sz="4" w:space="0" w:color="auto"/>
              <w:bottom w:val="single" w:sz="4" w:space="0" w:color="auto"/>
              <w:right w:val="single" w:sz="4" w:space="0" w:color="auto"/>
            </w:tcBorders>
          </w:tcPr>
          <w:p w14:paraId="66598C73" w14:textId="77777777" w:rsidR="00C57F0A" w:rsidRDefault="00A71B0B">
            <w:pPr>
              <w:jc w:val="both"/>
              <w:rPr>
                <w:rFonts w:eastAsia="Calibri"/>
                <w:b/>
                <w:bCs/>
              </w:rPr>
            </w:pPr>
            <w:r>
              <w:rPr>
                <w:rFonts w:eastAsia="Calibri"/>
                <w:b/>
                <w:bCs/>
              </w:rPr>
              <w:t>Company</w:t>
            </w:r>
          </w:p>
        </w:tc>
        <w:tc>
          <w:tcPr>
            <w:tcW w:w="1135" w:type="dxa"/>
            <w:tcBorders>
              <w:top w:val="single" w:sz="4" w:space="0" w:color="auto"/>
              <w:left w:val="single" w:sz="4" w:space="0" w:color="auto"/>
              <w:bottom w:val="single" w:sz="4" w:space="0" w:color="auto"/>
              <w:right w:val="single" w:sz="4" w:space="0" w:color="auto"/>
            </w:tcBorders>
          </w:tcPr>
          <w:p w14:paraId="146E0FBE" w14:textId="77777777" w:rsidR="00C57F0A" w:rsidRDefault="00A71B0B">
            <w:pPr>
              <w:jc w:val="both"/>
              <w:rPr>
                <w:rFonts w:eastAsia="Calibri"/>
                <w:b/>
                <w:bCs/>
              </w:rPr>
            </w:pPr>
            <w:r>
              <w:rPr>
                <w:rFonts w:eastAsia="Calibri"/>
                <w:b/>
                <w:bCs/>
              </w:rPr>
              <w:t>Yes/No</w:t>
            </w:r>
          </w:p>
        </w:tc>
        <w:tc>
          <w:tcPr>
            <w:tcW w:w="6657" w:type="dxa"/>
            <w:tcBorders>
              <w:top w:val="single" w:sz="4" w:space="0" w:color="auto"/>
              <w:left w:val="single" w:sz="4" w:space="0" w:color="auto"/>
              <w:bottom w:val="single" w:sz="4" w:space="0" w:color="auto"/>
              <w:right w:val="single" w:sz="4" w:space="0" w:color="auto"/>
            </w:tcBorders>
          </w:tcPr>
          <w:p w14:paraId="5D5E9814" w14:textId="77777777" w:rsidR="00C57F0A" w:rsidRDefault="00A71B0B">
            <w:pPr>
              <w:jc w:val="both"/>
              <w:rPr>
                <w:rFonts w:eastAsia="Calibri"/>
                <w:b/>
                <w:bCs/>
              </w:rPr>
            </w:pPr>
            <w:r>
              <w:rPr>
                <w:rFonts w:eastAsia="Calibri"/>
                <w:b/>
                <w:bCs/>
              </w:rPr>
              <w:t>Comments</w:t>
            </w:r>
          </w:p>
        </w:tc>
      </w:tr>
      <w:tr w:rsidR="00C57F0A" w14:paraId="70224C74" w14:textId="77777777">
        <w:tc>
          <w:tcPr>
            <w:tcW w:w="1837" w:type="dxa"/>
            <w:tcBorders>
              <w:top w:val="single" w:sz="4" w:space="0" w:color="auto"/>
              <w:left w:val="single" w:sz="4" w:space="0" w:color="auto"/>
              <w:bottom w:val="single" w:sz="4" w:space="0" w:color="auto"/>
              <w:right w:val="single" w:sz="4" w:space="0" w:color="auto"/>
            </w:tcBorders>
          </w:tcPr>
          <w:p w14:paraId="5C265532" w14:textId="77777777" w:rsidR="00C57F0A" w:rsidRDefault="00A71B0B">
            <w:pPr>
              <w:jc w:val="both"/>
              <w:rPr>
                <w:rFonts w:eastAsia="Calibri"/>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59F5507" w14:textId="77777777" w:rsidR="00C57F0A" w:rsidRDefault="00A71B0B">
            <w:pPr>
              <w:jc w:val="both"/>
              <w:rPr>
                <w:rFonts w:eastAsia="Calibri"/>
              </w:rPr>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8DBCAC" w14:textId="77777777" w:rsidR="00C57F0A" w:rsidRDefault="00A71B0B">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348BBEC5" w14:textId="77777777" w:rsidR="00C57F0A" w:rsidRDefault="00A71B0B">
            <w:pPr>
              <w:jc w:val="both"/>
              <w:rPr>
                <w:rFonts w:eastAsia="Calibri"/>
              </w:rPr>
            </w:pPr>
            <w:r>
              <w:rPr>
                <w:rFonts w:eastAsia="Malgun Gothic"/>
                <w:lang w:eastAsia="ko-KR"/>
              </w:rPr>
              <w:lastRenderedPageBreak/>
              <w:t>For the detail ASN.1 changes proposed in this draft CR, NB</w:t>
            </w:r>
            <w:r>
              <w:rPr>
                <w:rFonts w:eastAsia="Malgun Gothic"/>
                <w:lang w:eastAsia="ko-KR"/>
              </w:rPr>
              <w:t>C corrections in terms of ASN.1 are proposed. We agree this is cleaner approach but it requires more RAN2 concensus.</w:t>
            </w:r>
          </w:p>
        </w:tc>
      </w:tr>
      <w:tr w:rsidR="00C57F0A" w14:paraId="7347147D" w14:textId="77777777">
        <w:tc>
          <w:tcPr>
            <w:tcW w:w="1837" w:type="dxa"/>
            <w:tcBorders>
              <w:top w:val="single" w:sz="4" w:space="0" w:color="auto"/>
              <w:left w:val="single" w:sz="4" w:space="0" w:color="auto"/>
              <w:bottom w:val="single" w:sz="4" w:space="0" w:color="auto"/>
              <w:right w:val="single" w:sz="4" w:space="0" w:color="auto"/>
            </w:tcBorders>
          </w:tcPr>
          <w:p w14:paraId="6EDBE384" w14:textId="77777777" w:rsidR="00C57F0A" w:rsidRDefault="00A71B0B">
            <w:pPr>
              <w:jc w:val="both"/>
              <w:rPr>
                <w:rFonts w:eastAsia="Calibri"/>
              </w:rPr>
            </w:pPr>
            <w:r>
              <w:rPr>
                <w:rFonts w:eastAsiaTheme="minorEastAsia" w:hint="eastAsia"/>
              </w:rPr>
              <w:lastRenderedPageBreak/>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04B43605" w14:textId="77777777" w:rsidR="00C57F0A" w:rsidRDefault="00A71B0B">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089030F" w14:textId="77777777" w:rsidR="00C57F0A" w:rsidRDefault="00A71B0B">
            <w:pPr>
              <w:jc w:val="both"/>
              <w:rPr>
                <w:rFonts w:eastAsia="Calibri"/>
              </w:rPr>
            </w:pPr>
            <w:r>
              <w:rPr>
                <w:rFonts w:eastAsia="Calibri"/>
                <w:szCs w:val="22"/>
                <w:lang w:val="de-DE" w:eastAsia="en-US"/>
              </w:rPr>
              <w:t xml:space="preserve">NBC proposal (ASN.1 NBC change). The proposed changes to the field description are ok but don't see the need for </w:t>
            </w:r>
            <w:r>
              <w:rPr>
                <w:rFonts w:eastAsia="Calibri"/>
                <w:szCs w:val="22"/>
                <w:lang w:val="de-DE" w:eastAsia="en-US"/>
              </w:rPr>
              <w:t>any ASN.1 change, the network can provide the MAC CE for UL TCI states after SCG activation. Otherwise, it should be a new UE capability and added in a BC way.</w:t>
            </w:r>
          </w:p>
        </w:tc>
      </w:tr>
      <w:tr w:rsidR="00C57F0A" w14:paraId="111F5B6E" w14:textId="77777777">
        <w:tc>
          <w:tcPr>
            <w:tcW w:w="1837" w:type="dxa"/>
            <w:tcBorders>
              <w:top w:val="single" w:sz="4" w:space="0" w:color="auto"/>
              <w:left w:val="single" w:sz="4" w:space="0" w:color="auto"/>
              <w:bottom w:val="single" w:sz="4" w:space="0" w:color="auto"/>
              <w:right w:val="single" w:sz="4" w:space="0" w:color="auto"/>
            </w:tcBorders>
          </w:tcPr>
          <w:p w14:paraId="08E9E88A"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8AA39E"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1B3A1B1"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w:t>
            </w:r>
            <w:r>
              <w:rPr>
                <w:rFonts w:eastAsia="Yu Mincho"/>
                <w:lang w:eastAsia="ja-JP"/>
              </w:rPr>
              <w:t xml:space="preserve"> the tci-info framework (and some details need to be looked at), but there can be other ways to do this, e.g. not having ”indicated TCI state” in RRC configuration, but rely on DCI after SCell/PSCell activation.</w:t>
            </w:r>
          </w:p>
          <w:p w14:paraId="534ECD1B"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o us, it is too late to discuss all the det</w:t>
            </w:r>
            <w:r>
              <w:rPr>
                <w:rFonts w:eastAsia="Yu Mincho"/>
                <w:lang w:eastAsia="ja-JP"/>
              </w:rPr>
              <w:t>ails for release-17. We propose to leave the feature combination unsupported in release-17.</w:t>
            </w:r>
          </w:p>
        </w:tc>
      </w:tr>
      <w:tr w:rsidR="00BB05B6" w14:paraId="54C6F118" w14:textId="77777777">
        <w:tc>
          <w:tcPr>
            <w:tcW w:w="1837" w:type="dxa"/>
            <w:tcBorders>
              <w:top w:val="single" w:sz="4" w:space="0" w:color="auto"/>
              <w:left w:val="single" w:sz="4" w:space="0" w:color="auto"/>
              <w:bottom w:val="single" w:sz="4" w:space="0" w:color="auto"/>
              <w:right w:val="single" w:sz="4" w:space="0" w:color="auto"/>
            </w:tcBorders>
          </w:tcPr>
          <w:p w14:paraId="7B033D89" w14:textId="615ED891" w:rsidR="00BB05B6" w:rsidRDefault="00BB05B6" w:rsidP="00BB05B6">
            <w:pPr>
              <w:jc w:val="both"/>
              <w:rPr>
                <w:rFonts w:eastAsia="Calibri"/>
              </w:rPr>
            </w:pPr>
            <w:r>
              <w:t>MediaTek</w:t>
            </w:r>
          </w:p>
        </w:tc>
        <w:tc>
          <w:tcPr>
            <w:tcW w:w="1135" w:type="dxa"/>
            <w:tcBorders>
              <w:top w:val="single" w:sz="4" w:space="0" w:color="auto"/>
              <w:left w:val="single" w:sz="4" w:space="0" w:color="auto"/>
              <w:bottom w:val="single" w:sz="4" w:space="0" w:color="auto"/>
              <w:right w:val="single" w:sz="4" w:space="0" w:color="auto"/>
            </w:tcBorders>
          </w:tcPr>
          <w:p w14:paraId="465CA1E9" w14:textId="0EA712E3" w:rsidR="00BB05B6" w:rsidRDefault="00BB05B6" w:rsidP="00BB05B6">
            <w:pPr>
              <w:jc w:val="both"/>
              <w:rPr>
                <w:rFonts w:eastAsia="Calibri"/>
              </w:rPr>
            </w:pPr>
            <w:r>
              <w:t>Yes/No</w:t>
            </w:r>
          </w:p>
        </w:tc>
        <w:tc>
          <w:tcPr>
            <w:tcW w:w="6657" w:type="dxa"/>
            <w:tcBorders>
              <w:top w:val="single" w:sz="4" w:space="0" w:color="auto"/>
              <w:left w:val="single" w:sz="4" w:space="0" w:color="auto"/>
              <w:bottom w:val="single" w:sz="4" w:space="0" w:color="auto"/>
              <w:right w:val="single" w:sz="4" w:space="0" w:color="auto"/>
            </w:tcBorders>
          </w:tcPr>
          <w:p w14:paraId="3A8C4AA2" w14:textId="77777777" w:rsidR="00BB05B6" w:rsidRDefault="00BB05B6" w:rsidP="00BB05B6">
            <w:pPr>
              <w:jc w:val="both"/>
            </w:pPr>
            <w:r>
              <w:t>There are two alternative and we are open for both options.</w:t>
            </w:r>
          </w:p>
          <w:p w14:paraId="3317FD39" w14:textId="77777777" w:rsidR="00BB05B6" w:rsidRDefault="00BB05B6" w:rsidP="00BB05B6">
            <w:pPr>
              <w:jc w:val="both"/>
            </w:pPr>
            <w:r>
              <w:t xml:space="preserve">Alt-1- Support comination of </w:t>
            </w:r>
            <w:r>
              <w:rPr>
                <w:rFonts w:eastAsia="Malgun Gothic"/>
                <w:lang w:eastAsia="ko-KR"/>
              </w:rPr>
              <w:t>unified TCI and SCG deactivation</w:t>
            </w:r>
          </w:p>
          <w:p w14:paraId="3A5A3B6A" w14:textId="77777777" w:rsidR="00BB05B6" w:rsidRDefault="00BB05B6" w:rsidP="00BB05B6">
            <w:pPr>
              <w:jc w:val="both"/>
            </w:pPr>
            <w:r>
              <w:t>Alt-2- Not support comination of joint TCI and SCG deactivation</w:t>
            </w:r>
          </w:p>
          <w:p w14:paraId="32A624D4" w14:textId="77777777" w:rsidR="00BB05B6" w:rsidRDefault="00BB05B6" w:rsidP="00BB05B6">
            <w:pPr>
              <w:jc w:val="both"/>
            </w:pPr>
            <w:r>
              <w:t>For Alt-1, we are fine with the proposal from Nokia. It is ASN.1 NBC but it is cleaner.</w:t>
            </w:r>
          </w:p>
          <w:p w14:paraId="6ABC4C45" w14:textId="2ADFB242" w:rsidR="00BB05B6" w:rsidRDefault="00BB05B6" w:rsidP="00BB05B6">
            <w:pPr>
              <w:jc w:val="both"/>
              <w:rPr>
                <w:rFonts w:eastAsia="Calibri"/>
              </w:rPr>
            </w:pPr>
            <w:r>
              <w:t>For Alt-2, not sure if we need further SPEC change for this.</w:t>
            </w:r>
          </w:p>
        </w:tc>
      </w:tr>
      <w:tr w:rsidR="00C57F0A" w14:paraId="25894755" w14:textId="77777777">
        <w:tc>
          <w:tcPr>
            <w:tcW w:w="1837" w:type="dxa"/>
            <w:tcBorders>
              <w:top w:val="single" w:sz="4" w:space="0" w:color="auto"/>
              <w:left w:val="single" w:sz="4" w:space="0" w:color="auto"/>
              <w:bottom w:val="single" w:sz="4" w:space="0" w:color="auto"/>
              <w:right w:val="single" w:sz="4" w:space="0" w:color="auto"/>
            </w:tcBorders>
          </w:tcPr>
          <w:p w14:paraId="6F1C137C" w14:textId="77777777" w:rsidR="00C57F0A" w:rsidRDefault="00C57F0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23248039" w14:textId="77777777" w:rsidR="00C57F0A" w:rsidRDefault="00C57F0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4A57CE11" w14:textId="77777777" w:rsidR="00C57F0A" w:rsidRDefault="00C57F0A">
            <w:pPr>
              <w:jc w:val="both"/>
              <w:rPr>
                <w:rFonts w:eastAsia="Calibri"/>
              </w:rPr>
            </w:pPr>
          </w:p>
        </w:tc>
      </w:tr>
      <w:tr w:rsidR="00C57F0A" w14:paraId="47E2F2AE" w14:textId="77777777">
        <w:tc>
          <w:tcPr>
            <w:tcW w:w="1837" w:type="dxa"/>
            <w:tcBorders>
              <w:top w:val="single" w:sz="4" w:space="0" w:color="auto"/>
              <w:left w:val="single" w:sz="4" w:space="0" w:color="auto"/>
              <w:bottom w:val="single" w:sz="4" w:space="0" w:color="auto"/>
              <w:right w:val="single" w:sz="4" w:space="0" w:color="auto"/>
            </w:tcBorders>
          </w:tcPr>
          <w:p w14:paraId="1E824399" w14:textId="77777777" w:rsidR="00C57F0A" w:rsidRDefault="00C57F0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06681582" w14:textId="77777777" w:rsidR="00C57F0A" w:rsidRDefault="00C57F0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620DD64B" w14:textId="77777777" w:rsidR="00C57F0A" w:rsidRDefault="00C57F0A">
            <w:pPr>
              <w:jc w:val="both"/>
              <w:rPr>
                <w:rFonts w:eastAsia="Calibri"/>
              </w:rPr>
            </w:pPr>
          </w:p>
        </w:tc>
      </w:tr>
      <w:tr w:rsidR="00C57F0A" w14:paraId="0C2C6E6A" w14:textId="77777777">
        <w:tc>
          <w:tcPr>
            <w:tcW w:w="1837" w:type="dxa"/>
            <w:tcBorders>
              <w:top w:val="single" w:sz="4" w:space="0" w:color="auto"/>
              <w:left w:val="single" w:sz="4" w:space="0" w:color="auto"/>
              <w:bottom w:val="single" w:sz="4" w:space="0" w:color="auto"/>
              <w:right w:val="single" w:sz="4" w:space="0" w:color="auto"/>
            </w:tcBorders>
          </w:tcPr>
          <w:p w14:paraId="6884EB94" w14:textId="77777777" w:rsidR="00C57F0A" w:rsidRDefault="00C57F0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4E4E7BF5" w14:textId="77777777" w:rsidR="00C57F0A" w:rsidRDefault="00C57F0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33F65520" w14:textId="77777777" w:rsidR="00C57F0A" w:rsidRDefault="00C57F0A">
            <w:pPr>
              <w:jc w:val="both"/>
              <w:rPr>
                <w:rFonts w:eastAsia="Calibri"/>
              </w:rPr>
            </w:pPr>
          </w:p>
        </w:tc>
      </w:tr>
      <w:tr w:rsidR="00C57F0A" w14:paraId="5D79E967" w14:textId="77777777">
        <w:tc>
          <w:tcPr>
            <w:tcW w:w="1837" w:type="dxa"/>
            <w:tcBorders>
              <w:top w:val="single" w:sz="4" w:space="0" w:color="auto"/>
              <w:left w:val="single" w:sz="4" w:space="0" w:color="auto"/>
              <w:bottom w:val="single" w:sz="4" w:space="0" w:color="auto"/>
              <w:right w:val="single" w:sz="4" w:space="0" w:color="auto"/>
            </w:tcBorders>
          </w:tcPr>
          <w:p w14:paraId="1F949E6B" w14:textId="77777777" w:rsidR="00C57F0A" w:rsidRDefault="00C57F0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238E3468" w14:textId="77777777" w:rsidR="00C57F0A" w:rsidRDefault="00C57F0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217D42D7" w14:textId="77777777" w:rsidR="00C57F0A" w:rsidRDefault="00C57F0A">
            <w:pPr>
              <w:jc w:val="both"/>
              <w:rPr>
                <w:rFonts w:eastAsia="Calibri"/>
              </w:rPr>
            </w:pPr>
          </w:p>
        </w:tc>
      </w:tr>
    </w:tbl>
    <w:p w14:paraId="28FBF035" w14:textId="77777777" w:rsidR="00C57F0A" w:rsidRDefault="00C57F0A">
      <w:pPr>
        <w:jc w:val="both"/>
        <w:rPr>
          <w:szCs w:val="20"/>
          <w:lang w:val="en-GB" w:eastAsia="ja-JP"/>
        </w:rPr>
      </w:pPr>
    </w:p>
    <w:p w14:paraId="643AE849" w14:textId="77777777" w:rsidR="00C57F0A" w:rsidRDefault="00C57F0A">
      <w:pPr>
        <w:jc w:val="both"/>
        <w:rPr>
          <w:lang w:val="en-US"/>
        </w:rPr>
      </w:pPr>
    </w:p>
    <w:p w14:paraId="42EE19DA" w14:textId="77777777" w:rsidR="00C57F0A" w:rsidRDefault="00C57F0A">
      <w:pPr>
        <w:jc w:val="both"/>
        <w:rPr>
          <w:lang w:val="en-US"/>
        </w:rPr>
      </w:pPr>
    </w:p>
    <w:p w14:paraId="43629829" w14:textId="77777777" w:rsidR="00C57F0A" w:rsidRDefault="00A71B0B">
      <w:pPr>
        <w:pStyle w:val="Heading2"/>
      </w:pPr>
      <w:r>
        <w:t>3.4</w:t>
      </w:r>
      <w:r>
        <w:tab/>
        <w:t>Corrections to initiation upon reception of RAN paging and T380 Expiry</w:t>
      </w:r>
    </w:p>
    <w:p w14:paraId="3874402D" w14:textId="77777777" w:rsidR="00C57F0A" w:rsidRDefault="00A71B0B">
      <w:pPr>
        <w:pStyle w:val="Doc-title"/>
        <w:rPr>
          <w:lang w:val="en-US"/>
        </w:rPr>
      </w:pPr>
      <w:hyperlink r:id="rId25" w:history="1">
        <w:r>
          <w:rPr>
            <w:rStyle w:val="Hyperlink"/>
            <w:lang w:val="en-US"/>
          </w:rPr>
          <w:t>R2-2207002</w:t>
        </w:r>
      </w:hyperlink>
      <w:r>
        <w:rPr>
          <w:lang w:val="en-US"/>
        </w:rPr>
        <w:tab/>
        <w:t>Corrections to initiation upon reception of RAN paging and T380 Expiry</w:t>
      </w:r>
      <w:r>
        <w:rPr>
          <w:lang w:val="en-US"/>
        </w:rPr>
        <w:tab/>
        <w:t>Samsung Electronics Co., Ltd</w:t>
      </w:r>
      <w:r>
        <w:rPr>
          <w:lang w:val="en-US"/>
        </w:rPr>
        <w:tab/>
      </w:r>
      <w:proofErr w:type="spellStart"/>
      <w:r>
        <w:rPr>
          <w:lang w:val="en-US"/>
        </w:rPr>
        <w:t>draftCR</w:t>
      </w:r>
      <w:proofErr w:type="spellEnd"/>
      <w:r>
        <w:rPr>
          <w:lang w:val="en-US"/>
        </w:rPr>
        <w:tab/>
        <w:t>Rel-17</w:t>
      </w:r>
      <w:r>
        <w:rPr>
          <w:lang w:val="en-US"/>
        </w:rPr>
        <w:tab/>
        <w:t>38.331</w:t>
      </w:r>
      <w:r>
        <w:rPr>
          <w:lang w:val="en-US"/>
        </w:rPr>
        <w:tab/>
        <w:t>17.1.0</w:t>
      </w:r>
      <w:r>
        <w:rPr>
          <w:lang w:val="en-US"/>
        </w:rPr>
        <w:tab/>
      </w:r>
      <w:proofErr w:type="spellStart"/>
      <w:r>
        <w:rPr>
          <w:lang w:val="en-US"/>
        </w:rPr>
        <w:t>NR_newRAT</w:t>
      </w:r>
      <w:proofErr w:type="spellEnd"/>
      <w:r>
        <w:rPr>
          <w:lang w:val="en-US"/>
        </w:rPr>
        <w:t xml:space="preserve">-Core, </w:t>
      </w:r>
      <w:proofErr w:type="spellStart"/>
      <w:r>
        <w:rPr>
          <w:lang w:val="en-US"/>
        </w:rPr>
        <w:t>NR_SmallDa</w:t>
      </w:r>
      <w:r>
        <w:rPr>
          <w:lang w:val="en-US"/>
        </w:rPr>
        <w:t>ta_INACTIVE</w:t>
      </w:r>
      <w:proofErr w:type="spellEnd"/>
      <w:r>
        <w:rPr>
          <w:lang w:val="en-US"/>
        </w:rPr>
        <w:t>-Core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TableGrid"/>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rFonts w:eastAsia="Calibri"/>
                <w:b/>
                <w:bCs/>
              </w:rPr>
            </w:pPr>
            <w:r>
              <w:rPr>
                <w:rFonts w:eastAsia="Calibri"/>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rFonts w:eastAsia="Calibri"/>
                <w:b/>
                <w:bCs/>
              </w:rPr>
            </w:pPr>
            <w:r>
              <w:rPr>
                <w:rFonts w:eastAsia="Calibri"/>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rFonts w:eastAsia="Calibri"/>
                <w:b/>
                <w:bCs/>
              </w:rPr>
            </w:pPr>
            <w:r>
              <w:rPr>
                <w:rFonts w:eastAsia="Calibri"/>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rPr>
                <w:rFonts w:eastAsia="Calibri"/>
              </w:rPr>
            </w:pPr>
            <w:r>
              <w:rPr>
                <w:rFonts w:eastAsia="Malgun Gothic" w:hint="eastAsia"/>
                <w:lang w:eastAsia="ko-KR"/>
              </w:rPr>
              <w:lastRenderedPageBreak/>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rPr>
                <w:rFonts w:eastAsia="Calibri"/>
              </w:rPr>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eastAsia="Calibri" w:cs="Arial"/>
              </w:rPr>
            </w:pPr>
            <w:r>
              <w:rPr>
                <w:rFonts w:eastAsia="Calibri" w:cs="Arial"/>
              </w:rPr>
              <w:t xml:space="preserve">Scenario: RRC initiate resumption procedure in RRC_INACTIVE. While the resumption is ongoing, T380 expires. </w:t>
            </w:r>
          </w:p>
          <w:p w14:paraId="374916E8" w14:textId="77777777" w:rsidR="00C57F0A" w:rsidRDefault="00C57F0A">
            <w:pPr>
              <w:rPr>
                <w:rFonts w:eastAsia="Calibri" w:cs="Arial"/>
              </w:rPr>
            </w:pPr>
          </w:p>
          <w:p w14:paraId="0A00850C" w14:textId="77777777" w:rsidR="00C57F0A" w:rsidRDefault="00A71B0B">
            <w:pPr>
              <w:rPr>
                <w:rFonts w:eastAsia="Calibri" w:cs="Arial"/>
              </w:rPr>
            </w:pPr>
            <w:r>
              <w:rPr>
                <w:rFonts w:eastAsia="Calibri" w:cs="Arial"/>
              </w:rPr>
              <w:t>Case 1: resumption is initiated for SDT</w:t>
            </w:r>
          </w:p>
          <w:p w14:paraId="50FCCAC4"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 xml:space="preserve">Normative text is added in specification to prohibit initiating the second resumption procedure while the </w:t>
            </w:r>
            <w:r>
              <w:rPr>
                <w:rFonts w:ascii="Arial" w:hAnsi="Arial" w:cs="Arial"/>
                <w:lang w:val="en-US"/>
              </w:rPr>
              <w:t>first one is ongoing.</w:t>
            </w:r>
          </w:p>
          <w:p w14:paraId="0CFB9DE5" w14:textId="77777777" w:rsidR="00C57F0A" w:rsidRDefault="00C57F0A">
            <w:pPr>
              <w:rPr>
                <w:rFonts w:eastAsia="Calibri" w:cs="Arial"/>
              </w:rPr>
            </w:pPr>
          </w:p>
          <w:p w14:paraId="2BE501C1" w14:textId="77777777" w:rsidR="00C57F0A" w:rsidRDefault="00A71B0B">
            <w:pPr>
              <w:rPr>
                <w:rFonts w:eastAsia="Calibri" w:cs="Arial"/>
              </w:rPr>
            </w:pPr>
            <w:r>
              <w:rPr>
                <w:rFonts w:eastAsia="Calibri" w:cs="Arial"/>
                <w:lang w:val="en-US"/>
              </w:rPr>
              <w:t xml:space="preserve">Case 2: </w:t>
            </w:r>
            <w:r>
              <w:rPr>
                <w:rFonts w:eastAsia="Calibri" w:cs="Arial"/>
              </w:rPr>
              <w:t>resumption is not initiated for SDT</w:t>
            </w:r>
          </w:p>
          <w:p w14:paraId="0B811F5C"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 xml:space="preserve">RAN2#113bis Agreement: The UE </w:t>
            </w:r>
            <w:r>
              <w:rPr>
                <w:b w:val="0"/>
                <w:bCs/>
              </w:rPr>
              <w:t>should not start the 2nd RRC resumption procedure when there is a RRC resumption procedure ongoing (no spec change required)</w:t>
            </w:r>
          </w:p>
          <w:p w14:paraId="5FDF47B3" w14:textId="77777777" w:rsidR="00C57F0A" w:rsidRDefault="00C57F0A">
            <w:pPr>
              <w:pStyle w:val="ListParagraph"/>
              <w:rPr>
                <w:rFonts w:ascii="Arial" w:hAnsi="Arial" w:cs="Arial"/>
                <w:lang w:val="en-US"/>
              </w:rPr>
            </w:pPr>
          </w:p>
          <w:p w14:paraId="13CE80B6" w14:textId="77777777" w:rsidR="00C57F0A" w:rsidRDefault="00A71B0B">
            <w:pPr>
              <w:jc w:val="both"/>
              <w:rPr>
                <w:rFonts w:eastAsia="Calibri"/>
              </w:rPr>
            </w:pPr>
            <w:r>
              <w:rPr>
                <w:rFonts w:eastAsia="Calibri" w:cs="Arial"/>
              </w:rPr>
              <w:t>In our understanding, in both the cases, second resumption procedure should not be initiated while the first one is ongoing. The s</w:t>
            </w:r>
            <w:r>
              <w:rPr>
                <w:rFonts w:eastAsia="Calibri" w:cs="Arial"/>
              </w:rPr>
              <w:t>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t>H</w:t>
            </w:r>
            <w:r>
              <w:rPr>
                <w:rFonts w:eastAsiaTheme="minorEastAsia"/>
              </w:rPr>
              <w:t>uawei, HiSi</w:t>
            </w:r>
            <w:r>
              <w:rPr>
                <w:rFonts w:eastAsiaTheme="minorEastAsia"/>
              </w:rPr>
              <w:t>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rPr>
                <w:rFonts w:eastAsia="Calibri"/>
              </w:rPr>
            </w:pPr>
            <w:r>
              <w:rPr>
                <w:rFonts w:eastAsia="Calibri"/>
              </w:rPr>
              <w:t xml:space="preserve">This was discussed during RAN2#113 meeting and it was agreed that the UE does not initiate second resume procedure during an ongoing one but we also agreed not to capture this. Then, it was dioscussed also for SDT and the agreement was </w:t>
            </w:r>
            <w:r>
              <w:rPr>
                <w:rFonts w:eastAsia="Calibri"/>
              </w:rPr>
              <w:t>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w:t>
            </w:r>
            <w:r>
              <w:rPr>
                <w:rFonts w:eastAsia="Yu Mincho"/>
                <w:lang w:eastAsia="ja-JP"/>
              </w:rPr>
              <w:t>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SimSun"/>
                <w:lang w:val="en-US"/>
              </w:rPr>
            </w:pPr>
            <w:r>
              <w:rPr>
                <w:rFonts w:eastAsia="SimSun"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SimSun"/>
                <w:lang w:val="en-US"/>
              </w:rPr>
            </w:pPr>
            <w:r>
              <w:rPr>
                <w:rFonts w:eastAsia="SimSun"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SimSun"/>
                <w:lang w:val="en-US"/>
              </w:rPr>
            </w:pPr>
            <w:r>
              <w:rPr>
                <w:rFonts w:eastAsia="SimSun" w:hint="eastAsia"/>
                <w:lang w:val="en-US"/>
              </w:rPr>
              <w:t xml:space="preserve">The same views as </w:t>
            </w:r>
            <w:r>
              <w:rPr>
                <w:rFonts w:eastAsia="Yu Mincho" w:hint="eastAsia"/>
                <w:lang w:eastAsia="ja-JP"/>
              </w:rPr>
              <w:t>Q</w:t>
            </w:r>
            <w:r>
              <w:rPr>
                <w:rFonts w:eastAsia="Yu Mincho"/>
                <w:lang w:eastAsia="ja-JP"/>
              </w:rPr>
              <w:t>ualcomm</w:t>
            </w:r>
            <w:r>
              <w:rPr>
                <w:rFonts w:eastAsia="SimSun"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rPr>
                <w:rFonts w:eastAsia="Calibri"/>
              </w:rPr>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rPr>
                <w:rFonts w:eastAsia="Calibri"/>
              </w:rPr>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rPr>
                <w:rFonts w:eastAsia="Calibri"/>
              </w:rPr>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20D78303" w14:textId="77777777" w:rsidR="00C57F0A" w:rsidRDefault="00C57F0A">
            <w:pPr>
              <w:jc w:val="both"/>
              <w:rPr>
                <w:rFonts w:eastAsia="Calibri"/>
              </w:rPr>
            </w:pPr>
          </w:p>
        </w:tc>
        <w:tc>
          <w:tcPr>
            <w:tcW w:w="6434" w:type="dxa"/>
            <w:tcBorders>
              <w:top w:val="single" w:sz="4" w:space="0" w:color="auto"/>
              <w:left w:val="single" w:sz="4" w:space="0" w:color="auto"/>
              <w:bottom w:val="single" w:sz="4" w:space="0" w:color="auto"/>
              <w:right w:val="single" w:sz="4" w:space="0" w:color="auto"/>
            </w:tcBorders>
          </w:tcPr>
          <w:p w14:paraId="06C9D519" w14:textId="77777777" w:rsidR="00C57F0A" w:rsidRDefault="00C57F0A">
            <w:pPr>
              <w:jc w:val="both"/>
              <w:rPr>
                <w:rFonts w:eastAsia="Calibri"/>
              </w:rPr>
            </w:pPr>
          </w:p>
        </w:tc>
      </w:tr>
      <w:tr w:rsidR="00C57F0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2A54971A" w14:textId="77777777" w:rsidR="00C57F0A" w:rsidRDefault="00C57F0A">
            <w:pPr>
              <w:jc w:val="both"/>
              <w:rPr>
                <w:rFonts w:eastAsia="Calibri"/>
              </w:rPr>
            </w:pPr>
          </w:p>
        </w:tc>
        <w:tc>
          <w:tcPr>
            <w:tcW w:w="6434" w:type="dxa"/>
            <w:tcBorders>
              <w:top w:val="single" w:sz="4" w:space="0" w:color="auto"/>
              <w:left w:val="single" w:sz="4" w:space="0" w:color="auto"/>
              <w:bottom w:val="single" w:sz="4" w:space="0" w:color="auto"/>
              <w:right w:val="single" w:sz="4" w:space="0" w:color="auto"/>
            </w:tcBorders>
          </w:tcPr>
          <w:p w14:paraId="0A3592F2" w14:textId="77777777" w:rsidR="00C57F0A" w:rsidRDefault="00C57F0A">
            <w:pPr>
              <w:jc w:val="both"/>
              <w:rPr>
                <w:rFonts w:eastAsia="Calibri"/>
              </w:rPr>
            </w:pPr>
          </w:p>
        </w:tc>
      </w:tr>
      <w:tr w:rsidR="00C57F0A"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3CB69328" w14:textId="77777777" w:rsidR="00C57F0A" w:rsidRDefault="00C57F0A">
            <w:pPr>
              <w:jc w:val="both"/>
              <w:rPr>
                <w:rFonts w:eastAsia="Calibri"/>
              </w:rPr>
            </w:pPr>
          </w:p>
        </w:tc>
        <w:tc>
          <w:tcPr>
            <w:tcW w:w="6434" w:type="dxa"/>
            <w:tcBorders>
              <w:top w:val="single" w:sz="4" w:space="0" w:color="auto"/>
              <w:left w:val="single" w:sz="4" w:space="0" w:color="auto"/>
              <w:bottom w:val="single" w:sz="4" w:space="0" w:color="auto"/>
              <w:right w:val="single" w:sz="4" w:space="0" w:color="auto"/>
            </w:tcBorders>
          </w:tcPr>
          <w:p w14:paraId="43383122" w14:textId="77777777" w:rsidR="00C57F0A" w:rsidRDefault="00C57F0A">
            <w:pPr>
              <w:jc w:val="both"/>
              <w:rPr>
                <w:rFonts w:eastAsia="Calibri"/>
              </w:rPr>
            </w:pP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Heading2"/>
      </w:pPr>
      <w:r>
        <w:t>3.5</w:t>
      </w:r>
      <w:r>
        <w:tab/>
      </w:r>
      <w:proofErr w:type="spellStart"/>
      <w:r>
        <w:t>MsgA</w:t>
      </w:r>
      <w:proofErr w:type="spellEnd"/>
      <w:r>
        <w:t xml:space="preserve"> PUSCH resource release upon </w:t>
      </w:r>
      <w:r>
        <w:t>T304 expiry for SCG</w:t>
      </w:r>
    </w:p>
    <w:p w14:paraId="2B38E853" w14:textId="77777777" w:rsidR="00C57F0A" w:rsidRDefault="00A71B0B">
      <w:pPr>
        <w:pStyle w:val="Doc-title"/>
        <w:rPr>
          <w:lang w:val="en-US"/>
        </w:rPr>
      </w:pPr>
      <w:hyperlink r:id="rId26" w:history="1">
        <w:r>
          <w:rPr>
            <w:rStyle w:val="Hyperlink"/>
            <w:lang w:val="en-US"/>
          </w:rPr>
          <w:t>R2-2207006</w:t>
        </w:r>
      </w:hyperlink>
      <w:r>
        <w:rPr>
          <w:lang w:val="en-US"/>
        </w:rPr>
        <w:tab/>
      </w:r>
      <w:proofErr w:type="spellStart"/>
      <w:r>
        <w:rPr>
          <w:lang w:val="en-US"/>
        </w:rPr>
        <w:t>MsgA</w:t>
      </w:r>
      <w:proofErr w:type="spellEnd"/>
      <w:r>
        <w:rPr>
          <w:lang w:val="en-US"/>
        </w:rPr>
        <w:t xml:space="preserve"> PUSCH resource release upon T304 expiry for SCG</w:t>
      </w:r>
      <w:r>
        <w:rPr>
          <w:lang w:val="en-US"/>
        </w:rPr>
        <w:tab/>
        <w:t>Samsung Electronics Co., Ltd</w:t>
      </w:r>
      <w:r>
        <w:rPr>
          <w:lang w:val="en-US"/>
        </w:rPr>
        <w:tab/>
      </w:r>
      <w:proofErr w:type="spellStart"/>
      <w:r>
        <w:rPr>
          <w:lang w:val="en-US"/>
        </w:rPr>
        <w:t>draftCR</w:t>
      </w:r>
      <w:proofErr w:type="spellEnd"/>
      <w:r>
        <w:rPr>
          <w:lang w:val="en-US"/>
        </w:rPr>
        <w:tab/>
        <w:t>Rel-17</w:t>
      </w:r>
      <w:r>
        <w:rPr>
          <w:lang w:val="en-US"/>
        </w:rPr>
        <w:tab/>
        <w:t>38.331</w:t>
      </w:r>
      <w:r>
        <w:rPr>
          <w:lang w:val="en-US"/>
        </w:rPr>
        <w:tab/>
        <w:t>17.1.0</w:t>
      </w:r>
      <w:r>
        <w:rPr>
          <w:lang w:val="en-US"/>
        </w:rPr>
        <w:tab/>
      </w:r>
      <w:proofErr w:type="spellStart"/>
      <w:r>
        <w:rPr>
          <w:lang w:val="en-US"/>
        </w:rPr>
        <w:t>NR_newRAT</w:t>
      </w:r>
      <w:proofErr w:type="spellEnd"/>
      <w:r>
        <w:rPr>
          <w:lang w:val="en-US"/>
        </w:rPr>
        <w: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w:t>
      </w:r>
      <w:r>
        <w:rPr>
          <w:b/>
          <w:bCs/>
        </w:rPr>
        <w:t>ompanies agree with the intent of the CR above?</w:t>
      </w:r>
    </w:p>
    <w:p w14:paraId="615C0289" w14:textId="77777777" w:rsidR="00C57F0A" w:rsidRDefault="00C57F0A">
      <w:pPr>
        <w:jc w:val="both"/>
      </w:pPr>
    </w:p>
    <w:tbl>
      <w:tblPr>
        <w:tblStyle w:val="TableGrid"/>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rFonts w:eastAsia="Calibri"/>
                <w:b/>
                <w:bCs/>
              </w:rPr>
            </w:pPr>
            <w:r>
              <w:rPr>
                <w:rFonts w:eastAsia="Calibri"/>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rFonts w:eastAsia="Calibri"/>
                <w:b/>
                <w:bCs/>
              </w:rPr>
            </w:pPr>
            <w:r>
              <w:rPr>
                <w:rFonts w:eastAsia="Calibri"/>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rFonts w:eastAsia="Calibri"/>
                <w:b/>
                <w:bCs/>
              </w:rPr>
            </w:pPr>
            <w:r>
              <w:rPr>
                <w:rFonts w:eastAsia="Calibri"/>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rPr>
                <w:rFonts w:eastAsia="Calibri"/>
              </w:rPr>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rPr>
                <w:rFonts w:eastAsia="Calibri"/>
              </w:rPr>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rPr>
                <w:rFonts w:eastAsia="Calibri"/>
              </w:rPr>
            </w:pPr>
            <w:r>
              <w:rPr>
                <w:rFonts w:eastAsia="Calibri"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rFonts w:eastAsia="Calibri"/>
                <w:i/>
                <w:iCs/>
                <w:lang w:eastAsia="ko-KR"/>
              </w:rPr>
              <w:t>cfra-TwoSt</w:t>
            </w:r>
            <w:r>
              <w:rPr>
                <w:rFonts w:eastAsia="Calibri"/>
                <w:i/>
                <w:iCs/>
                <w:lang w:eastAsia="ko-KR"/>
              </w:rPr>
              <w:t xml:space="preserve">ep </w:t>
            </w:r>
            <w:r>
              <w:rPr>
                <w:rFonts w:eastAsia="Calibri"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rPr>
                <w:rFonts w:eastAsia="Calibri"/>
              </w:rPr>
            </w:pPr>
            <w:r>
              <w:rPr>
                <w:rFonts w:eastAsia="Calibri"/>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rPr>
                <w:rFonts w:eastAsia="Calibri"/>
              </w:rPr>
            </w:pPr>
            <w:r>
              <w:rPr>
                <w:rFonts w:eastAsia="Calibri"/>
              </w:rP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rPr>
                <w:rFonts w:eastAsia="Calibri"/>
              </w:rPr>
            </w:pPr>
            <w:r>
              <w:rPr>
                <w:rFonts w:eastAsia="Calibri"/>
              </w:rP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rPr>
                <w:rFonts w:eastAsia="Calibri"/>
              </w:rPr>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rPr>
                <w:rFonts w:eastAsia="Calibri"/>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rPr>
                <w:rFonts w:eastAsia="Calibri"/>
              </w:rPr>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rPr>
                <w:rFonts w:eastAsia="Calibri"/>
              </w:rPr>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rPr>
                <w:rFonts w:eastAsia="Calibri"/>
              </w:rPr>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rPr>
                <w:rFonts w:eastAsia="Calibri"/>
              </w:rPr>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rPr>
                <w:rFonts w:eastAsia="Calibri"/>
              </w:rPr>
            </w:pPr>
            <w:r>
              <w:t>We wondering if the work item code (</w:t>
            </w:r>
            <w:proofErr w:type="spellStart"/>
            <w:r>
              <w:rPr>
                <w:lang w:val="en-US"/>
              </w:rPr>
              <w:t>NR_newRAT</w:t>
            </w:r>
            <w:proofErr w:type="spellEnd"/>
            <w:r>
              <w:rPr>
                <w:lang w:val="en-US"/>
              </w:rPr>
              <w: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7D85F4FF" w14:textId="77777777" w:rsidR="00C57F0A" w:rsidRDefault="00C57F0A">
            <w:pPr>
              <w:jc w:val="both"/>
              <w:rPr>
                <w:rFonts w:eastAsia="Calibri"/>
              </w:rPr>
            </w:pPr>
          </w:p>
        </w:tc>
        <w:tc>
          <w:tcPr>
            <w:tcW w:w="6446" w:type="dxa"/>
            <w:tcBorders>
              <w:top w:val="single" w:sz="4" w:space="0" w:color="auto"/>
              <w:left w:val="single" w:sz="4" w:space="0" w:color="auto"/>
              <w:bottom w:val="single" w:sz="4" w:space="0" w:color="auto"/>
              <w:right w:val="single" w:sz="4" w:space="0" w:color="auto"/>
            </w:tcBorders>
          </w:tcPr>
          <w:p w14:paraId="1714C989" w14:textId="77777777" w:rsidR="00C57F0A" w:rsidRDefault="00C57F0A">
            <w:pPr>
              <w:jc w:val="both"/>
              <w:rPr>
                <w:rFonts w:eastAsia="Calibri"/>
              </w:rPr>
            </w:pPr>
          </w:p>
        </w:tc>
      </w:tr>
      <w:tr w:rsidR="00C57F0A"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0DE61AF7" w14:textId="77777777" w:rsidR="00C57F0A" w:rsidRDefault="00C57F0A">
            <w:pPr>
              <w:jc w:val="both"/>
              <w:rPr>
                <w:rFonts w:eastAsia="Calibri"/>
              </w:rPr>
            </w:pP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C57F0A" w:rsidRDefault="00C57F0A">
            <w:pPr>
              <w:jc w:val="both"/>
              <w:rPr>
                <w:rFonts w:eastAsia="Calibri"/>
              </w:rPr>
            </w:pPr>
          </w:p>
        </w:tc>
      </w:tr>
      <w:tr w:rsidR="00C57F0A"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4D8970CE" w14:textId="77777777" w:rsidR="00C57F0A" w:rsidRDefault="00C57F0A">
            <w:pPr>
              <w:jc w:val="both"/>
              <w:rPr>
                <w:rFonts w:eastAsia="Calibri"/>
              </w:rPr>
            </w:pP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C57F0A" w:rsidRDefault="00C57F0A">
            <w:pPr>
              <w:jc w:val="both"/>
              <w:rPr>
                <w:rFonts w:eastAsia="Calibri"/>
              </w:rPr>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Heading2"/>
      </w:pPr>
      <w:r>
        <w:lastRenderedPageBreak/>
        <w:t>3.6</w:t>
      </w:r>
      <w:r>
        <w:tab/>
        <w:t>Corrections to MBS paging monitoring during the SDT procedure</w:t>
      </w:r>
    </w:p>
    <w:p w14:paraId="1CF21CF7" w14:textId="77777777" w:rsidR="00C57F0A" w:rsidRDefault="00A71B0B">
      <w:pPr>
        <w:pStyle w:val="Doc-title"/>
        <w:rPr>
          <w:lang w:val="en-US"/>
        </w:rPr>
      </w:pPr>
      <w:hyperlink r:id="rId27" w:history="1">
        <w:r>
          <w:rPr>
            <w:rStyle w:val="Hyperlink"/>
            <w:lang w:val="en-US"/>
          </w:rPr>
          <w:t>R2-2207013</w:t>
        </w:r>
      </w:hyperlink>
      <w:r>
        <w:rPr>
          <w:lang w:val="en-US"/>
        </w:rPr>
        <w:tab/>
        <w:t>Corrections to MBS paging monitoring during the SDT procedure</w:t>
      </w:r>
      <w:r>
        <w:rPr>
          <w:lang w:val="en-US"/>
        </w:rPr>
        <w:tab/>
        <w:t xml:space="preserve">Samsung Electronics Co., </w:t>
      </w:r>
      <w:r>
        <w:rPr>
          <w:lang w:val="en-US"/>
        </w:rPr>
        <w:t>Ltd</w:t>
      </w:r>
      <w:r>
        <w:rPr>
          <w:lang w:val="en-US"/>
        </w:rPr>
        <w:tab/>
      </w:r>
      <w:proofErr w:type="spellStart"/>
      <w:r>
        <w:rPr>
          <w:lang w:val="en-US"/>
        </w:rPr>
        <w:t>draftCR</w:t>
      </w:r>
      <w:proofErr w:type="spellEnd"/>
      <w:r>
        <w:rPr>
          <w:lang w:val="en-US"/>
        </w:rPr>
        <w:tab/>
        <w:t>Rel-17</w:t>
      </w:r>
      <w:r>
        <w:rPr>
          <w:lang w:val="en-US"/>
        </w:rPr>
        <w:tab/>
        <w:t>38.331</w:t>
      </w:r>
      <w:r>
        <w:rPr>
          <w:lang w:val="en-US"/>
        </w:rPr>
        <w:tab/>
        <w:t>17.1.0</w:t>
      </w:r>
      <w:r>
        <w:rPr>
          <w:lang w:val="en-US"/>
        </w:rPr>
        <w:tab/>
      </w:r>
      <w:proofErr w:type="spellStart"/>
      <w:r>
        <w:rPr>
          <w:lang w:val="en-US"/>
        </w:rPr>
        <w:t>NR_SmallData_INACTIVE</w:t>
      </w:r>
      <w:proofErr w:type="spellEnd"/>
      <w:r>
        <w:rPr>
          <w:lang w:val="en-US"/>
        </w:rPr>
        <w:t>-Core,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TableGrid"/>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rFonts w:eastAsia="Calibri"/>
                <w:b/>
                <w:bCs/>
              </w:rPr>
            </w:pPr>
            <w:r>
              <w:rPr>
                <w:rFonts w:eastAsia="Calibri"/>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rFonts w:eastAsia="Calibri"/>
                <w:b/>
                <w:bCs/>
              </w:rPr>
            </w:pPr>
            <w:r>
              <w:rPr>
                <w:rFonts w:eastAsia="Calibri"/>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rFonts w:eastAsia="Calibri"/>
                <w:b/>
                <w:bCs/>
              </w:rPr>
            </w:pPr>
            <w:r>
              <w:rPr>
                <w:rFonts w:eastAsia="Calibri"/>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rPr>
                <w:rFonts w:eastAsia="Calibri"/>
              </w:rPr>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rPr>
                <w:rFonts w:eastAsia="Calibri"/>
              </w:rPr>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eastAsia="Calibri" w:cs="Arial"/>
              </w:rPr>
            </w:pPr>
            <w:r>
              <w:rPr>
                <w:rFonts w:eastAsia="Calibri" w:cs="Arial"/>
              </w:rPr>
              <w:t xml:space="preserve">In the SDT WI it was agreed that UE does not monitor paging message </w:t>
            </w:r>
            <w:r>
              <w:rPr>
                <w:rFonts w:eastAsia="Calibri" w:cs="Arial"/>
              </w:rPr>
              <w:t>while the SDT procedure is ongoing. UE only monitors SI update/emergency notifications.</w:t>
            </w:r>
          </w:p>
          <w:p w14:paraId="5C2C312F" w14:textId="77777777" w:rsidR="00C57F0A" w:rsidRDefault="00C57F0A">
            <w:pPr>
              <w:jc w:val="both"/>
              <w:rPr>
                <w:rFonts w:eastAsia="Calibri" w:cs="Arial"/>
              </w:rPr>
            </w:pPr>
          </w:p>
          <w:p w14:paraId="2667AF4B" w14:textId="77777777" w:rsidR="00C57F0A" w:rsidRDefault="00A71B0B">
            <w:pPr>
              <w:jc w:val="both"/>
              <w:rPr>
                <w:rFonts w:eastAsia="Calibri" w:cs="Arial"/>
              </w:rPr>
            </w:pPr>
            <w:r>
              <w:rPr>
                <w:rFonts w:eastAsia="Calibri" w:cs="Arial"/>
              </w:rPr>
              <w:t>According to current spec, in RRC_INACTIVE, for MBS multicast reception, UE monitors a Paging channel for paging using TMGI. TMGIs are included in paging message. So t</w:t>
            </w:r>
            <w:r>
              <w:rPr>
                <w:rFonts w:eastAsia="Calibri" w:cs="Arial"/>
              </w:rPr>
              <w:t>his basically means that UE monitors paging message in RRC_INACTIVE.</w:t>
            </w:r>
          </w:p>
          <w:p w14:paraId="72BC9434" w14:textId="77777777" w:rsidR="00C57F0A" w:rsidRDefault="00C57F0A">
            <w:pPr>
              <w:jc w:val="both"/>
              <w:rPr>
                <w:rFonts w:eastAsia="Calibri" w:cs="Arial"/>
              </w:rPr>
            </w:pPr>
          </w:p>
          <w:p w14:paraId="478E856D" w14:textId="77777777" w:rsidR="00C57F0A" w:rsidRDefault="00A71B0B">
            <w:pPr>
              <w:jc w:val="both"/>
              <w:rPr>
                <w:rFonts w:eastAsia="Calibri" w:cs="Arial"/>
              </w:rPr>
            </w:pPr>
            <w:r>
              <w:rPr>
                <w:rFonts w:eastAsia="Calibri" w:cs="Arial"/>
              </w:rPr>
              <w:t>Considering that SDT procedure can be initiated by UE which is also supports MBS, it should be clarified that</w:t>
            </w:r>
          </w:p>
          <w:p w14:paraId="41A18E39" w14:textId="77777777" w:rsidR="00C57F0A" w:rsidRDefault="00A71B0B">
            <w:pPr>
              <w:jc w:val="both"/>
              <w:rPr>
                <w:rFonts w:eastAsia="Calibri"/>
              </w:rPr>
            </w:pPr>
            <w:r>
              <w:rPr>
                <w:rFonts w:eastAsia="Calibri" w:cs="Arial"/>
                <w:lang w:val="en-US"/>
              </w:rPr>
              <w:t>While SDT procedure is not ongoing, UE in RRC_INACTIVE monitors a Paging cha</w:t>
            </w:r>
            <w:r>
              <w:rPr>
                <w:rFonts w:eastAsia="Calibri" w:cs="Arial"/>
                <w:lang w:val="en-US"/>
              </w:rPr>
              <w:t>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rPr>
                <w:rFonts w:eastAsia="Calibri"/>
              </w:rPr>
            </w:pPr>
            <w:r>
              <w:rPr>
                <w:rFonts w:eastAsia="Calibri"/>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rPr>
                <w:rFonts w:eastAsia="Calibri"/>
              </w:rPr>
            </w:pPr>
            <w:r>
              <w:rPr>
                <w:rFonts w:eastAsia="Calibri"/>
              </w:rP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rPr>
                <w:rFonts w:eastAsia="Calibri"/>
              </w:rPr>
            </w:pPr>
            <w:r>
              <w:rPr>
                <w:rFonts w:eastAsia="Calibri"/>
              </w:rP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rPr>
                <w:rFonts w:eastAsia="Calibri"/>
              </w:rPr>
            </w:pPr>
            <w:r>
              <w:rPr>
                <w:rFonts w:eastAsia="Calibri"/>
              </w:rP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rPr>
                <w:rFonts w:eastAsia="Calibri"/>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rPr>
                <w:rFonts w:eastAsia="Calibri"/>
              </w:rPr>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rPr>
                <w:rFonts w:eastAsia="Calibri"/>
              </w:rPr>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rPr>
                <w:rFonts w:eastAsia="Calibri"/>
              </w:rPr>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rPr>
                <w:rFonts w:eastAsia="Calibri"/>
              </w:rPr>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2EB5512A" w14:textId="77777777" w:rsidR="00C57F0A" w:rsidRDefault="00C57F0A">
            <w:pPr>
              <w:jc w:val="both"/>
              <w:rPr>
                <w:rFonts w:eastAsia="Calibri"/>
              </w:rPr>
            </w:pPr>
          </w:p>
        </w:tc>
        <w:tc>
          <w:tcPr>
            <w:tcW w:w="6443" w:type="dxa"/>
            <w:tcBorders>
              <w:top w:val="single" w:sz="4" w:space="0" w:color="auto"/>
              <w:left w:val="single" w:sz="4" w:space="0" w:color="auto"/>
              <w:bottom w:val="single" w:sz="4" w:space="0" w:color="auto"/>
              <w:right w:val="single" w:sz="4" w:space="0" w:color="auto"/>
            </w:tcBorders>
          </w:tcPr>
          <w:p w14:paraId="7CF793BE" w14:textId="77777777" w:rsidR="00C57F0A" w:rsidRDefault="00C57F0A">
            <w:pPr>
              <w:jc w:val="both"/>
              <w:rPr>
                <w:rFonts w:eastAsia="Calibri"/>
              </w:rPr>
            </w:pPr>
          </w:p>
        </w:tc>
      </w:tr>
      <w:tr w:rsidR="00C57F0A"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1050828D" w14:textId="77777777" w:rsidR="00C57F0A" w:rsidRDefault="00C57F0A">
            <w:pPr>
              <w:jc w:val="both"/>
              <w:rPr>
                <w:rFonts w:eastAsia="Calibri"/>
              </w:rPr>
            </w:pPr>
          </w:p>
        </w:tc>
        <w:tc>
          <w:tcPr>
            <w:tcW w:w="6443" w:type="dxa"/>
            <w:tcBorders>
              <w:top w:val="single" w:sz="4" w:space="0" w:color="auto"/>
              <w:left w:val="single" w:sz="4" w:space="0" w:color="auto"/>
              <w:bottom w:val="single" w:sz="4" w:space="0" w:color="auto"/>
              <w:right w:val="single" w:sz="4" w:space="0" w:color="auto"/>
            </w:tcBorders>
          </w:tcPr>
          <w:p w14:paraId="7BAD2639" w14:textId="77777777" w:rsidR="00C57F0A" w:rsidRDefault="00C57F0A">
            <w:pPr>
              <w:jc w:val="both"/>
              <w:rPr>
                <w:rFonts w:eastAsia="Calibri"/>
              </w:rPr>
            </w:pPr>
          </w:p>
        </w:tc>
      </w:tr>
      <w:tr w:rsidR="00C57F0A"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77777777" w:rsidR="00C57F0A" w:rsidRDefault="00C57F0A">
            <w:pPr>
              <w:jc w:val="both"/>
              <w:rPr>
                <w:rFonts w:eastAsia="Calibri"/>
              </w:rPr>
            </w:pPr>
          </w:p>
        </w:tc>
        <w:tc>
          <w:tcPr>
            <w:tcW w:w="1378" w:type="dxa"/>
            <w:tcBorders>
              <w:top w:val="single" w:sz="4" w:space="0" w:color="auto"/>
              <w:left w:val="single" w:sz="4" w:space="0" w:color="auto"/>
              <w:bottom w:val="single" w:sz="4" w:space="0" w:color="auto"/>
              <w:right w:val="single" w:sz="4" w:space="0" w:color="auto"/>
            </w:tcBorders>
          </w:tcPr>
          <w:p w14:paraId="012DBCC5" w14:textId="77777777" w:rsidR="00C57F0A" w:rsidRDefault="00C57F0A">
            <w:pPr>
              <w:jc w:val="both"/>
              <w:rPr>
                <w:rFonts w:eastAsia="Calibri"/>
              </w:rPr>
            </w:pPr>
          </w:p>
        </w:tc>
        <w:tc>
          <w:tcPr>
            <w:tcW w:w="6443" w:type="dxa"/>
            <w:tcBorders>
              <w:top w:val="single" w:sz="4" w:space="0" w:color="auto"/>
              <w:left w:val="single" w:sz="4" w:space="0" w:color="auto"/>
              <w:bottom w:val="single" w:sz="4" w:space="0" w:color="auto"/>
              <w:right w:val="single" w:sz="4" w:space="0" w:color="auto"/>
            </w:tcBorders>
          </w:tcPr>
          <w:p w14:paraId="52AF7DD9" w14:textId="77777777" w:rsidR="00C57F0A" w:rsidRDefault="00C57F0A">
            <w:pPr>
              <w:jc w:val="both"/>
              <w:rPr>
                <w:rFonts w:eastAsia="Calibri"/>
              </w:rPr>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Heading2"/>
      </w:pPr>
      <w:r>
        <w:lastRenderedPageBreak/>
        <w:t>3.7</w:t>
      </w:r>
      <w:r>
        <w:tab/>
        <w:t>Miscellaneous non-controversial corrections Set XV</w:t>
      </w:r>
    </w:p>
    <w:p w14:paraId="0FB33AE8" w14:textId="77777777" w:rsidR="00C57F0A" w:rsidRDefault="00A71B0B">
      <w:pPr>
        <w:pStyle w:val="Doc-title"/>
        <w:rPr>
          <w:lang w:val="en-US"/>
        </w:rPr>
      </w:pPr>
      <w:hyperlink r:id="rId28" w:history="1">
        <w:r>
          <w:rPr>
            <w:rStyle w:val="Hyperlink"/>
            <w:lang w:val="en-US"/>
          </w:rPr>
          <w:t>R2-2208141</w:t>
        </w:r>
      </w:hyperlink>
      <w:r>
        <w:rPr>
          <w:lang w:val="en-US"/>
        </w:rPr>
        <w:tab/>
        <w:t>Miscellaneous non-controversial corrections Set XV</w:t>
      </w:r>
      <w:r>
        <w:rPr>
          <w:lang w:val="en-US"/>
        </w:rPr>
        <w:tab/>
        <w:t>Ericsson</w:t>
      </w:r>
      <w:r>
        <w:rPr>
          <w:lang w:val="en-US"/>
        </w:rPr>
        <w:tab/>
        <w:t>CR</w:t>
      </w:r>
      <w:r>
        <w:rPr>
          <w:lang w:val="en-US"/>
        </w:rPr>
        <w:tab/>
        <w:t>Rel-17</w:t>
      </w:r>
      <w:r>
        <w:rPr>
          <w:lang w:val="en-US"/>
        </w:rPr>
        <w:tab/>
        <w:t>38.331</w:t>
      </w:r>
      <w:r>
        <w:rPr>
          <w:lang w:val="en-US"/>
        </w:rPr>
        <w:tab/>
        <w:t>17.1.0</w:t>
      </w:r>
      <w:r>
        <w:rPr>
          <w:lang w:val="en-US"/>
        </w:rPr>
        <w:tab/>
        <w:t>3362</w:t>
      </w:r>
      <w:r>
        <w:rPr>
          <w:lang w:val="en-US"/>
        </w:rPr>
        <w:tab/>
        <w:t>-</w:t>
      </w:r>
      <w:r>
        <w:rPr>
          <w:lang w:val="en-US"/>
        </w:rPr>
        <w:tab/>
        <w:t>F</w:t>
      </w:r>
      <w:r>
        <w:rPr>
          <w:lang w:val="en-US"/>
        </w:rPr>
        <w:tab/>
      </w:r>
      <w:proofErr w:type="spellStart"/>
      <w:r>
        <w:rPr>
          <w:lang w:val="en-US"/>
        </w:rPr>
        <w:t>NR_newRAT</w:t>
      </w:r>
      <w:proofErr w:type="spellEnd"/>
      <w:r>
        <w:rPr>
          <w:lang w:val="en-US"/>
        </w:rPr>
        <w:t>-Core</w:t>
      </w:r>
      <w:r>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rFonts w:eastAsia="Calibri"/>
                <w:b/>
                <w:bCs/>
              </w:rPr>
            </w:pPr>
            <w:r>
              <w:rPr>
                <w:rFonts w:eastAsia="Calibri"/>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rFonts w:eastAsia="Calibri"/>
                <w:b/>
                <w:bCs/>
              </w:rPr>
            </w:pPr>
            <w:r>
              <w:rPr>
                <w:rFonts w:eastAsia="Calibri"/>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rFonts w:eastAsia="Calibri"/>
                <w:b/>
                <w:bCs/>
              </w:rPr>
            </w:pPr>
            <w:r>
              <w:rPr>
                <w:rFonts w:eastAsia="Calibri"/>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rPr>
                <w:rFonts w:eastAsia="Calibri"/>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rPr>
                <w:rFonts w:eastAsia="Calibri"/>
              </w:rPr>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rPr>
                <w:rFonts w:eastAsia="Calibri"/>
              </w:rPr>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rPr>
                <w:rFonts w:eastAsia="Calibri"/>
              </w:rPr>
            </w:pPr>
            <w:r>
              <w:rPr>
                <w:rFonts w:eastAsiaTheme="minorEastAsia"/>
              </w:rPr>
              <w:t>There is a NB</w:t>
            </w:r>
            <w:r>
              <w:rPr>
                <w:rFonts w:eastAsiaTheme="minorEastAsia"/>
              </w:rPr>
              <w:t xml:space="preserve">C change, by removing the extentsion marker in IE </w:t>
            </w:r>
            <w:bookmarkStart w:id="1" w:name="_Hlk110985906"/>
            <w:r>
              <w:rPr>
                <w:rFonts w:eastAsia="Calibri"/>
              </w:rPr>
              <w:t>RedCap-ConfigCommonSIB-r17</w:t>
            </w:r>
            <w:bookmarkEnd w:id="1"/>
            <w:r>
              <w:rPr>
                <w:rFonts w:eastAsia="Calibri"/>
              </w:rPr>
              <w:t xml:space="preserve">. </w:t>
            </w:r>
          </w:p>
          <w:p w14:paraId="3DBE963D" w14:textId="77777777" w:rsidR="00C57F0A" w:rsidRDefault="00A71B0B">
            <w:pPr>
              <w:jc w:val="both"/>
              <w:rPr>
                <w:rFonts w:eastAsiaTheme="minorEastAsia"/>
              </w:rPr>
            </w:pPr>
            <w:r>
              <w:rPr>
                <w:rFonts w:eastAsia="Calibri"/>
              </w:rP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 xml:space="preserve">BC without sufficiently good reason. It is </w:t>
            </w:r>
            <w:r>
              <w:rPr>
                <w:rFonts w:eastAsia="Yu Mincho"/>
                <w:lang w:eastAsia="ja-JP"/>
              </w:rPr>
              <w:t>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SimSun"/>
                <w:lang w:val="en-US"/>
              </w:rPr>
            </w:pPr>
            <w:r>
              <w:rPr>
                <w:rFonts w:eastAsia="SimSun"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SimSun"/>
                <w:lang w:val="en-US"/>
              </w:rPr>
            </w:pPr>
            <w:proofErr w:type="spellStart"/>
            <w:proofErr w:type="gramStart"/>
            <w:r>
              <w:rPr>
                <w:rFonts w:eastAsia="SimSun" w:hint="eastAsia"/>
                <w:lang w:val="en-US"/>
              </w:rPr>
              <w:t>Yes,but</w:t>
            </w:r>
            <w:proofErr w:type="spellEnd"/>
            <w:proofErr w:type="gramEnd"/>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SimSun"/>
                <w:lang w:val="en-US"/>
              </w:rPr>
            </w:pPr>
            <w:r>
              <w:rPr>
                <w:rFonts w:eastAsia="Yu Mincho"/>
                <w:lang w:eastAsia="ja-JP"/>
              </w:rPr>
              <w:t>ASN.1</w:t>
            </w:r>
            <w:r>
              <w:rPr>
                <w:rFonts w:eastAsia="SimSun"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rPr>
                <w:rFonts w:eastAsia="Calibri"/>
              </w:rPr>
            </w:pPr>
            <w:r>
              <w:rPr>
                <w:rFonts w:eastAsia="Calibri"/>
              </w:rP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rPr>
                <w:rFonts w:eastAsia="Calibri"/>
              </w:rPr>
            </w:pPr>
            <w:r>
              <w:rPr>
                <w:rFonts w:eastAsia="Calibri"/>
              </w:rP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rPr>
                <w:rFonts w:eastAsia="Calibri"/>
              </w:rPr>
            </w:pPr>
            <w:r>
              <w:rPr>
                <w:rFonts w:eastAsia="Calibri"/>
              </w:rPr>
              <w:t xml:space="preserve">Referring to chairman’s guidance, ASN.1 NBC changes are not precluded as long as there are agreements on them. And in RAN2#118-e RAN2 agreed </w:t>
            </w:r>
            <w:r>
              <w:rPr>
                <w:rFonts w:eastAsia="Calibri"/>
              </w:rPr>
              <w:t>to remove extension markers from IEs which are used in broadcast signaling to avoid potential overhead in the future.</w:t>
            </w:r>
          </w:p>
          <w:p w14:paraId="1B6E7BD0" w14:textId="77777777" w:rsidR="00C57F0A" w:rsidRDefault="00C57F0A">
            <w:pPr>
              <w:spacing w:after="0" w:line="240" w:lineRule="auto"/>
              <w:jc w:val="both"/>
              <w:rPr>
                <w:rFonts w:eastAsia="Calibri"/>
              </w:rPr>
            </w:pPr>
          </w:p>
          <w:p w14:paraId="7890AACF" w14:textId="77777777" w:rsidR="00C57F0A" w:rsidRDefault="00A71B0B">
            <w:pPr>
              <w:spacing w:after="0" w:line="240" w:lineRule="auto"/>
              <w:jc w:val="both"/>
              <w:rPr>
                <w:rFonts w:eastAsia="Calibri"/>
              </w:rPr>
            </w:pPr>
            <w:r>
              <w:rPr>
                <w:rFonts w:eastAsia="Calibri"/>
              </w:rPr>
              <w:t>The following minor issues should be fixed as well:</w:t>
            </w:r>
          </w:p>
          <w:p w14:paraId="60F5B5A4"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 xml:space="preserve">IE </w:t>
            </w:r>
            <w:proofErr w:type="spellStart"/>
            <w:r w:rsidRPr="00DF2C89">
              <w:rPr>
                <w:rFonts w:ascii="Arial" w:hAnsi="Arial" w:cs="Arial"/>
                <w:lang w:val="en-US"/>
              </w:rPr>
              <w:t>RadioLinkMonitoringConfig</w:t>
            </w:r>
            <w:proofErr w:type="spellEnd"/>
            <w:r w:rsidRPr="00DF2C89">
              <w:rPr>
                <w:rFonts w:ascii="Arial" w:hAnsi="Arial" w:cs="Arial"/>
                <w:lang w:val="en-US"/>
              </w:rPr>
              <w:t>: field name should start with lowercase letter.</w:t>
            </w:r>
          </w:p>
          <w:p w14:paraId="4D464AE4" w14:textId="77777777" w:rsidR="00C57F0A" w:rsidRDefault="00C57F0A">
            <w:pPr>
              <w:spacing w:after="0" w:line="240" w:lineRule="auto"/>
              <w:jc w:val="both"/>
              <w:rPr>
                <w:rFonts w:eastAsia="Calibri"/>
              </w:rPr>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rPr>
                <w:rFonts w:eastAsia="Calibri"/>
              </w:rPr>
            </w:pPr>
          </w:p>
          <w:p w14:paraId="20F0D283"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 xml:space="preserve">In IE </w:t>
            </w:r>
            <w:proofErr w:type="spellStart"/>
            <w:r w:rsidRPr="00DF2C89">
              <w:rPr>
                <w:rFonts w:ascii="Arial" w:hAnsi="Arial" w:cs="Arial"/>
                <w:lang w:val="en-US"/>
              </w:rPr>
              <w:t>BandNR</w:t>
            </w:r>
            <w:proofErr w:type="spellEnd"/>
            <w:r w:rsidRPr="00DF2C89">
              <w:rPr>
                <w:rFonts w:ascii="Arial" w:hAnsi="Arial" w:cs="Arial"/>
                <w:lang w:val="en-US"/>
              </w:rPr>
              <w:t>: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eastAsia="Calibri" w:cs="Arial"/>
              </w:rPr>
            </w:pPr>
          </w:p>
          <w:p w14:paraId="1CC9AFF7" w14:textId="77777777" w:rsidR="00C57F0A" w:rsidRPr="00DF2C89" w:rsidRDefault="00A71B0B">
            <w:pPr>
              <w:pStyle w:val="ListParagraph"/>
              <w:numPr>
                <w:ilvl w:val="0"/>
                <w:numId w:val="15"/>
              </w:numPr>
              <w:spacing w:after="0" w:line="240" w:lineRule="auto"/>
              <w:jc w:val="both"/>
              <w:rPr>
                <w:rFonts w:ascii="Arial" w:hAnsi="Arial" w:cs="Arial"/>
                <w:lang w:val="en-US"/>
              </w:rPr>
            </w:pPr>
            <w:proofErr w:type="spellStart"/>
            <w:r w:rsidRPr="00DF2C89">
              <w:rPr>
                <w:rFonts w:ascii="Arial" w:hAnsi="Arial" w:cs="Arial"/>
                <w:lang w:val="en-US"/>
              </w:rPr>
              <w:t>MeasAndMobParametersCommon</w:t>
            </w:r>
            <w:proofErr w:type="spellEnd"/>
            <w:r w:rsidRPr="00DF2C89">
              <w:rPr>
                <w:rFonts w:ascii="Arial" w:hAnsi="Arial" w:cs="Arial"/>
                <w:lang w:val="en-US"/>
              </w:rPr>
              <w:t xml:space="preserve"> I</w:t>
            </w:r>
            <w:r w:rsidRPr="00DF2C89">
              <w:rPr>
                <w:rFonts w:ascii="Arial" w:hAnsi="Arial" w:cs="Arial"/>
                <w:lang w:val="en-US"/>
              </w:rPr>
              <w:t>E: Add suffix “-r17” for the capabilities nr-</w:t>
            </w:r>
            <w:proofErr w:type="spellStart"/>
            <w:r w:rsidRPr="00DF2C89">
              <w:rPr>
                <w:rFonts w:ascii="Arial" w:hAnsi="Arial" w:cs="Arial"/>
                <w:lang w:val="en-US"/>
              </w:rPr>
              <w:t>NeedForGapNCSG</w:t>
            </w:r>
            <w:proofErr w:type="spellEnd"/>
            <w:r w:rsidRPr="00DF2C89">
              <w:rPr>
                <w:rFonts w:ascii="Arial" w:hAnsi="Arial" w:cs="Arial"/>
                <w:lang w:val="en-US"/>
              </w:rPr>
              <w:t xml:space="preserve">-reporting and </w:t>
            </w:r>
            <w:proofErr w:type="spellStart"/>
            <w:r w:rsidRPr="00DF2C89">
              <w:rPr>
                <w:rFonts w:ascii="Arial" w:hAnsi="Arial" w:cs="Arial"/>
                <w:lang w:val="en-US"/>
              </w:rPr>
              <w:t>eutra</w:t>
            </w:r>
            <w:proofErr w:type="spellEnd"/>
            <w:r w:rsidRPr="00DF2C89">
              <w:rPr>
                <w:rFonts w:ascii="Arial" w:hAnsi="Arial" w:cs="Arial"/>
                <w:lang w:val="en-US"/>
              </w:rPr>
              <w:t>-</w:t>
            </w:r>
            <w:proofErr w:type="spellStart"/>
            <w:r w:rsidRPr="00DF2C89">
              <w:rPr>
                <w:rFonts w:ascii="Arial" w:hAnsi="Arial" w:cs="Arial"/>
                <w:lang w:val="en-US"/>
              </w:rPr>
              <w:t>NeedForGapNCSG</w:t>
            </w:r>
            <w:proofErr w:type="spellEnd"/>
            <w:r w:rsidRPr="00DF2C89">
              <w:rPr>
                <w:rFonts w:ascii="Arial" w:hAnsi="Arial" w:cs="Arial"/>
                <w:lang w:val="en-US"/>
              </w:rPr>
              <w:t>-reporting.</w:t>
            </w:r>
          </w:p>
          <w:p w14:paraId="007058E5" w14:textId="77777777" w:rsidR="00C57F0A" w:rsidRDefault="00C57F0A">
            <w:pPr>
              <w:spacing w:after="0" w:line="240" w:lineRule="auto"/>
              <w:jc w:val="both"/>
              <w:rPr>
                <w:rFonts w:eastAsia="Calibri"/>
              </w:rPr>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w:t>
            </w:r>
            <w:r>
              <w:rPr>
                <w:rFonts w:ascii="Courier New" w:eastAsia="Times New Roman" w:hAnsi="Courier New"/>
                <w:color w:val="808080"/>
                <w:sz w:val="16"/>
                <w:szCs w:val="20"/>
                <w:lang w:val="en-GB" w:eastAsia="en-GB"/>
              </w:rPr>
              <w:t>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highlight w:val="yellow"/>
                <w:lang w:val="en-GB" w:eastAsia="en-GB"/>
              </w:rPr>
              <w:t>eutra</w:t>
            </w:r>
            <w:proofErr w:type="spellEnd"/>
            <w:r>
              <w:rPr>
                <w:rFonts w:ascii="Courier New" w:eastAsia="Times New Roman" w:hAnsi="Courier New"/>
                <w:sz w:val="16"/>
                <w:szCs w:val="20"/>
                <w:highlight w:val="yellow"/>
                <w:lang w:val="en-GB" w:eastAsia="en-GB"/>
              </w:rPr>
              <w:t>-</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lastRenderedPageBreak/>
              <w:t xml:space="preserve">    </w:t>
            </w:r>
            <w:r>
              <w:rPr>
                <w:rFonts w:ascii="Courier New" w:eastAsia="Times New Roman" w:hAnsi="Courier New"/>
                <w:color w:val="808080"/>
                <w:sz w:val="16"/>
                <w:szCs w:val="20"/>
                <w:lang w:val="en-GB" w:eastAsia="en-GB"/>
              </w:rPr>
              <w:t xml:space="preserve">-- R4 19-1-1 per FR </w:t>
            </w:r>
            <w:r>
              <w:rPr>
                <w:rFonts w:ascii="Courier New" w:eastAsia="Times New Roman" w:hAnsi="Courier New"/>
                <w:color w:val="808080"/>
                <w:sz w:val="16"/>
                <w:szCs w:val="20"/>
                <w:lang w:val="en-GB" w:eastAsia="en-GB"/>
              </w:rPr>
              <w:t>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rPr>
                <w:rFonts w:eastAsia="Calibri"/>
              </w:rPr>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rPr>
                <w:rFonts w:eastAsia="Calibri"/>
              </w:rPr>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rPr>
                <w:rFonts w:eastAsia="Calibri"/>
              </w:rPr>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rPr>
                <w:rFonts w:eastAsia="Calibri"/>
              </w:rPr>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77777777" w:rsidR="00C57F0A" w:rsidRDefault="00C57F0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7A0A5FA3" w14:textId="77777777" w:rsidR="00C57F0A" w:rsidRDefault="00C57F0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rPr>
                <w:rFonts w:eastAsia="Calibri"/>
              </w:rPr>
            </w:pPr>
          </w:p>
        </w:tc>
      </w:tr>
      <w:tr w:rsidR="00C57F0A"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77777777" w:rsidR="00C57F0A" w:rsidRDefault="00C57F0A">
            <w:pPr>
              <w:jc w:val="both"/>
              <w:rPr>
                <w:rFonts w:eastAsia="Calibri"/>
              </w:rPr>
            </w:pPr>
          </w:p>
        </w:tc>
        <w:tc>
          <w:tcPr>
            <w:tcW w:w="1135" w:type="dxa"/>
            <w:tcBorders>
              <w:top w:val="single" w:sz="4" w:space="0" w:color="auto"/>
              <w:left w:val="single" w:sz="4" w:space="0" w:color="auto"/>
              <w:bottom w:val="single" w:sz="4" w:space="0" w:color="auto"/>
              <w:right w:val="single" w:sz="4" w:space="0" w:color="auto"/>
            </w:tcBorders>
          </w:tcPr>
          <w:p w14:paraId="1F1362E2" w14:textId="77777777" w:rsidR="00C57F0A" w:rsidRDefault="00C57F0A">
            <w:pPr>
              <w:jc w:val="both"/>
              <w:rPr>
                <w:rFonts w:eastAsia="Calibri"/>
              </w:rPr>
            </w:pP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C57F0A" w:rsidRDefault="00C57F0A">
            <w:pPr>
              <w:jc w:val="both"/>
              <w:rPr>
                <w:rFonts w:eastAsia="Calibri"/>
              </w:rPr>
            </w:pP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Heading2"/>
      </w:pPr>
      <w:r>
        <w:t>3.8</w:t>
      </w:r>
      <w:r>
        <w:tab/>
        <w:t xml:space="preserve">Correction to MINT – </w:t>
      </w:r>
      <w:proofErr w:type="spellStart"/>
      <w:r>
        <w:t>applicableDisasterInfoList</w:t>
      </w:r>
      <w:proofErr w:type="spellEnd"/>
    </w:p>
    <w:p w14:paraId="08C79B9F" w14:textId="77777777" w:rsidR="00C57F0A" w:rsidRDefault="00A71B0B">
      <w:pPr>
        <w:pStyle w:val="Doc-title"/>
      </w:pPr>
      <w:hyperlink r:id="rId29" w:history="1">
        <w:r>
          <w:rPr>
            <w:rStyle w:val="Hyperlink"/>
          </w:rPr>
          <w:t>R2-2208133</w:t>
        </w:r>
      </w:hyperlink>
      <w:r>
        <w:tab/>
        <w:t xml:space="preserve">Correction to MINT - </w:t>
      </w:r>
      <w:proofErr w:type="spellStart"/>
      <w:r>
        <w:t>applicableDisasterInfoList</w:t>
      </w:r>
      <w:proofErr w:type="spellEnd"/>
      <w:r>
        <w:tab/>
        <w:t>Ericsson</w:t>
      </w:r>
      <w:r>
        <w:tab/>
        <w:t>CR</w:t>
      </w:r>
      <w:r>
        <w:tab/>
        <w:t>Rel-17</w:t>
      </w:r>
      <w:r>
        <w:tab/>
        <w:t>38.331</w:t>
      </w:r>
      <w:r>
        <w:tab/>
        <w:t>17.1.0</w:t>
      </w:r>
      <w:r>
        <w:tab/>
        <w:t>3359</w:t>
      </w:r>
      <w:r>
        <w:tab/>
        <w:t>-</w:t>
      </w:r>
      <w:r>
        <w:tab/>
        <w:t>F</w:t>
      </w:r>
      <w:r>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TableGrid"/>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rFonts w:eastAsia="Calibri"/>
                <w:b/>
                <w:bCs/>
              </w:rPr>
            </w:pPr>
            <w:r>
              <w:rPr>
                <w:rFonts w:eastAsia="Calibri"/>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rFonts w:eastAsia="Calibri"/>
                <w:b/>
                <w:bCs/>
              </w:rPr>
            </w:pPr>
            <w:r>
              <w:rPr>
                <w:rFonts w:eastAsia="Calibri"/>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rFonts w:eastAsia="Calibri"/>
                <w:b/>
                <w:bCs/>
              </w:rPr>
            </w:pPr>
            <w:r>
              <w:rPr>
                <w:rFonts w:eastAsia="Calibri"/>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rPr>
                <w:rFonts w:eastAsia="Calibri"/>
              </w:rPr>
            </w:pPr>
            <w:r>
              <w:rPr>
                <w:rFonts w:eastAsia="Calibri"/>
              </w:rP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rPr>
                <w:rFonts w:eastAsia="Calibri"/>
              </w:rPr>
            </w:pPr>
            <w:r>
              <w:rPr>
                <w:rFonts w:eastAsia="Calibri"/>
              </w:rP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rPr>
                <w:rFonts w:eastAsia="Calibri"/>
              </w:rPr>
            </w:pPr>
            <w:r>
              <w:rPr>
                <w:rFonts w:eastAsia="Calibri"/>
              </w:rP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rPr>
                <w:rFonts w:eastAsia="Calibri"/>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rPr>
                <w:rFonts w:eastAsia="Calibri"/>
              </w:rPr>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rPr>
                <w:rFonts w:eastAsia="Calibri"/>
              </w:rPr>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rPr>
                <w:rFonts w:eastAsia="Calibri"/>
              </w:rPr>
            </w:pPr>
            <w:r>
              <w:rPr>
                <w:rFonts w:eastAsia="Calibri"/>
              </w:rP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rPr>
                <w:rFonts w:eastAsia="Calibri"/>
              </w:rPr>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rPr>
                <w:rFonts w:eastAsia="Calibri"/>
              </w:rPr>
            </w:pPr>
            <w:r>
              <w:rPr>
                <w:rFonts w:eastAsia="Calibri"/>
              </w:rP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rPr>
                <w:rFonts w:eastAsia="Calibri"/>
              </w:rPr>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rPr>
                <w:rFonts w:eastAsia="Calibri"/>
              </w:rPr>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SimSun"/>
                <w:lang w:val="en-US"/>
              </w:rPr>
            </w:pPr>
            <w:r>
              <w:rPr>
                <w:rFonts w:eastAsia="SimSun"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SimSun"/>
                <w:lang w:val="en-US"/>
              </w:rPr>
            </w:pPr>
            <w:r>
              <w:rPr>
                <w:rFonts w:eastAsia="SimSun"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rPr>
                <w:rFonts w:eastAsia="Calibri"/>
              </w:rPr>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rPr>
                <w:rFonts w:eastAsia="Calibri"/>
              </w:rPr>
            </w:pPr>
            <w:r>
              <w:rPr>
                <w:rFonts w:eastAsia="Calibri"/>
              </w:rP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rPr>
                <w:rFonts w:eastAsia="Calibri"/>
              </w:rPr>
            </w:pPr>
            <w:r>
              <w:rPr>
                <w:rFonts w:eastAsia="Calibri"/>
              </w:rP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rPr>
                <w:rFonts w:eastAsia="Calibri"/>
              </w:rPr>
            </w:pPr>
            <w:r>
              <w:rPr>
                <w:rFonts w:eastAsia="Calibri"/>
              </w:rPr>
              <w:t>The following CR cover page issues should be fixed:</w:t>
            </w:r>
          </w:p>
          <w:p w14:paraId="15CAE30E" w14:textId="77777777" w:rsidR="00C57F0A" w:rsidRPr="00DF2C89" w:rsidRDefault="00A71B0B">
            <w:pPr>
              <w:pStyle w:val="ListParagraph"/>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ListParagraph"/>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ListParagraph"/>
              <w:spacing w:after="0" w:line="240" w:lineRule="auto"/>
              <w:ind w:left="360"/>
              <w:rPr>
                <w:lang w:val="en-US"/>
              </w:rPr>
            </w:pPr>
          </w:p>
          <w:p w14:paraId="2346A56A" w14:textId="77777777" w:rsidR="00C57F0A" w:rsidRDefault="00A71B0B">
            <w:pPr>
              <w:pStyle w:val="CRCoverPage"/>
              <w:spacing w:after="0" w:line="240" w:lineRule="auto"/>
              <w:ind w:left="284"/>
              <w:rPr>
                <w:rFonts w:eastAsia="Calibri"/>
                <w:sz w:val="18"/>
                <w:szCs w:val="18"/>
              </w:rPr>
            </w:pPr>
            <w:r>
              <w:rPr>
                <w:rFonts w:eastAsia="Calibri"/>
                <w:sz w:val="18"/>
                <w:szCs w:val="18"/>
              </w:rPr>
              <w:t xml:space="preserve">Entry 1 of </w:t>
            </w:r>
            <w:proofErr w:type="spellStart"/>
            <w:r>
              <w:rPr>
                <w:rFonts w:eastAsia="Calibri"/>
                <w:sz w:val="18"/>
                <w:szCs w:val="18"/>
              </w:rPr>
              <w:t>plmn-IdentityInfoList</w:t>
            </w:r>
            <w:proofErr w:type="spellEnd"/>
            <w:r>
              <w:rPr>
                <w:rFonts w:eastAsia="Calibri"/>
                <w:sz w:val="18"/>
                <w:szCs w:val="18"/>
              </w:rPr>
              <w:t xml:space="preserve">: </w:t>
            </w:r>
            <w:proofErr w:type="spellStart"/>
            <w:r>
              <w:rPr>
                <w:rFonts w:eastAsia="Calibri"/>
                <w:sz w:val="18"/>
                <w:szCs w:val="18"/>
              </w:rPr>
              <w:t>plmn-</w:t>
            </w:r>
            <w:proofErr w:type="gramStart"/>
            <w:r>
              <w:rPr>
                <w:rFonts w:eastAsia="Calibri"/>
                <w:sz w:val="18"/>
                <w:szCs w:val="18"/>
              </w:rPr>
              <w:t>IdentityInfoList</w:t>
            </w:r>
            <w:proofErr w:type="spellEnd"/>
            <w:r>
              <w:rPr>
                <w:rFonts w:eastAsia="Calibri"/>
                <w:sz w:val="18"/>
                <w:szCs w:val="18"/>
              </w:rPr>
              <w:t>{</w:t>
            </w:r>
            <w:proofErr w:type="gramEnd"/>
            <w:r>
              <w:rPr>
                <w:rFonts w:eastAsia="Calibri"/>
                <w:sz w:val="18"/>
                <w:szCs w:val="18"/>
              </w:rPr>
              <w:t>PLMN A; PLMN B}</w:t>
            </w:r>
          </w:p>
          <w:p w14:paraId="68448A34" w14:textId="77777777" w:rsidR="00C57F0A" w:rsidRDefault="00A71B0B">
            <w:pPr>
              <w:pStyle w:val="CRCoverPage"/>
              <w:spacing w:after="0" w:line="240" w:lineRule="auto"/>
              <w:ind w:left="284"/>
              <w:rPr>
                <w:rFonts w:eastAsia="Calibri"/>
                <w:sz w:val="18"/>
                <w:szCs w:val="18"/>
              </w:rPr>
            </w:pPr>
            <w:r>
              <w:rPr>
                <w:rFonts w:eastAsia="Calibri"/>
                <w:sz w:val="18"/>
                <w:szCs w:val="18"/>
              </w:rPr>
              <w:t xml:space="preserve">Entry 2 of </w:t>
            </w:r>
            <w:proofErr w:type="spellStart"/>
            <w:r>
              <w:rPr>
                <w:rFonts w:eastAsia="Calibri"/>
                <w:sz w:val="18"/>
                <w:szCs w:val="18"/>
              </w:rPr>
              <w:t>plmn-IdentityInfoList</w:t>
            </w:r>
            <w:proofErr w:type="spellEnd"/>
            <w:r>
              <w:rPr>
                <w:rFonts w:eastAsia="Calibri"/>
                <w:sz w:val="18"/>
                <w:szCs w:val="18"/>
              </w:rPr>
              <w:t xml:space="preserve">: </w:t>
            </w:r>
            <w:proofErr w:type="spellStart"/>
            <w:r>
              <w:rPr>
                <w:rFonts w:eastAsia="Calibri"/>
                <w:sz w:val="18"/>
                <w:szCs w:val="18"/>
              </w:rPr>
              <w:t>plmn-</w:t>
            </w:r>
            <w:proofErr w:type="gramStart"/>
            <w:r>
              <w:rPr>
                <w:rFonts w:eastAsia="Calibri"/>
                <w:sz w:val="18"/>
                <w:szCs w:val="18"/>
              </w:rPr>
              <w:t>IdentityInfoList</w:t>
            </w:r>
            <w:proofErr w:type="spellEnd"/>
            <w:r>
              <w:rPr>
                <w:rFonts w:eastAsia="Calibri"/>
                <w:sz w:val="18"/>
                <w:szCs w:val="18"/>
              </w:rPr>
              <w:t>{</w:t>
            </w:r>
            <w:proofErr w:type="gramEnd"/>
            <w:r>
              <w:rPr>
                <w:rFonts w:eastAsia="Calibri"/>
                <w:sz w:val="18"/>
                <w:szCs w:val="18"/>
              </w:rPr>
              <w:t>PLMN C}</w:t>
            </w:r>
          </w:p>
          <w:p w14:paraId="2876DDA9" w14:textId="77777777" w:rsidR="00C57F0A" w:rsidRDefault="00A71B0B">
            <w:pPr>
              <w:pStyle w:val="CRCoverPage"/>
              <w:spacing w:after="0" w:line="240" w:lineRule="auto"/>
              <w:ind w:left="284"/>
              <w:rPr>
                <w:rFonts w:eastAsia="Calibri"/>
                <w:sz w:val="18"/>
                <w:szCs w:val="18"/>
              </w:rPr>
            </w:pPr>
            <w:r>
              <w:rPr>
                <w:rFonts w:eastAsia="Calibri"/>
                <w:sz w:val="18"/>
                <w:szCs w:val="18"/>
                <w:highlight w:val="yellow"/>
              </w:rPr>
              <w:t>Entry 2</w:t>
            </w:r>
            <w:r>
              <w:rPr>
                <w:rFonts w:eastAsia="Calibri"/>
                <w:sz w:val="18"/>
                <w:szCs w:val="18"/>
              </w:rPr>
              <w:t xml:space="preserve"> of </w:t>
            </w:r>
            <w:proofErr w:type="spellStart"/>
            <w:r>
              <w:rPr>
                <w:rFonts w:eastAsia="Calibri"/>
                <w:sz w:val="18"/>
                <w:szCs w:val="18"/>
              </w:rPr>
              <w:t>plmn-IdentityInfoList</w:t>
            </w:r>
            <w:proofErr w:type="spellEnd"/>
            <w:r>
              <w:rPr>
                <w:rFonts w:eastAsia="Calibri"/>
                <w:sz w:val="18"/>
                <w:szCs w:val="18"/>
              </w:rPr>
              <w:t xml:space="preserve">: </w:t>
            </w:r>
            <w:proofErr w:type="spellStart"/>
            <w:r>
              <w:rPr>
                <w:rFonts w:eastAsia="Calibri"/>
                <w:sz w:val="18"/>
                <w:szCs w:val="18"/>
              </w:rPr>
              <w:t>plmn-</w:t>
            </w:r>
            <w:proofErr w:type="gramStart"/>
            <w:r>
              <w:rPr>
                <w:rFonts w:eastAsia="Calibri"/>
                <w:sz w:val="18"/>
                <w:szCs w:val="18"/>
              </w:rPr>
              <w:t>IdentityInfoList</w:t>
            </w:r>
            <w:proofErr w:type="spellEnd"/>
            <w:r>
              <w:rPr>
                <w:rFonts w:eastAsia="Calibri"/>
                <w:sz w:val="18"/>
                <w:szCs w:val="18"/>
              </w:rPr>
              <w:t>{</w:t>
            </w:r>
            <w:proofErr w:type="gramEnd"/>
            <w:r>
              <w:rPr>
                <w:rFonts w:eastAsia="Calibri"/>
                <w:sz w:val="18"/>
                <w:szCs w:val="18"/>
              </w:rPr>
              <w:t>PLMN D, PLMN E}</w:t>
            </w:r>
          </w:p>
          <w:p w14:paraId="73225E07" w14:textId="77777777" w:rsidR="00C57F0A" w:rsidRDefault="00C57F0A">
            <w:pPr>
              <w:spacing w:after="0" w:line="240" w:lineRule="auto"/>
              <w:jc w:val="both"/>
              <w:rPr>
                <w:rFonts w:eastAsia="Calibri"/>
              </w:rPr>
            </w:pPr>
          </w:p>
          <w:p w14:paraId="087E373F" w14:textId="77777777" w:rsidR="00C57F0A" w:rsidRDefault="00A71B0B">
            <w:pPr>
              <w:spacing w:after="0" w:line="240" w:lineRule="auto"/>
              <w:jc w:val="both"/>
              <w:rPr>
                <w:rFonts w:eastAsia="Calibri"/>
              </w:rPr>
            </w:pPr>
            <w:r>
              <w:rPr>
                <w:rFonts w:eastAsia="Calibri"/>
              </w:rPr>
              <w:t>In the sentence below typos should be fixed, i.e. it should say “sharing the”.</w:t>
            </w:r>
          </w:p>
          <w:p w14:paraId="6D1A135F" w14:textId="77777777" w:rsidR="00C57F0A" w:rsidRDefault="00C57F0A">
            <w:pPr>
              <w:spacing w:after="0" w:line="240" w:lineRule="auto"/>
              <w:jc w:val="both"/>
              <w:rPr>
                <w:rFonts w:eastAsia="Calibri"/>
              </w:rPr>
            </w:pPr>
          </w:p>
          <w:p w14:paraId="1C661927" w14:textId="77777777" w:rsidR="00C57F0A" w:rsidRDefault="00A71B0B">
            <w:pPr>
              <w:pStyle w:val="CRCoverPage"/>
              <w:spacing w:after="0" w:line="240" w:lineRule="auto"/>
              <w:ind w:left="100"/>
              <w:rPr>
                <w:rFonts w:eastAsia="Calibri"/>
                <w:sz w:val="18"/>
                <w:szCs w:val="18"/>
              </w:rPr>
            </w:pPr>
            <w:r>
              <w:rPr>
                <w:rFonts w:eastAsia="Calibri"/>
                <w:sz w:val="18"/>
                <w:szCs w:val="18"/>
              </w:rPr>
              <w:t>Disaster information is indicated as a list, the intention was that the networ</w:t>
            </w:r>
            <w:r>
              <w:rPr>
                <w:rFonts w:eastAsia="Calibri"/>
                <w:sz w:val="18"/>
                <w:szCs w:val="18"/>
              </w:rPr>
              <w:t xml:space="preserve">k should be able to signal different disaster information for the different networks that share the cell, </w:t>
            </w:r>
            <w:proofErr w:type="gramStart"/>
            <w:r>
              <w:rPr>
                <w:rFonts w:eastAsia="Calibri"/>
                <w:sz w:val="18"/>
                <w:szCs w:val="18"/>
              </w:rPr>
              <w:t>similar to</w:t>
            </w:r>
            <w:proofErr w:type="gramEnd"/>
            <w:r>
              <w:rPr>
                <w:rFonts w:eastAsia="Calibri"/>
                <w:sz w:val="18"/>
                <w:szCs w:val="18"/>
              </w:rPr>
              <w:t xml:space="preserve"> how different networks </w:t>
            </w:r>
            <w:proofErr w:type="spellStart"/>
            <w:r>
              <w:rPr>
                <w:rFonts w:eastAsia="Calibri"/>
                <w:sz w:val="18"/>
                <w:szCs w:val="18"/>
                <w:highlight w:val="yellow"/>
              </w:rPr>
              <w:t>sharin</w:t>
            </w:r>
            <w:proofErr w:type="spellEnd"/>
            <w:r>
              <w:rPr>
                <w:rFonts w:eastAsia="Calibri"/>
                <w:sz w:val="18"/>
                <w:szCs w:val="18"/>
                <w:highlight w:val="yellow"/>
              </w:rPr>
              <w:t xml:space="preserve"> </w:t>
            </w:r>
            <w:proofErr w:type="spellStart"/>
            <w:r>
              <w:rPr>
                <w:rFonts w:eastAsia="Calibri"/>
                <w:sz w:val="18"/>
                <w:szCs w:val="18"/>
                <w:highlight w:val="yellow"/>
              </w:rPr>
              <w:t>ghte</w:t>
            </w:r>
            <w:proofErr w:type="spellEnd"/>
            <w:r>
              <w:rPr>
                <w:rFonts w:eastAsia="Calibri"/>
                <w:sz w:val="18"/>
                <w:szCs w:val="18"/>
              </w:rPr>
              <w:t xml:space="preserve"> cell could have different cell identity, tracking area code, etc.</w:t>
            </w:r>
          </w:p>
          <w:p w14:paraId="13DFA78A" w14:textId="77777777" w:rsidR="00C57F0A" w:rsidRDefault="00C57F0A">
            <w:pPr>
              <w:spacing w:after="0" w:line="240" w:lineRule="auto"/>
              <w:jc w:val="both"/>
              <w:rPr>
                <w:rFonts w:eastAsia="Calibri"/>
              </w:rPr>
            </w:pPr>
          </w:p>
          <w:p w14:paraId="062B1FB8" w14:textId="77777777" w:rsidR="00C57F0A" w:rsidRDefault="00A71B0B">
            <w:pPr>
              <w:spacing w:after="0" w:line="240" w:lineRule="auto"/>
              <w:jc w:val="both"/>
              <w:rPr>
                <w:rFonts w:eastAsia="Calibri"/>
              </w:rPr>
            </w:pPr>
            <w:r>
              <w:rPr>
                <w:rFonts w:eastAsia="Calibri"/>
              </w:rPr>
              <w:lastRenderedPageBreak/>
              <w:t xml:space="preserve">The sentence below is </w:t>
            </w:r>
            <w:r>
              <w:rPr>
                <w:rFonts w:eastAsia="Calibri"/>
              </w:rPr>
              <w:t>incomplete. We suggest to add the text in red color.</w:t>
            </w:r>
          </w:p>
          <w:p w14:paraId="3F6C8D5E" w14:textId="77777777" w:rsidR="00C57F0A" w:rsidRDefault="00C57F0A">
            <w:pPr>
              <w:spacing w:after="0" w:line="240" w:lineRule="auto"/>
              <w:jc w:val="both"/>
              <w:rPr>
                <w:rFonts w:eastAsia="Calibri"/>
              </w:rPr>
            </w:pPr>
          </w:p>
          <w:p w14:paraId="4278197A" w14:textId="77777777" w:rsidR="00C57F0A" w:rsidRDefault="00A71B0B">
            <w:pPr>
              <w:pStyle w:val="CRCoverPage"/>
              <w:spacing w:after="0" w:line="240" w:lineRule="auto"/>
              <w:ind w:left="100"/>
              <w:rPr>
                <w:rFonts w:eastAsia="Calibri"/>
                <w:sz w:val="18"/>
                <w:szCs w:val="18"/>
              </w:rPr>
            </w:pPr>
            <w:r>
              <w:rPr>
                <w:rFonts w:eastAsia="Calibri"/>
                <w:sz w:val="18"/>
                <w:szCs w:val="18"/>
              </w:rPr>
              <w:t xml:space="preserve">This error makes it impossible </w:t>
            </w:r>
            <w:r>
              <w:rPr>
                <w:rFonts w:eastAsia="Calibri"/>
                <w:color w:val="FF0000"/>
                <w:sz w:val="18"/>
                <w:szCs w:val="18"/>
              </w:rPr>
              <w:t>to</w:t>
            </w:r>
            <w:r>
              <w:rPr>
                <w:rFonts w:eastAsia="Calibri"/>
                <w:sz w:val="18"/>
                <w:szCs w:val="18"/>
              </w:rPr>
              <w:t xml:space="preserve"> provide disaster information for the scenario shown above as it is unclear </w:t>
            </w:r>
            <w:r>
              <w:rPr>
                <w:rFonts w:eastAsia="Calibri"/>
                <w:color w:val="FF0000"/>
                <w:sz w:val="18"/>
                <w:szCs w:val="18"/>
              </w:rPr>
              <w:t xml:space="preserve">for </w:t>
            </w:r>
            <w:r>
              <w:rPr>
                <w:rFonts w:eastAsia="Calibri"/>
                <w:sz w:val="18"/>
                <w:szCs w:val="18"/>
              </w:rPr>
              <w:t xml:space="preserve">which of the (more than one) </w:t>
            </w:r>
            <w:proofErr w:type="spellStart"/>
            <w:r>
              <w:rPr>
                <w:rFonts w:eastAsia="Calibri"/>
                <w:i/>
                <w:iCs/>
                <w:sz w:val="18"/>
                <w:szCs w:val="18"/>
              </w:rPr>
              <w:t>plmn-IdentityList</w:t>
            </w:r>
            <w:proofErr w:type="spellEnd"/>
            <w:r>
              <w:rPr>
                <w:rFonts w:eastAsia="Calibri"/>
                <w:sz w:val="18"/>
                <w:szCs w:val="18"/>
              </w:rPr>
              <w:t xml:space="preserve"> </w:t>
            </w:r>
            <w:r>
              <w:rPr>
                <w:rFonts w:eastAsia="Calibri"/>
                <w:color w:val="FF0000"/>
                <w:sz w:val="18"/>
                <w:szCs w:val="18"/>
              </w:rPr>
              <w:t>the disaster roaming information applies</w:t>
            </w:r>
            <w:r>
              <w:rPr>
                <w:rFonts w:eastAsia="Calibri"/>
                <w:sz w:val="18"/>
                <w:szCs w:val="18"/>
              </w:rPr>
              <w:t>.</w:t>
            </w:r>
          </w:p>
          <w:p w14:paraId="14763E5B" w14:textId="77777777" w:rsidR="00C57F0A" w:rsidRDefault="00C57F0A">
            <w:pPr>
              <w:spacing w:after="0" w:line="240" w:lineRule="auto"/>
              <w:jc w:val="both"/>
              <w:rPr>
                <w:rFonts w:eastAsia="Calibri"/>
              </w:rPr>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77777777" w:rsidR="00C57F0A" w:rsidRDefault="00C57F0A">
            <w:pPr>
              <w:jc w:val="both"/>
              <w:rPr>
                <w:rFonts w:eastAsia="Calibri"/>
              </w:rPr>
            </w:pPr>
          </w:p>
        </w:tc>
        <w:tc>
          <w:tcPr>
            <w:tcW w:w="993" w:type="dxa"/>
            <w:tcBorders>
              <w:top w:val="single" w:sz="4" w:space="0" w:color="auto"/>
              <w:left w:val="single" w:sz="4" w:space="0" w:color="auto"/>
              <w:bottom w:val="single" w:sz="4" w:space="0" w:color="auto"/>
              <w:right w:val="single" w:sz="4" w:space="0" w:color="auto"/>
            </w:tcBorders>
          </w:tcPr>
          <w:p w14:paraId="36FD6ADE" w14:textId="77777777" w:rsidR="00C57F0A" w:rsidRDefault="00C57F0A">
            <w:pPr>
              <w:jc w:val="both"/>
              <w:rPr>
                <w:rFonts w:eastAsia="Calibri"/>
              </w:rPr>
            </w:pP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rPr>
                <w:rFonts w:eastAsia="Calibri"/>
              </w:rPr>
            </w:pPr>
          </w:p>
        </w:tc>
      </w:tr>
      <w:tr w:rsidR="00C57F0A"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77777777" w:rsidR="00C57F0A" w:rsidRDefault="00C57F0A">
            <w:pPr>
              <w:jc w:val="both"/>
              <w:rPr>
                <w:rFonts w:eastAsia="Calibri"/>
              </w:rPr>
            </w:pPr>
          </w:p>
        </w:tc>
        <w:tc>
          <w:tcPr>
            <w:tcW w:w="993" w:type="dxa"/>
            <w:tcBorders>
              <w:top w:val="single" w:sz="4" w:space="0" w:color="auto"/>
              <w:left w:val="single" w:sz="4" w:space="0" w:color="auto"/>
              <w:bottom w:val="single" w:sz="4" w:space="0" w:color="auto"/>
              <w:right w:val="single" w:sz="4" w:space="0" w:color="auto"/>
            </w:tcBorders>
          </w:tcPr>
          <w:p w14:paraId="4E093363" w14:textId="77777777" w:rsidR="00C57F0A" w:rsidRDefault="00C57F0A">
            <w:pPr>
              <w:jc w:val="both"/>
              <w:rPr>
                <w:rFonts w:eastAsia="Calibri"/>
              </w:rPr>
            </w:pPr>
          </w:p>
        </w:tc>
        <w:tc>
          <w:tcPr>
            <w:tcW w:w="6799" w:type="dxa"/>
            <w:tcBorders>
              <w:top w:val="single" w:sz="4" w:space="0" w:color="auto"/>
              <w:left w:val="single" w:sz="4" w:space="0" w:color="auto"/>
              <w:bottom w:val="single" w:sz="4" w:space="0" w:color="auto"/>
              <w:right w:val="single" w:sz="4" w:space="0" w:color="auto"/>
            </w:tcBorders>
          </w:tcPr>
          <w:p w14:paraId="520539CD" w14:textId="77777777" w:rsidR="00C57F0A" w:rsidRDefault="00C57F0A">
            <w:pPr>
              <w:jc w:val="both"/>
              <w:rPr>
                <w:rFonts w:eastAsia="Calibri"/>
              </w:rPr>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Heading1"/>
      </w:pPr>
      <w:bookmarkStart w:id="2" w:name="_Ref189046994"/>
      <w:r>
        <w:t>5</w:t>
      </w:r>
      <w:r>
        <w:tab/>
        <w:t>Conclusion</w:t>
      </w:r>
    </w:p>
    <w:p w14:paraId="7E6D6DF8" w14:textId="77777777" w:rsidR="00C57F0A" w:rsidRDefault="00A71B0B">
      <w:pPr>
        <w:rPr>
          <w:lang w:val="en-GB" w:eastAsia="ja-JP"/>
        </w:rPr>
      </w:pPr>
      <w:r>
        <w:rPr>
          <w:lang w:val="en-GB" w:eastAsia="ja-JP"/>
        </w:rPr>
        <w:t>To be added.</w:t>
      </w:r>
      <w:bookmarkEnd w:id="2"/>
    </w:p>
    <w:sectPr w:rsidR="00C57F0A">
      <w:headerReference w:type="even" r:id="rId30"/>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EA0B" w14:textId="77777777" w:rsidR="00A71B0B" w:rsidRDefault="00A71B0B">
      <w:pPr>
        <w:spacing w:line="240" w:lineRule="auto"/>
      </w:pPr>
      <w:r>
        <w:separator/>
      </w:r>
    </w:p>
  </w:endnote>
  <w:endnote w:type="continuationSeparator" w:id="0">
    <w:p w14:paraId="16073DD5" w14:textId="77777777" w:rsidR="00A71B0B" w:rsidRDefault="00A71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BEA" w14:textId="77777777" w:rsidR="00C57F0A" w:rsidRDefault="00A71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C550" w14:textId="77777777" w:rsidR="00A71B0B" w:rsidRDefault="00A71B0B">
      <w:pPr>
        <w:spacing w:after="0"/>
      </w:pPr>
      <w:r>
        <w:separator/>
      </w:r>
    </w:p>
  </w:footnote>
  <w:footnote w:type="continuationSeparator" w:id="0">
    <w:p w14:paraId="7F72E2C0" w14:textId="77777777" w:rsidR="00A71B0B" w:rsidRDefault="00A71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39FE" w14:textId="77777777" w:rsidR="00C57F0A" w:rsidRDefault="00A71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096389"/>
    <w:rsid w:val="000F36BD"/>
    <w:rsid w:val="00153717"/>
    <w:rsid w:val="001A6F81"/>
    <w:rsid w:val="001B583B"/>
    <w:rsid w:val="001C7A8D"/>
    <w:rsid w:val="001E115A"/>
    <w:rsid w:val="00214D65"/>
    <w:rsid w:val="00264361"/>
    <w:rsid w:val="002648C1"/>
    <w:rsid w:val="002667CA"/>
    <w:rsid w:val="002B2942"/>
    <w:rsid w:val="002B2E94"/>
    <w:rsid w:val="002B4B9F"/>
    <w:rsid w:val="002B635A"/>
    <w:rsid w:val="002D5454"/>
    <w:rsid w:val="002E6B20"/>
    <w:rsid w:val="00302282"/>
    <w:rsid w:val="00315CAB"/>
    <w:rsid w:val="003220E8"/>
    <w:rsid w:val="00356897"/>
    <w:rsid w:val="00367E55"/>
    <w:rsid w:val="003A0DD2"/>
    <w:rsid w:val="003A4CCC"/>
    <w:rsid w:val="003A6A03"/>
    <w:rsid w:val="003F3767"/>
    <w:rsid w:val="00436ADE"/>
    <w:rsid w:val="00436EE9"/>
    <w:rsid w:val="00447528"/>
    <w:rsid w:val="00463E71"/>
    <w:rsid w:val="00485D8B"/>
    <w:rsid w:val="004930C3"/>
    <w:rsid w:val="00496078"/>
    <w:rsid w:val="004C1033"/>
    <w:rsid w:val="004C1AD2"/>
    <w:rsid w:val="004F403A"/>
    <w:rsid w:val="0050715B"/>
    <w:rsid w:val="00510536"/>
    <w:rsid w:val="005947DB"/>
    <w:rsid w:val="005A1FA2"/>
    <w:rsid w:val="005A5526"/>
    <w:rsid w:val="005E735A"/>
    <w:rsid w:val="00604C9D"/>
    <w:rsid w:val="00614BC6"/>
    <w:rsid w:val="00614CB8"/>
    <w:rsid w:val="00615CE6"/>
    <w:rsid w:val="00617C9B"/>
    <w:rsid w:val="006A08D4"/>
    <w:rsid w:val="006A6BEB"/>
    <w:rsid w:val="006C6D67"/>
    <w:rsid w:val="006D04C9"/>
    <w:rsid w:val="006E737D"/>
    <w:rsid w:val="007071FA"/>
    <w:rsid w:val="007404D2"/>
    <w:rsid w:val="0076102D"/>
    <w:rsid w:val="007969C6"/>
    <w:rsid w:val="007A5BE5"/>
    <w:rsid w:val="007D3FF8"/>
    <w:rsid w:val="008666CF"/>
    <w:rsid w:val="00876538"/>
    <w:rsid w:val="008854F4"/>
    <w:rsid w:val="008961AD"/>
    <w:rsid w:val="008A7DBD"/>
    <w:rsid w:val="008E4E3F"/>
    <w:rsid w:val="008F5685"/>
    <w:rsid w:val="00927D43"/>
    <w:rsid w:val="00934C2C"/>
    <w:rsid w:val="0094652C"/>
    <w:rsid w:val="009A1A65"/>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F6701"/>
    <w:rsid w:val="00B239CE"/>
    <w:rsid w:val="00B468B8"/>
    <w:rsid w:val="00B5418A"/>
    <w:rsid w:val="00B7136E"/>
    <w:rsid w:val="00B77559"/>
    <w:rsid w:val="00B914DD"/>
    <w:rsid w:val="00B959ED"/>
    <w:rsid w:val="00B9678F"/>
    <w:rsid w:val="00BA669D"/>
    <w:rsid w:val="00BB05B6"/>
    <w:rsid w:val="00BD44E8"/>
    <w:rsid w:val="00BD7031"/>
    <w:rsid w:val="00BF32D8"/>
    <w:rsid w:val="00BF49DF"/>
    <w:rsid w:val="00C167BB"/>
    <w:rsid w:val="00C52D2B"/>
    <w:rsid w:val="00C55C5F"/>
    <w:rsid w:val="00C57F0A"/>
    <w:rsid w:val="00C63C55"/>
    <w:rsid w:val="00C95D71"/>
    <w:rsid w:val="00CB68B0"/>
    <w:rsid w:val="00CD205F"/>
    <w:rsid w:val="00CE12B5"/>
    <w:rsid w:val="00D072EF"/>
    <w:rsid w:val="00D14A27"/>
    <w:rsid w:val="00D14B1C"/>
    <w:rsid w:val="00D3143B"/>
    <w:rsid w:val="00D53B75"/>
    <w:rsid w:val="00D54FD2"/>
    <w:rsid w:val="00D72C3F"/>
    <w:rsid w:val="00DA7FF4"/>
    <w:rsid w:val="00DF0BEF"/>
    <w:rsid w:val="00DF2C89"/>
    <w:rsid w:val="00E2574E"/>
    <w:rsid w:val="00E452A4"/>
    <w:rsid w:val="00E62BC9"/>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2BEC"/>
  <w15:docId w15:val="{69F74A5D-527A-406B-9E63-60E8DF60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eastAsia="MS Mincho" w:cs="Arial"/>
      <w:i/>
      <w:sz w:val="18"/>
      <w:lang w:val="en-US" w:eastAsia="en-US"/>
    </w:rPr>
  </w:style>
  <w:style w:type="paragraph" w:customStyle="1" w:styleId="Agreement">
    <w:name w:val="Agreement"/>
    <w:basedOn w:val="Normal"/>
    <w:next w:val="Normal"/>
    <w:uiPriority w:val="99"/>
    <w:qFormat/>
    <w:pPr>
      <w:numPr>
        <w:numId w:val="13"/>
      </w:numPr>
      <w:spacing w:before="60"/>
    </w:pPr>
    <w:rPr>
      <w:rFonts w:eastAsia="MS Mincho"/>
      <w:b/>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0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776.zip" TargetMode="Externa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mailto:(liu.yu3@zte.com.cn)" TargetMode="External"/><Relationship Id="rId29" Type="http://schemas.openxmlformats.org/officeDocument/2006/relationships/hyperlink" Target="http://www.3gpp.org/ftp//tsg_ran/WG2_RL2/TSGR2_119-e/Docs//R2-220813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26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002.zip" TargetMode="External"/><Relationship Id="rId28" Type="http://schemas.openxmlformats.org/officeDocument/2006/relationships/hyperlink" Target="http://www.3gpp.org/ftp//tsg_ran/WG2_RL2/TSGR2_119-e/Docs//R2-2208141.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8654.zip" TargetMode="External"/><Relationship Id="rId27" Type="http://schemas.openxmlformats.org/officeDocument/2006/relationships/hyperlink" Target="http://www.3gpp.org/ftp//tsg_ran/WG2_RL2/TSGR2_119-e/Docs//R2-2207013.zip"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802FC890-9A32-4F1A-805F-88B0456D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2530</Words>
  <Characters>14423</Characters>
  <Application>Microsoft Office Word</Application>
  <DocSecurity>0</DocSecurity>
  <Lines>120</Lines>
  <Paragraphs>33</Paragraphs>
  <ScaleCrop>false</ScaleCrop>
  <Company>Ericsson</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11</cp:revision>
  <cp:lastPrinted>2008-01-31T17:09:00Z</cp:lastPrinted>
  <dcterms:created xsi:type="dcterms:W3CDTF">2022-08-18T18:08:00Z</dcterms:created>
  <dcterms:modified xsi:type="dcterms:W3CDTF">2022-08-19T02:46:00Z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