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CC3C11">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409E253C" w:rsidR="00BD3EAF" w:rsidRDefault="00BD3EAF">
            <w:pPr>
              <w:spacing w:before="120" w:after="120"/>
              <w:jc w:val="center"/>
              <w:rPr>
                <w:lang w:val="en-US" w:eastAsia="zh-CN"/>
              </w:rPr>
            </w:pPr>
          </w:p>
        </w:tc>
        <w:tc>
          <w:tcPr>
            <w:tcW w:w="2620" w:type="dxa"/>
            <w:tcMar>
              <w:top w:w="0" w:type="dxa"/>
              <w:left w:w="108" w:type="dxa"/>
              <w:bottom w:w="0" w:type="dxa"/>
              <w:right w:w="108" w:type="dxa"/>
            </w:tcMar>
            <w:vAlign w:val="center"/>
          </w:tcPr>
          <w:p w14:paraId="3574FD4A" w14:textId="7161664A" w:rsidR="00BD3EAF" w:rsidRDefault="00BD3EAF">
            <w:pPr>
              <w:spacing w:before="120" w:after="120"/>
              <w:jc w:val="center"/>
              <w:rPr>
                <w:lang w:val="en-US" w:eastAsia="zh-CN"/>
              </w:rPr>
            </w:pPr>
          </w:p>
        </w:tc>
        <w:tc>
          <w:tcPr>
            <w:tcW w:w="5371" w:type="dxa"/>
            <w:vAlign w:val="center"/>
          </w:tcPr>
          <w:p w14:paraId="6425BD19" w14:textId="653D07CE" w:rsidR="00BD3EAF" w:rsidRDefault="00BD3EAF">
            <w:pPr>
              <w:spacing w:before="120" w:after="120"/>
              <w:jc w:val="center"/>
              <w:rPr>
                <w:lang w:val="en-US" w:eastAsia="zh-CN"/>
              </w:rPr>
            </w:pP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343E2F54" w:rsidR="00BD3EAF" w:rsidRDefault="00BD3EAF">
            <w:pPr>
              <w:spacing w:before="120" w:after="120"/>
              <w:jc w:val="center"/>
              <w:rPr>
                <w:rFonts w:hint="eastAsia"/>
                <w:lang w:val="en-US" w:eastAsia="zh-CN"/>
              </w:rPr>
            </w:pPr>
          </w:p>
        </w:tc>
        <w:tc>
          <w:tcPr>
            <w:tcW w:w="2620" w:type="dxa"/>
            <w:tcMar>
              <w:top w:w="0" w:type="dxa"/>
              <w:left w:w="108" w:type="dxa"/>
              <w:bottom w:w="0" w:type="dxa"/>
              <w:right w:w="108" w:type="dxa"/>
            </w:tcMar>
            <w:vAlign w:val="center"/>
          </w:tcPr>
          <w:p w14:paraId="109E56C3" w14:textId="495A9CCD" w:rsidR="00BD3EAF" w:rsidRDefault="00BD3EAF">
            <w:pPr>
              <w:spacing w:before="120" w:after="120"/>
              <w:jc w:val="center"/>
              <w:rPr>
                <w:lang w:val="en-US" w:eastAsia="zh-CN"/>
              </w:rPr>
            </w:pPr>
          </w:p>
        </w:tc>
        <w:tc>
          <w:tcPr>
            <w:tcW w:w="5371" w:type="dxa"/>
            <w:vAlign w:val="center"/>
          </w:tcPr>
          <w:p w14:paraId="25731EC7" w14:textId="0E074E7C" w:rsidR="00BD3EAF" w:rsidRDefault="00BD3EAF">
            <w:pPr>
              <w:spacing w:before="120" w:after="120"/>
              <w:jc w:val="center"/>
              <w:rPr>
                <w:lang w:val="en-US" w:eastAsia="zh-CN"/>
              </w:rPr>
            </w:pP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77777777"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IIoT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SimSun"/>
                <w:sz w:val="18"/>
                <w:szCs w:val="20"/>
                <w:lang w:val="en-US" w:eastAsia="zh-CN"/>
              </w:rPr>
            </w:pPr>
            <w:r w:rsidRPr="00260719">
              <w:rPr>
                <w:rFonts w:eastAsia="SimSun"/>
                <w:sz w:val="18"/>
                <w:szCs w:val="20"/>
                <w:lang w:val="en-US" w:eastAsia="zh-CN"/>
              </w:rPr>
              <w:t xml:space="preserve">Moreover, we think handover case need to be further considered. With </w:t>
            </w:r>
            <w:r w:rsidRPr="00260719">
              <w:rPr>
                <w:rFonts w:eastAsia="SimSun"/>
                <w:i/>
                <w:sz w:val="18"/>
                <w:szCs w:val="20"/>
                <w:lang w:val="en-US" w:eastAsia="zh-CN"/>
              </w:rPr>
              <w:t>ta-PDC</w:t>
            </w:r>
            <w:r w:rsidRPr="00260719">
              <w:rPr>
                <w:rFonts w:eastAsia="SimSun"/>
                <w:sz w:val="18"/>
                <w:szCs w:val="20"/>
                <w:lang w:val="en-US" w:eastAsia="zh-CN"/>
              </w:rPr>
              <w:t xml:space="preserve"> in </w:t>
            </w:r>
            <w:r w:rsidRPr="00260719">
              <w:rPr>
                <w:rFonts w:eastAsia="SimSun"/>
                <w:i/>
                <w:sz w:val="18"/>
                <w:szCs w:val="20"/>
                <w:lang w:val="en-US" w:eastAsia="zh-CN"/>
              </w:rPr>
              <w:t>DLInformationTransfer</w:t>
            </w:r>
            <w:r w:rsidRPr="00260719">
              <w:rPr>
                <w:rFonts w:eastAsia="SimSun"/>
                <w:sz w:val="18"/>
                <w:szCs w:val="20"/>
                <w:lang w:val="en-US" w:eastAsia="zh-CN"/>
              </w:rPr>
              <w:t xml:space="preserve">, if </w:t>
            </w:r>
            <w:r w:rsidRPr="00260719">
              <w:rPr>
                <w:rFonts w:eastAsia="SimSun"/>
                <w:i/>
                <w:sz w:val="18"/>
                <w:szCs w:val="20"/>
                <w:lang w:val="en-US" w:eastAsia="zh-CN"/>
              </w:rPr>
              <w:t>ta-PDC</w:t>
            </w:r>
            <w:r w:rsidRPr="00260719">
              <w:rPr>
                <w:rFonts w:eastAsia="SimSun"/>
                <w:sz w:val="18"/>
                <w:szCs w:val="20"/>
                <w:lang w:val="en-US" w:eastAsia="zh-CN"/>
              </w:rPr>
              <w:t xml:space="preserve"> is activated in the source cell and then UE moves to the target cell, the target cell cannot know this and may configure UE with </w:t>
            </w:r>
            <w:r w:rsidRPr="00260719">
              <w:rPr>
                <w:rFonts w:eastAsia="SimSun"/>
                <w:i/>
                <w:sz w:val="18"/>
                <w:szCs w:val="20"/>
                <w:lang w:val="en-US" w:eastAsia="zh-CN"/>
              </w:rPr>
              <w:t>rxTxTimeDiff-gNB-r17</w:t>
            </w:r>
            <w:r w:rsidRPr="00260719">
              <w:rPr>
                <w:rFonts w:eastAsia="SimSun"/>
                <w:sz w:val="18"/>
                <w:szCs w:val="20"/>
                <w:lang w:val="en-US" w:eastAsia="zh-CN"/>
              </w:rPr>
              <w:t xml:space="preserve">. This is not allowed. So it seems more suitable to put ta-PDC in </w:t>
            </w:r>
            <w:r w:rsidRPr="00260719">
              <w:rPr>
                <w:rFonts w:eastAsia="SimSun"/>
                <w:i/>
                <w:sz w:val="18"/>
                <w:szCs w:val="20"/>
                <w:lang w:val="en-US" w:eastAsia="zh-CN"/>
              </w:rPr>
              <w:t>RRCReconfiguration</w:t>
            </w:r>
            <w:r w:rsidRPr="00260719">
              <w:rPr>
                <w:rFonts w:eastAsia="SimSun"/>
                <w:sz w:val="18"/>
                <w:szCs w:val="20"/>
                <w:lang w:val="en-US" w:eastAsia="zh-CN"/>
              </w:rPr>
              <w:t xml:space="preserve">. For </w:t>
            </w:r>
            <w:r w:rsidRPr="00260719">
              <w:rPr>
                <w:rFonts w:eastAsia="SimSun"/>
                <w:i/>
                <w:sz w:val="18"/>
                <w:szCs w:val="20"/>
                <w:lang w:val="en-US" w:eastAsia="zh-CN"/>
              </w:rPr>
              <w:t>sib9Fallback</w:t>
            </w:r>
            <w:r w:rsidRPr="00260719">
              <w:rPr>
                <w:rFonts w:eastAsia="SimSun"/>
                <w:sz w:val="18"/>
                <w:szCs w:val="20"/>
                <w:lang w:val="en-US" w:eastAsia="zh-CN"/>
              </w:rPr>
              <w:t xml:space="preserve">, similar issue may exist in handover case. Therefore, we suggest RAN2 further discuss whether it’s better to move </w:t>
            </w:r>
            <w:r w:rsidRPr="00260719">
              <w:rPr>
                <w:rFonts w:eastAsia="SimSun"/>
                <w:i/>
                <w:sz w:val="18"/>
                <w:szCs w:val="20"/>
                <w:lang w:val="en-US" w:eastAsia="zh-CN"/>
              </w:rPr>
              <w:t>ta-PDC</w:t>
            </w:r>
            <w:r w:rsidRPr="00260719">
              <w:rPr>
                <w:rFonts w:eastAsia="SimSun"/>
                <w:sz w:val="18"/>
                <w:szCs w:val="20"/>
                <w:lang w:val="en-US" w:eastAsia="zh-CN"/>
              </w:rPr>
              <w:t xml:space="preserve"> and</w:t>
            </w:r>
            <w:r w:rsidRPr="00260719">
              <w:rPr>
                <w:rFonts w:eastAsia="SimSun"/>
                <w:i/>
                <w:sz w:val="18"/>
                <w:szCs w:val="20"/>
                <w:lang w:val="en-US" w:eastAsia="zh-CN"/>
              </w:rPr>
              <w:t xml:space="preserve"> sib9Fallback</w:t>
            </w:r>
            <w:r w:rsidRPr="00260719">
              <w:rPr>
                <w:rFonts w:eastAsia="SimSun"/>
                <w:sz w:val="18"/>
                <w:szCs w:val="20"/>
                <w:lang w:val="en-US" w:eastAsia="zh-CN"/>
              </w:rPr>
              <w:t xml:space="preserve"> to </w:t>
            </w:r>
            <w:r w:rsidRPr="00260719">
              <w:rPr>
                <w:rFonts w:eastAsia="SimSun"/>
                <w:i/>
                <w:sz w:val="18"/>
                <w:szCs w:val="20"/>
                <w:lang w:val="en-US" w:eastAsia="zh-CN"/>
              </w:rPr>
              <w:t>RRCReconfiguration</w:t>
            </w:r>
            <w:r w:rsidRPr="00260719">
              <w:rPr>
                <w:rFonts w:eastAsia="SimSun"/>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SimSun"/>
                <w:b/>
                <w:sz w:val="18"/>
                <w:szCs w:val="20"/>
                <w:lang w:val="en-US" w:eastAsia="zh-CN"/>
              </w:rPr>
              <w:t xml:space="preserve">Proposal 3: RAN2 is suggested to further discuss whether it’s better to move </w:t>
            </w:r>
            <w:r w:rsidRPr="00260719">
              <w:rPr>
                <w:rFonts w:eastAsia="SimSun"/>
                <w:b/>
                <w:i/>
                <w:sz w:val="18"/>
                <w:szCs w:val="20"/>
                <w:lang w:val="en-US" w:eastAsia="zh-CN"/>
              </w:rPr>
              <w:t>ta-PDC</w:t>
            </w:r>
            <w:r w:rsidRPr="00260719">
              <w:rPr>
                <w:rFonts w:eastAsia="SimSun"/>
                <w:b/>
                <w:sz w:val="18"/>
                <w:szCs w:val="20"/>
                <w:lang w:val="en-US" w:eastAsia="zh-CN"/>
              </w:rPr>
              <w:t xml:space="preserve"> and</w:t>
            </w:r>
            <w:r w:rsidRPr="00260719">
              <w:rPr>
                <w:rFonts w:eastAsia="SimSun"/>
                <w:b/>
                <w:i/>
                <w:sz w:val="18"/>
                <w:szCs w:val="20"/>
                <w:lang w:val="en-US" w:eastAsia="zh-CN"/>
              </w:rPr>
              <w:t xml:space="preserve"> sib9Fallback</w:t>
            </w:r>
            <w:r w:rsidRPr="00260719">
              <w:rPr>
                <w:rFonts w:eastAsia="SimSun"/>
                <w:b/>
                <w:sz w:val="18"/>
                <w:szCs w:val="20"/>
                <w:lang w:val="en-US" w:eastAsia="zh-CN"/>
              </w:rPr>
              <w:t xml:space="preserve"> to </w:t>
            </w:r>
            <w:r w:rsidRPr="00260719">
              <w:rPr>
                <w:rFonts w:eastAsia="SimSun"/>
                <w:b/>
                <w:i/>
                <w:sz w:val="18"/>
                <w:szCs w:val="20"/>
                <w:lang w:val="en-US" w:eastAsia="zh-CN"/>
              </w:rPr>
              <w:t>RRCReconfiguration</w:t>
            </w:r>
            <w:r w:rsidRPr="00260719">
              <w:rPr>
                <w:rFonts w:eastAsia="SimSun"/>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77777777" w:rsidR="00EB5CDD" w:rsidRPr="00EB5CDD" w:rsidRDefault="00EB5CDD" w:rsidP="00EB5CDD">
            <w:pPr>
              <w:pStyle w:val="Doc-title"/>
              <w:rPr>
                <w:sz w:val="18"/>
                <w:szCs w:val="20"/>
              </w:rPr>
            </w:pPr>
            <w:hyperlink r:id="rId13" w:history="1">
              <w:r w:rsidRPr="00EB5CDD">
                <w:rPr>
                  <w:rStyle w:val="Hyperlink"/>
                  <w:sz w:val="18"/>
                  <w:szCs w:val="20"/>
                </w:rPr>
                <w:t>R2-2206006</w:t>
              </w:r>
            </w:hyperlink>
            <w:r w:rsidRPr="00EB5CDD">
              <w:rPr>
                <w:sz w:val="18"/>
                <w:szCs w:val="20"/>
              </w:rPr>
              <w:tab/>
              <w:t>Discussion on ta-PDC and sib9Fallback for IIoT</w:t>
            </w:r>
            <w:r w:rsidRPr="00EB5CDD">
              <w:rPr>
                <w:sz w:val="18"/>
                <w:szCs w:val="20"/>
              </w:rPr>
              <w:tab/>
              <w:t>ZTE Corporation, Sanechips</w:t>
            </w:r>
            <w:r w:rsidRPr="00EB5CDD">
              <w:rPr>
                <w:sz w:val="18"/>
                <w:szCs w:val="20"/>
              </w:rPr>
              <w:tab/>
              <w:t>discussion</w:t>
            </w:r>
            <w:r w:rsidRPr="00EB5CDD">
              <w:rPr>
                <w:sz w:val="18"/>
                <w:szCs w:val="20"/>
              </w:rPr>
              <w:tab/>
              <w:t>Rel-17</w:t>
            </w:r>
            <w:r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lastRenderedPageBreak/>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SimSun"/>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07CD7841" w:rsidR="009D1507" w:rsidRDefault="009D1507" w:rsidP="009D1507">
      <w:pPr>
        <w:rPr>
          <w:lang w:val="en-US"/>
        </w:rPr>
      </w:pP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308"/>
        <w:gridCol w:w="6095"/>
      </w:tblGrid>
      <w:tr w:rsidR="003C7B2D" w14:paraId="52FA1D92" w14:textId="77777777" w:rsidTr="00E94EFA">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308"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6095"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E94EFA">
        <w:tc>
          <w:tcPr>
            <w:tcW w:w="1231" w:type="dxa"/>
          </w:tcPr>
          <w:p w14:paraId="604D5629" w14:textId="77777777" w:rsidR="003C7B2D" w:rsidRDefault="003C7B2D" w:rsidP="005D0B95">
            <w:pPr>
              <w:spacing w:after="0"/>
              <w:rPr>
                <w:rFonts w:eastAsiaTheme="minorEastAsia" w:cs="Arial"/>
                <w:sz w:val="20"/>
                <w:szCs w:val="20"/>
                <w:lang w:val="en-US" w:eastAsia="zh-CN"/>
              </w:rPr>
            </w:pPr>
          </w:p>
        </w:tc>
        <w:tc>
          <w:tcPr>
            <w:tcW w:w="2308" w:type="dxa"/>
          </w:tcPr>
          <w:p w14:paraId="11EF40DC" w14:textId="77777777" w:rsidR="003C7B2D" w:rsidRDefault="003C7B2D" w:rsidP="005D0B95">
            <w:pPr>
              <w:spacing w:after="0"/>
              <w:rPr>
                <w:rFonts w:eastAsiaTheme="minorEastAsia" w:cs="Arial"/>
                <w:sz w:val="20"/>
                <w:szCs w:val="20"/>
                <w:lang w:val="en-US" w:eastAsia="zh-CN"/>
              </w:rPr>
            </w:pPr>
          </w:p>
        </w:tc>
        <w:tc>
          <w:tcPr>
            <w:tcW w:w="6095" w:type="dxa"/>
          </w:tcPr>
          <w:p w14:paraId="2297E2DC" w14:textId="77777777" w:rsidR="003C7B2D" w:rsidRDefault="003C7B2D" w:rsidP="005D0B95">
            <w:pPr>
              <w:spacing w:after="0"/>
              <w:rPr>
                <w:rFonts w:eastAsiaTheme="minorEastAsia" w:cs="Arial"/>
                <w:sz w:val="20"/>
                <w:szCs w:val="20"/>
                <w:lang w:val="en-US" w:eastAsia="zh-CN"/>
              </w:rPr>
            </w:pPr>
          </w:p>
        </w:tc>
      </w:tr>
      <w:tr w:rsidR="003C7B2D" w14:paraId="1CA9FF1A" w14:textId="77777777" w:rsidTr="00E94EFA">
        <w:tc>
          <w:tcPr>
            <w:tcW w:w="1231" w:type="dxa"/>
          </w:tcPr>
          <w:p w14:paraId="2BA5866D" w14:textId="77777777" w:rsidR="003C7B2D" w:rsidRDefault="003C7B2D" w:rsidP="005D0B95">
            <w:pPr>
              <w:spacing w:after="0"/>
              <w:rPr>
                <w:rFonts w:eastAsiaTheme="minorEastAsia" w:cs="Arial"/>
                <w:lang w:val="en-US" w:eastAsia="zh-CN"/>
              </w:rPr>
            </w:pPr>
          </w:p>
        </w:tc>
        <w:tc>
          <w:tcPr>
            <w:tcW w:w="2308" w:type="dxa"/>
          </w:tcPr>
          <w:p w14:paraId="0822CD7B" w14:textId="77777777" w:rsidR="003C7B2D" w:rsidRDefault="003C7B2D" w:rsidP="005D0B95">
            <w:pPr>
              <w:spacing w:after="0"/>
              <w:rPr>
                <w:rFonts w:eastAsiaTheme="minorEastAsia" w:cs="Arial"/>
                <w:lang w:val="en-US" w:eastAsia="zh-CN"/>
              </w:rPr>
            </w:pPr>
          </w:p>
        </w:tc>
        <w:tc>
          <w:tcPr>
            <w:tcW w:w="6095" w:type="dxa"/>
          </w:tcPr>
          <w:p w14:paraId="3A319EE8" w14:textId="77777777" w:rsidR="003C7B2D" w:rsidRDefault="003C7B2D" w:rsidP="005D0B95">
            <w:pPr>
              <w:spacing w:after="0"/>
              <w:rPr>
                <w:rFonts w:eastAsiaTheme="minorEastAsia" w:cs="Arial"/>
                <w:lang w:val="en-US" w:eastAsia="zh-CN"/>
              </w:rPr>
            </w:pP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Pr>
          <w:b/>
          <w:bCs/>
        </w:rPr>
        <w:t>M</w:t>
      </w:r>
      <w:r w:rsidRPr="00B21263">
        <w:rPr>
          <w:b/>
          <w:bCs/>
        </w:rPr>
        <w:t>ulti-TB in CG is supported only when cg-retransmissionTimer is configured</w:t>
      </w:r>
      <w:r>
        <w:rPr>
          <w:b/>
          <w:bCs/>
        </w:rPr>
        <w:t xml:space="preserve">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77777777" w:rsidR="00DE5C58" w:rsidRDefault="00DE5C58" w:rsidP="00AB6C65">
            <w:pPr>
              <w:spacing w:after="0"/>
              <w:rPr>
                <w:rFonts w:eastAsiaTheme="minorEastAsia" w:cs="Arial"/>
                <w:sz w:val="20"/>
                <w:szCs w:val="20"/>
                <w:lang w:val="en-US" w:eastAsia="zh-CN"/>
              </w:rPr>
            </w:pPr>
          </w:p>
        </w:tc>
        <w:tc>
          <w:tcPr>
            <w:tcW w:w="1893" w:type="dxa"/>
          </w:tcPr>
          <w:p w14:paraId="714CB715" w14:textId="77777777" w:rsidR="00DE5C58" w:rsidRDefault="00DE5C58" w:rsidP="00AB6C65">
            <w:pPr>
              <w:spacing w:after="0"/>
              <w:rPr>
                <w:rFonts w:eastAsiaTheme="minorEastAsia" w:cs="Arial"/>
                <w:sz w:val="20"/>
                <w:szCs w:val="20"/>
                <w:lang w:val="en-US" w:eastAsia="zh-CN"/>
              </w:rPr>
            </w:pPr>
          </w:p>
        </w:tc>
        <w:tc>
          <w:tcPr>
            <w:tcW w:w="6510" w:type="dxa"/>
          </w:tcPr>
          <w:p w14:paraId="27189179" w14:textId="77777777" w:rsidR="00DE5C58" w:rsidRDefault="00DE5C58" w:rsidP="00AB6C65">
            <w:pPr>
              <w:spacing w:after="0"/>
              <w:rPr>
                <w:rFonts w:eastAsiaTheme="minorEastAsia" w:cs="Arial"/>
                <w:sz w:val="20"/>
                <w:szCs w:val="20"/>
                <w:lang w:val="en-US" w:eastAsia="zh-CN"/>
              </w:rPr>
            </w:pPr>
          </w:p>
        </w:tc>
      </w:tr>
      <w:tr w:rsidR="00DE5C58" w14:paraId="7AF634E4" w14:textId="77777777" w:rsidTr="00AB6C65">
        <w:tc>
          <w:tcPr>
            <w:tcW w:w="1231" w:type="dxa"/>
          </w:tcPr>
          <w:p w14:paraId="10760945" w14:textId="77777777" w:rsidR="00DE5C58" w:rsidRDefault="00DE5C58" w:rsidP="00AB6C65">
            <w:pPr>
              <w:spacing w:after="0"/>
              <w:rPr>
                <w:rFonts w:eastAsiaTheme="minorEastAsia" w:cs="Arial"/>
                <w:lang w:val="en-US" w:eastAsia="zh-CN"/>
              </w:rPr>
            </w:pPr>
          </w:p>
        </w:tc>
        <w:tc>
          <w:tcPr>
            <w:tcW w:w="1893" w:type="dxa"/>
          </w:tcPr>
          <w:p w14:paraId="1B4E6220" w14:textId="77777777" w:rsidR="00DE5C58" w:rsidRDefault="00DE5C58" w:rsidP="00AB6C65">
            <w:pPr>
              <w:spacing w:after="0"/>
              <w:rPr>
                <w:rFonts w:eastAsiaTheme="minorEastAsia" w:cs="Arial"/>
                <w:lang w:val="en-US" w:eastAsia="zh-CN"/>
              </w:rPr>
            </w:pPr>
          </w:p>
        </w:tc>
        <w:tc>
          <w:tcPr>
            <w:tcW w:w="6510" w:type="dxa"/>
          </w:tcPr>
          <w:p w14:paraId="29173919" w14:textId="77777777" w:rsidR="00DE5C58" w:rsidRDefault="00DE5C58" w:rsidP="00AB6C65">
            <w:pPr>
              <w:spacing w:after="0"/>
              <w:rPr>
                <w:rFonts w:eastAsiaTheme="minorEastAsia" w:cs="Arial"/>
                <w:lang w:val="en-US" w:eastAsia="zh-CN"/>
              </w:rPr>
            </w:pP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7777777" w:rsidR="00F01585" w:rsidRDefault="00F01585" w:rsidP="00234323">
            <w:pPr>
              <w:spacing w:after="0"/>
              <w:rPr>
                <w:rFonts w:eastAsiaTheme="minorEastAsia" w:cs="Arial"/>
                <w:sz w:val="20"/>
                <w:szCs w:val="20"/>
                <w:lang w:val="en-US" w:eastAsia="zh-CN"/>
              </w:rPr>
            </w:pPr>
          </w:p>
        </w:tc>
        <w:tc>
          <w:tcPr>
            <w:tcW w:w="1893" w:type="dxa"/>
          </w:tcPr>
          <w:p w14:paraId="37392EA5" w14:textId="77777777" w:rsidR="00F01585" w:rsidRDefault="00F01585" w:rsidP="00234323">
            <w:pPr>
              <w:spacing w:after="0"/>
              <w:rPr>
                <w:rFonts w:eastAsiaTheme="minorEastAsia" w:cs="Arial"/>
                <w:sz w:val="20"/>
                <w:szCs w:val="20"/>
                <w:lang w:val="en-US" w:eastAsia="zh-CN"/>
              </w:rPr>
            </w:pPr>
          </w:p>
        </w:tc>
        <w:tc>
          <w:tcPr>
            <w:tcW w:w="6510" w:type="dxa"/>
          </w:tcPr>
          <w:p w14:paraId="27BF4E47" w14:textId="77777777" w:rsidR="00F01585" w:rsidRDefault="00F01585" w:rsidP="00234323">
            <w:pPr>
              <w:spacing w:after="0"/>
              <w:rPr>
                <w:rFonts w:eastAsiaTheme="minorEastAsia" w:cs="Arial"/>
                <w:sz w:val="20"/>
                <w:szCs w:val="20"/>
                <w:lang w:val="en-US" w:eastAsia="zh-CN"/>
              </w:rPr>
            </w:pPr>
          </w:p>
        </w:tc>
      </w:tr>
      <w:tr w:rsidR="00F01585" w14:paraId="77D03B6F" w14:textId="77777777" w:rsidTr="00234323">
        <w:tc>
          <w:tcPr>
            <w:tcW w:w="1231" w:type="dxa"/>
          </w:tcPr>
          <w:p w14:paraId="1136F459" w14:textId="77777777" w:rsidR="00F01585" w:rsidRDefault="00F01585" w:rsidP="00234323">
            <w:pPr>
              <w:spacing w:after="0"/>
              <w:rPr>
                <w:rFonts w:eastAsiaTheme="minorEastAsia" w:cs="Arial"/>
                <w:lang w:val="en-US" w:eastAsia="zh-CN"/>
              </w:rPr>
            </w:pPr>
          </w:p>
        </w:tc>
        <w:tc>
          <w:tcPr>
            <w:tcW w:w="1893" w:type="dxa"/>
          </w:tcPr>
          <w:p w14:paraId="0448B8C0" w14:textId="77777777" w:rsidR="00F01585" w:rsidRDefault="00F01585" w:rsidP="00234323">
            <w:pPr>
              <w:spacing w:after="0"/>
              <w:rPr>
                <w:rFonts w:eastAsiaTheme="minorEastAsia" w:cs="Arial"/>
                <w:lang w:val="en-US" w:eastAsia="zh-CN"/>
              </w:rPr>
            </w:pPr>
          </w:p>
        </w:tc>
        <w:tc>
          <w:tcPr>
            <w:tcW w:w="6510" w:type="dxa"/>
          </w:tcPr>
          <w:p w14:paraId="74E45CFD" w14:textId="77777777" w:rsidR="00F01585" w:rsidRDefault="00F01585"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lastRenderedPageBreak/>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2" w:name="_Ref102638573"/>
      <w:r w:rsidRPr="00F41ECA">
        <w:t>R2-2205508</w:t>
      </w:r>
      <w:r w:rsidRPr="00F41ECA">
        <w:tab/>
        <w:t>Multi-TB scheduling in UCE</w:t>
      </w:r>
      <w:r w:rsidRPr="00F41ECA">
        <w:tab/>
        <w:t>Ericsson</w:t>
      </w:r>
      <w:r w:rsidRPr="00F41ECA">
        <w:tab/>
        <w:t>discussion</w:t>
      </w:r>
      <w:bookmarkEnd w:id="2"/>
    </w:p>
    <w:p w14:paraId="5E630148" w14:textId="577D06D4" w:rsidR="00C9516E" w:rsidRPr="00F41ECA" w:rsidRDefault="00C9516E" w:rsidP="00052760">
      <w:pPr>
        <w:pStyle w:val="Reference"/>
        <w:numPr>
          <w:ilvl w:val="0"/>
          <w:numId w:val="29"/>
        </w:numPr>
        <w:textAlignment w:val="auto"/>
        <w:rPr>
          <w:lang w:val="en-US"/>
        </w:rPr>
      </w:pPr>
      <w:bookmarkStart w:id="3"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3"/>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5-10T17: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E3BF" w14:textId="77777777" w:rsidR="00012E92" w:rsidRDefault="00012E92">
      <w:pPr>
        <w:spacing w:line="240" w:lineRule="auto"/>
      </w:pPr>
      <w:r>
        <w:separator/>
      </w:r>
    </w:p>
  </w:endnote>
  <w:endnote w:type="continuationSeparator" w:id="0">
    <w:p w14:paraId="0735C887" w14:textId="77777777" w:rsidR="00012E92" w:rsidRDefault="00012E92">
      <w:pPr>
        <w:spacing w:line="240" w:lineRule="auto"/>
      </w:pPr>
      <w:r>
        <w:continuationSeparator/>
      </w:r>
    </w:p>
  </w:endnote>
  <w:endnote w:type="continuationNotice" w:id="1">
    <w:p w14:paraId="722FFCC0" w14:textId="77777777" w:rsidR="00012E92" w:rsidRDefault="00012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F067" w14:textId="77777777" w:rsidR="00012E92" w:rsidRDefault="00012E92">
      <w:pPr>
        <w:spacing w:after="0" w:line="240" w:lineRule="auto"/>
      </w:pPr>
      <w:r>
        <w:separator/>
      </w:r>
    </w:p>
  </w:footnote>
  <w:footnote w:type="continuationSeparator" w:id="0">
    <w:p w14:paraId="7D7E5AD0" w14:textId="77777777" w:rsidR="00012E92" w:rsidRDefault="00012E92">
      <w:pPr>
        <w:spacing w:after="0" w:line="240" w:lineRule="auto"/>
      </w:pPr>
      <w:r>
        <w:continuationSeparator/>
      </w:r>
    </w:p>
  </w:footnote>
  <w:footnote w:type="continuationNotice" w:id="1">
    <w:p w14:paraId="7BE3008A" w14:textId="77777777" w:rsidR="00012E92" w:rsidRDefault="00012E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4"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
  </w:num>
  <w:num w:numId="4">
    <w:abstractNumId w:val="12"/>
  </w:num>
  <w:num w:numId="5">
    <w:abstractNumId w:val="10"/>
  </w:num>
  <w:num w:numId="6">
    <w:abstractNumId w:val="26"/>
  </w:num>
  <w:num w:numId="7">
    <w:abstractNumId w:val="2"/>
  </w:num>
  <w:num w:numId="8">
    <w:abstractNumId w:val="35"/>
  </w:num>
  <w:num w:numId="9">
    <w:abstractNumId w:val="21"/>
  </w:num>
  <w:num w:numId="10">
    <w:abstractNumId w:val="19"/>
  </w:num>
  <w:num w:numId="11">
    <w:abstractNumId w:val="23"/>
  </w:num>
  <w:num w:numId="12">
    <w:abstractNumId w:val="25"/>
  </w:num>
  <w:num w:numId="13">
    <w:abstractNumId w:val="33"/>
  </w:num>
  <w:num w:numId="14">
    <w:abstractNumId w:val="13"/>
  </w:num>
  <w:num w:numId="15">
    <w:abstractNumId w:val="17"/>
  </w:num>
  <w:num w:numId="16">
    <w:abstractNumId w:val="37"/>
  </w:num>
  <w:num w:numId="17">
    <w:abstractNumId w:val="38"/>
  </w:num>
  <w:num w:numId="18">
    <w:abstractNumId w:val="14"/>
  </w:num>
  <w:num w:numId="19">
    <w:abstractNumId w:val="29"/>
  </w:num>
  <w:num w:numId="20">
    <w:abstractNumId w:val="22"/>
  </w:num>
  <w:num w:numId="21">
    <w:abstractNumId w:val="28"/>
  </w:num>
  <w:num w:numId="22">
    <w:abstractNumId w:val="16"/>
  </w:num>
  <w:num w:numId="23">
    <w:abstractNumId w:val="30"/>
  </w:num>
  <w:num w:numId="24">
    <w:abstractNumId w:val="4"/>
  </w:num>
  <w:num w:numId="25">
    <w:abstractNumId w:val="9"/>
  </w:num>
  <w:num w:numId="26">
    <w:abstractNumId w:val="8"/>
  </w:num>
  <w:num w:numId="27">
    <w:abstractNumId w:val="5"/>
  </w:num>
  <w:num w:numId="28">
    <w:abstractNumId w:val="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0"/>
  </w:num>
  <w:num w:numId="33">
    <w:abstractNumId w:val="11"/>
  </w:num>
  <w:num w:numId="34">
    <w:abstractNumId w:val="36"/>
  </w:num>
  <w:num w:numId="35">
    <w:abstractNumId w:val="6"/>
  </w:num>
  <w:num w:numId="36">
    <w:abstractNumId w:val="31"/>
  </w:num>
  <w:num w:numId="37">
    <w:abstractNumId w:val="34"/>
  </w:num>
  <w:num w:numId="38">
    <w:abstractNumId w:val="25"/>
  </w:num>
  <w:num w:numId="39">
    <w:abstractNumId w:val="39"/>
  </w:num>
  <w:num w:numId="40">
    <w:abstractNumId w:val="27"/>
  </w:num>
  <w:num w:numId="41">
    <w:abstractNumId w:val="18"/>
  </w:num>
  <w:num w:numId="42">
    <w:abstractNumId w:val="24"/>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638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CBA"/>
    <w:rsid w:val="001A6EC2"/>
    <w:rsid w:val="001A7483"/>
    <w:rsid w:val="001A74AD"/>
    <w:rsid w:val="001A784C"/>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820"/>
    <w:rsid w:val="00747B54"/>
    <w:rsid w:val="00747D8B"/>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093C"/>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styleId="UnresolvedMention">
    <w:name w:val="Unresolved Mention"/>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18-e\Docs\R2-220600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documentManagement/types"/>
    <ds:schemaRef ds:uri="http://purl.org/dc/elements/1.1/"/>
    <ds:schemaRef ds:uri="2f282d3b-eb4a-4b09-b61f-b9593442e286"/>
    <ds:schemaRef ds:uri="http://purl.org/dc/dcmitype/"/>
    <ds:schemaRef ds:uri="9b239327-9e80-40e4-b1b7-4394fed77a33"/>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909</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5716</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473</cp:revision>
  <cp:lastPrinted>2021-11-01T17:02:00Z</cp:lastPrinted>
  <dcterms:created xsi:type="dcterms:W3CDTF">2022-02-21T11:01:00Z</dcterms:created>
  <dcterms:modified xsi:type="dcterms:W3CDTF">2022-05-10T15:48:00Z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