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[AT117-e][</w:t>
      </w:r>
      <w:proofErr w:type="gramStart"/>
      <w:r>
        <w:rPr>
          <w:sz w:val="22"/>
          <w:szCs w:val="22"/>
        </w:rPr>
        <w:t>1</w:t>
      </w:r>
      <w:r>
        <w:rPr>
          <w:rFonts w:eastAsia="SimSun" w:hint="eastAsia"/>
          <w:sz w:val="22"/>
          <w:szCs w:val="22"/>
          <w:lang w:val="en-US"/>
        </w:rPr>
        <w:t>11</w:t>
      </w:r>
      <w:r>
        <w:rPr>
          <w:sz w:val="22"/>
          <w:szCs w:val="22"/>
        </w:rPr>
        <w:t>][</w:t>
      </w:r>
      <w:proofErr w:type="gramEnd"/>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w:t>
            </w:r>
            <w:r>
              <w:rPr>
                <w:rFonts w:cs="Arial"/>
                <w:bCs/>
                <w:sz w:val="18"/>
                <w:szCs w:val="18"/>
                <w:lang w:eastAsia="en-US"/>
              </w:rPr>
              <w:lastRenderedPageBreak/>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 xml:space="preserve">We are fine for the cases that </w:t>
            </w:r>
            <w:proofErr w:type="spellStart"/>
            <w:r>
              <w:rPr>
                <w:rFonts w:eastAsia="SimSun" w:cs="Arial"/>
                <w:bCs/>
                <w:lang w:val="en-US"/>
              </w:rPr>
              <w:t>cellBarredNTN</w:t>
            </w:r>
            <w:proofErr w:type="spellEnd"/>
            <w:r>
              <w:rPr>
                <w:rFonts w:eastAsia="SimSun" w:cs="Arial"/>
                <w:bCs/>
                <w:lang w:val="en-US"/>
              </w:rPr>
              <w:t xml:space="preserve">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w:t>
            </w:r>
            <w:proofErr w:type="spellStart"/>
            <w:r>
              <w:rPr>
                <w:rFonts w:eastAsia="SimSun" w:cs="Arial"/>
                <w:bCs/>
                <w:lang w:val="en-US"/>
              </w:rPr>
              <w:t>cellBarredNTN</w:t>
            </w:r>
            <w:proofErr w:type="spellEnd"/>
            <w:r>
              <w:rPr>
                <w:rFonts w:eastAsia="SimSun" w:cs="Arial"/>
                <w:bCs/>
                <w:lang w:val="en-US"/>
              </w:rPr>
              <w:t xml:space="preserve"> is not present, UE supporting NTN should follow the legacy </w:t>
            </w:r>
            <w:proofErr w:type="spellStart"/>
            <w:r>
              <w:rPr>
                <w:rFonts w:eastAsia="SimSun" w:cs="Arial"/>
                <w:bCs/>
                <w:lang w:val="en-US"/>
              </w:rPr>
              <w:t>cellBarred</w:t>
            </w:r>
            <w:proofErr w:type="spellEnd"/>
            <w:r>
              <w:rPr>
                <w:rFonts w:eastAsia="SimSun" w:cs="Arial"/>
                <w:bCs/>
                <w:lang w:val="en-US"/>
              </w:rPr>
              <w:t xml:space="preserve">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follows the legacy </w:t>
            </w:r>
            <w:proofErr w:type="spellStart"/>
            <w:r>
              <w:rPr>
                <w:rFonts w:eastAsia="SimSun" w:cs="Arial"/>
                <w:b/>
                <w:bCs/>
                <w:lang w:val="en-US"/>
              </w:rPr>
              <w:t>cellBarred</w:t>
            </w:r>
            <w:proofErr w:type="spellEnd"/>
            <w:r>
              <w:rPr>
                <w:rFonts w:eastAsia="SimSun" w:cs="Arial"/>
                <w:b/>
                <w:bCs/>
                <w:lang w:val="en-US"/>
              </w:rPr>
              <w:t xml:space="preserve"> for TN access if </w:t>
            </w:r>
            <w:proofErr w:type="spellStart"/>
            <w:r>
              <w:rPr>
                <w:rFonts w:eastAsia="SimSun" w:cs="Arial"/>
                <w:b/>
                <w:bCs/>
                <w:lang w:val="en-US"/>
              </w:rPr>
              <w:t>cellBarredNTN</w:t>
            </w:r>
            <w:proofErr w:type="spellEnd"/>
            <w:r>
              <w:rPr>
                <w:rFonts w:eastAsia="SimSun" w:cs="Arial"/>
                <w:b/>
                <w:bCs/>
                <w:lang w:val="en-US"/>
              </w:rPr>
              <w:t xml:space="preserve">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w:t>
            </w:r>
            <w:proofErr w:type="gramStart"/>
            <w:r>
              <w:rPr>
                <w:rFonts w:eastAsiaTheme="minorEastAsia"/>
                <w:lang w:val="en-US"/>
              </w:rPr>
              <w:t>case,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about  </w:t>
            </w:r>
            <w:r w:rsidRPr="000E0187">
              <w:rPr>
                <w:rFonts w:eastAsiaTheme="minorEastAsia"/>
                <w:b/>
                <w:bCs/>
              </w:rPr>
              <w:t>NTN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both 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684F0E">
            <w:pPr>
              <w:rPr>
                <w:rFonts w:eastAsiaTheme="minorEastAsia"/>
              </w:rPr>
            </w:pPr>
            <w:r>
              <w:rPr>
                <w:rFonts w:eastAsiaTheme="minorEastAsia"/>
              </w:rPr>
              <w:t>Ag</w:t>
            </w:r>
            <w:r>
              <w:rPr>
                <w:rFonts w:eastAsiaTheme="minorEastAsia" w:hint="eastAsia"/>
              </w:rPr>
              <w:t xml:space="preserve">ree with the others on the case of if the </w:t>
            </w:r>
            <w:proofErr w:type="spellStart"/>
            <w:r w:rsidRPr="00E90963">
              <w:rPr>
                <w:rFonts w:eastAsiaTheme="minorEastAsia"/>
              </w:rPr>
              <w:t>cellBarredNTN</w:t>
            </w:r>
            <w:proofErr w:type="spellEnd"/>
            <w:r w:rsidRPr="00E90963">
              <w:rPr>
                <w:rFonts w:eastAsiaTheme="minorEastAsia"/>
              </w:rPr>
              <w:t xml:space="preserve"> is not present</w:t>
            </w:r>
            <w:r>
              <w:rPr>
                <w:rFonts w:eastAsiaTheme="minorEastAsia" w:hint="eastAsia"/>
              </w:rPr>
              <w:t>.</w:t>
            </w:r>
          </w:p>
          <w:p w14:paraId="77E53D26" w14:textId="77777777" w:rsidR="00CD40B7" w:rsidRDefault="00CD40B7" w:rsidP="00684F0E">
            <w:pPr>
              <w:rPr>
                <w:rFonts w:eastAsiaTheme="minor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7A769F76"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 xml:space="preserve">the way based on </w:t>
            </w:r>
            <w:proofErr w:type="spellStart"/>
            <w:r w:rsidRPr="001801E6">
              <w:rPr>
                <w:rFonts w:eastAsiaTheme="minorEastAsia"/>
              </w:rPr>
              <w:t>freqBandIndicatorNR</w:t>
            </w:r>
            <w:proofErr w:type="spellEnd"/>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 xml:space="preserve">(if it is </w:t>
            </w:r>
            <w:proofErr w:type="spellStart"/>
            <w:r w:rsidRPr="001801E6">
              <w:rPr>
                <w:rFonts w:eastAsiaTheme="minorEastAsia"/>
              </w:rPr>
              <w:t>guranteed</w:t>
            </w:r>
            <w:proofErr w:type="spellEnd"/>
            <w:r w:rsidRPr="001801E6">
              <w:rPr>
                <w:rFonts w:eastAsiaTheme="minorEastAsia"/>
              </w:rPr>
              <w:t xml:space="preserve">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3E7231D7" w:rsidR="007A2ACC" w:rsidRDefault="002234D5" w:rsidP="007A2ACC">
            <w:pPr>
              <w:rPr>
                <w:rFonts w:eastAsiaTheme="minorEastAsia"/>
                <w:lang w:val="en-US" w:eastAsia="sv-SE"/>
              </w:rPr>
            </w:pPr>
            <w:r>
              <w:rPr>
                <w:rFonts w:eastAsiaTheme="minorEastAsia"/>
                <w:lang w:val="en-US" w:eastAsia="sv-SE"/>
              </w:rPr>
              <w:lastRenderedPageBreak/>
              <w:t>Apple</w:t>
            </w:r>
          </w:p>
        </w:tc>
        <w:tc>
          <w:tcPr>
            <w:tcW w:w="1316" w:type="dxa"/>
          </w:tcPr>
          <w:p w14:paraId="0F1E5ECD" w14:textId="0F6D4148" w:rsidR="007A2ACC" w:rsidRDefault="002234D5" w:rsidP="007A2ACC">
            <w:pPr>
              <w:rPr>
                <w:rFonts w:eastAsiaTheme="minorEastAsia"/>
                <w:lang w:val="en-US" w:eastAsia="sv-SE"/>
              </w:rPr>
            </w:pPr>
            <w:r>
              <w:rPr>
                <w:rFonts w:eastAsiaTheme="minorEastAsia"/>
                <w:lang w:val="en-US" w:eastAsia="sv-SE"/>
              </w:rPr>
              <w:t>No</w:t>
            </w:r>
          </w:p>
        </w:tc>
        <w:tc>
          <w:tcPr>
            <w:tcW w:w="7080" w:type="dxa"/>
          </w:tcPr>
          <w:p w14:paraId="1B279A31" w14:textId="29746526" w:rsidR="007A2ACC" w:rsidRDefault="002234D5" w:rsidP="007A2ACC">
            <w:pPr>
              <w:rPr>
                <w:rFonts w:eastAsiaTheme="minorEastAsia"/>
                <w:lang w:val="en-US"/>
              </w:rPr>
            </w:pPr>
            <w:r>
              <w:rPr>
                <w:rFonts w:eastAsiaTheme="minorEastAsia"/>
                <w:lang w:val="en-US"/>
              </w:rPr>
              <w:t xml:space="preserve">We also prefer to use </w:t>
            </w:r>
            <w:proofErr w:type="spellStart"/>
            <w:r>
              <w:rPr>
                <w:rFonts w:eastAsiaTheme="minorEastAsia"/>
                <w:lang w:val="en-US"/>
              </w:rPr>
              <w:t>freqBandIndicator</w:t>
            </w:r>
            <w:proofErr w:type="spellEnd"/>
            <w:r>
              <w:rPr>
                <w:rFonts w:eastAsiaTheme="minorEastAsia"/>
                <w:lang w:val="en-US"/>
              </w:rPr>
              <w:t xml:space="preserve"> to bar TN cells from accessing NTN cells. For barring NTN access in NTN </w:t>
            </w:r>
            <w:proofErr w:type="gramStart"/>
            <w:r>
              <w:rPr>
                <w:rFonts w:eastAsiaTheme="minorEastAsia"/>
                <w:lang w:val="en-US"/>
              </w:rPr>
              <w:t xml:space="preserve">cells,  </w:t>
            </w:r>
            <w:r w:rsidR="001D6DFE">
              <w:rPr>
                <w:rFonts w:eastAsiaTheme="minorEastAsia"/>
                <w:lang w:val="en-US"/>
              </w:rPr>
              <w:t>legacy</w:t>
            </w:r>
            <w:proofErr w:type="gramEnd"/>
            <w:r w:rsidR="001D6DFE">
              <w:rPr>
                <w:rFonts w:eastAsiaTheme="minorEastAsia"/>
                <w:lang w:val="en-US"/>
              </w:rPr>
              <w:t xml:space="preserve"> </w:t>
            </w:r>
            <w:proofErr w:type="spellStart"/>
            <w:r w:rsidR="001D6DFE">
              <w:rPr>
                <w:rFonts w:eastAsiaTheme="minorEastAsia"/>
                <w:lang w:val="en-US"/>
              </w:rPr>
              <w:t>cellBarred</w:t>
            </w:r>
            <w:proofErr w:type="spellEnd"/>
            <w:r w:rsidR="001D6DFE">
              <w:rPr>
                <w:rFonts w:eastAsiaTheme="minorEastAsia"/>
                <w:lang w:val="en-US"/>
              </w:rPr>
              <w:t xml:space="preserve"> – based mechanism can be used. We also have the understanding that RAN4 agreements imply that NTN and TN band numbers will be different even if the bands actually overlap.</w:t>
            </w:r>
          </w:p>
        </w:tc>
      </w:tr>
      <w:tr w:rsidR="007A2ACC" w14:paraId="124746AE" w14:textId="77777777">
        <w:tc>
          <w:tcPr>
            <w:tcW w:w="1317" w:type="dxa"/>
          </w:tcPr>
          <w:p w14:paraId="64350BA3" w14:textId="77777777" w:rsidR="007A2ACC" w:rsidRDefault="007A2ACC" w:rsidP="007A2ACC">
            <w:pPr>
              <w:rPr>
                <w:lang w:eastAsia="sv-SE"/>
              </w:rPr>
            </w:pPr>
          </w:p>
        </w:tc>
        <w:tc>
          <w:tcPr>
            <w:tcW w:w="1316" w:type="dxa"/>
          </w:tcPr>
          <w:p w14:paraId="620C63A6" w14:textId="77777777" w:rsidR="007A2ACC" w:rsidRDefault="007A2ACC" w:rsidP="007A2ACC">
            <w:pPr>
              <w:rPr>
                <w:lang w:eastAsia="sv-SE"/>
              </w:rPr>
            </w:pPr>
          </w:p>
        </w:tc>
        <w:tc>
          <w:tcPr>
            <w:tcW w:w="7080" w:type="dxa"/>
          </w:tcPr>
          <w:p w14:paraId="1057C5AD" w14:textId="77777777" w:rsidR="007A2ACC" w:rsidRDefault="007A2ACC" w:rsidP="007A2ACC">
            <w:pPr>
              <w:rPr>
                <w:lang w:eastAsia="sv-SE"/>
              </w:rPr>
            </w:pPr>
          </w:p>
        </w:tc>
      </w:tr>
      <w:tr w:rsidR="007A2ACC" w14:paraId="2E3BBCB3" w14:textId="77777777">
        <w:tc>
          <w:tcPr>
            <w:tcW w:w="1317" w:type="dxa"/>
          </w:tcPr>
          <w:p w14:paraId="536F49F7" w14:textId="77777777" w:rsidR="007A2ACC" w:rsidRDefault="007A2ACC" w:rsidP="007A2ACC">
            <w:pPr>
              <w:rPr>
                <w:rFonts w:eastAsia="DengXian"/>
              </w:rPr>
            </w:pPr>
          </w:p>
        </w:tc>
        <w:tc>
          <w:tcPr>
            <w:tcW w:w="1316" w:type="dxa"/>
          </w:tcPr>
          <w:p w14:paraId="6F7570E1" w14:textId="77777777" w:rsidR="007A2ACC" w:rsidRDefault="007A2ACC" w:rsidP="007A2ACC">
            <w:pPr>
              <w:rPr>
                <w:rFonts w:eastAsia="DengXian"/>
              </w:rPr>
            </w:pPr>
          </w:p>
        </w:tc>
        <w:tc>
          <w:tcPr>
            <w:tcW w:w="7080" w:type="dxa"/>
          </w:tcPr>
          <w:p w14:paraId="07785403" w14:textId="77777777" w:rsidR="007A2ACC" w:rsidRDefault="007A2ACC" w:rsidP="007A2ACC">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684F0E">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684F0E">
            <w:pPr>
              <w:rPr>
                <w:rFonts w:eastAsiaTheme="minor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684F0E">
            <w:pPr>
              <w:rPr>
                <w:rFonts w:eastAsiaTheme="minorEastAsia"/>
              </w:rPr>
            </w:pPr>
            <w:r>
              <w:rPr>
                <w:rFonts w:eastAsiaTheme="minorEastAsia"/>
              </w:rPr>
              <w:t>A</w:t>
            </w:r>
            <w:r>
              <w:rPr>
                <w:rFonts w:eastAsiaTheme="minorEastAsia" w:hint="eastAsia"/>
              </w:rPr>
              <w:t xml:space="preserve">nd for the detail solution, we still think, the </w:t>
            </w:r>
            <w:proofErr w:type="spellStart"/>
            <w:r w:rsidRPr="00A75053">
              <w:rPr>
                <w:rFonts w:eastAsiaTheme="minorEastAsia"/>
              </w:rPr>
              <w:t>freqBandIndicatorNR</w:t>
            </w:r>
            <w:proofErr w:type="spellEnd"/>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IoT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1984CFC9" w:rsidR="007A2ACC" w:rsidRDefault="001D6DFE" w:rsidP="007A2ACC">
            <w:pPr>
              <w:rPr>
                <w:rFonts w:eastAsiaTheme="minorEastAsia"/>
                <w:lang w:val="en-US" w:eastAsia="sv-SE"/>
              </w:rPr>
            </w:pPr>
            <w:r>
              <w:rPr>
                <w:rFonts w:eastAsiaTheme="minorEastAsia"/>
                <w:lang w:val="en-US" w:eastAsia="sv-SE"/>
              </w:rPr>
              <w:t>Apple</w:t>
            </w:r>
          </w:p>
        </w:tc>
        <w:tc>
          <w:tcPr>
            <w:tcW w:w="1316" w:type="dxa"/>
          </w:tcPr>
          <w:p w14:paraId="4136C346" w14:textId="6957C0E0" w:rsidR="007A2ACC" w:rsidRDefault="001D6DFE" w:rsidP="007A2ACC">
            <w:pPr>
              <w:rPr>
                <w:rFonts w:eastAsiaTheme="minorEastAsia"/>
                <w:lang w:val="en-US" w:eastAsia="sv-SE"/>
              </w:rPr>
            </w:pPr>
            <w:r>
              <w:rPr>
                <w:rFonts w:eastAsiaTheme="minorEastAsia"/>
                <w:lang w:val="en-US" w:eastAsia="sv-SE"/>
              </w:rPr>
              <w:t>Maybe</w:t>
            </w:r>
          </w:p>
        </w:tc>
        <w:tc>
          <w:tcPr>
            <w:tcW w:w="1308" w:type="dxa"/>
          </w:tcPr>
          <w:p w14:paraId="6CEE36F5" w14:textId="7FF46CED" w:rsidR="007A2ACC" w:rsidRDefault="001D6DFE" w:rsidP="007A2ACC">
            <w:pPr>
              <w:rPr>
                <w:rFonts w:eastAsiaTheme="minorEastAsia"/>
                <w:lang w:val="en-US"/>
              </w:rPr>
            </w:pPr>
            <w:r>
              <w:rPr>
                <w:rFonts w:eastAsiaTheme="minorEastAsia"/>
                <w:lang w:val="en-US"/>
              </w:rPr>
              <w:t>SIB1</w:t>
            </w:r>
          </w:p>
        </w:tc>
        <w:tc>
          <w:tcPr>
            <w:tcW w:w="5772" w:type="dxa"/>
          </w:tcPr>
          <w:p w14:paraId="09BF4FBD" w14:textId="18B3AACE" w:rsidR="007A2ACC" w:rsidRDefault="001D6DFE" w:rsidP="007A2ACC">
            <w:pPr>
              <w:rPr>
                <w:rFonts w:eastAsiaTheme="minorEastAsia"/>
                <w:lang w:val="en-US"/>
              </w:rPr>
            </w:pPr>
            <w:r>
              <w:rPr>
                <w:rFonts w:eastAsiaTheme="minorEastAsia"/>
                <w:lang w:val="en-US"/>
              </w:rPr>
              <w:t xml:space="preserve">If RAN2 does not agree to use </w:t>
            </w:r>
            <w:proofErr w:type="spellStart"/>
            <w:r>
              <w:rPr>
                <w:rFonts w:eastAsiaTheme="minorEastAsia"/>
                <w:lang w:val="en-US"/>
              </w:rPr>
              <w:t>freqBandIndicatorNR</w:t>
            </w:r>
            <w:proofErr w:type="spellEnd"/>
            <w:r>
              <w:rPr>
                <w:rFonts w:eastAsiaTheme="minorEastAsia"/>
                <w:lang w:val="en-US"/>
              </w:rPr>
              <w:t xml:space="preserve">, then we need this bit. But we also share CATT’s view that this is unnecessary. </w:t>
            </w:r>
          </w:p>
        </w:tc>
      </w:tr>
      <w:tr w:rsidR="007A2ACC" w14:paraId="0D28250A" w14:textId="77777777">
        <w:tc>
          <w:tcPr>
            <w:tcW w:w="1317" w:type="dxa"/>
          </w:tcPr>
          <w:p w14:paraId="68732235" w14:textId="6337A9BE" w:rsidR="007A2ACC" w:rsidRDefault="007A2ACC" w:rsidP="007A2ACC">
            <w:pPr>
              <w:rPr>
                <w:lang w:eastAsia="sv-SE"/>
              </w:rPr>
            </w:pPr>
          </w:p>
        </w:tc>
        <w:tc>
          <w:tcPr>
            <w:tcW w:w="1316" w:type="dxa"/>
          </w:tcPr>
          <w:p w14:paraId="23F4429E" w14:textId="77777777" w:rsidR="007A2ACC" w:rsidRDefault="007A2ACC" w:rsidP="007A2ACC">
            <w:pPr>
              <w:rPr>
                <w:lang w:eastAsia="sv-SE"/>
              </w:rPr>
            </w:pPr>
          </w:p>
        </w:tc>
        <w:tc>
          <w:tcPr>
            <w:tcW w:w="1308" w:type="dxa"/>
          </w:tcPr>
          <w:p w14:paraId="6CAC686F" w14:textId="77777777" w:rsidR="007A2ACC" w:rsidRDefault="007A2ACC" w:rsidP="007A2ACC">
            <w:pPr>
              <w:rPr>
                <w:lang w:eastAsia="sv-SE"/>
              </w:rPr>
            </w:pPr>
          </w:p>
        </w:tc>
        <w:tc>
          <w:tcPr>
            <w:tcW w:w="5772" w:type="dxa"/>
          </w:tcPr>
          <w:p w14:paraId="2D2F5DA4" w14:textId="77777777" w:rsidR="007A2ACC" w:rsidRDefault="007A2ACC" w:rsidP="007A2ACC">
            <w:pPr>
              <w:rPr>
                <w:lang w:eastAsia="sv-SE"/>
              </w:rPr>
            </w:pPr>
          </w:p>
        </w:tc>
      </w:tr>
      <w:tr w:rsidR="007A2ACC" w14:paraId="1E9A47C5" w14:textId="77777777">
        <w:tc>
          <w:tcPr>
            <w:tcW w:w="1317" w:type="dxa"/>
          </w:tcPr>
          <w:p w14:paraId="5821968C" w14:textId="77777777" w:rsidR="007A2ACC" w:rsidRDefault="007A2ACC" w:rsidP="007A2ACC">
            <w:pPr>
              <w:rPr>
                <w:rFonts w:eastAsia="DengXian"/>
              </w:rPr>
            </w:pPr>
          </w:p>
        </w:tc>
        <w:tc>
          <w:tcPr>
            <w:tcW w:w="1316" w:type="dxa"/>
          </w:tcPr>
          <w:p w14:paraId="1B994F41" w14:textId="77777777" w:rsidR="007A2ACC" w:rsidRDefault="007A2ACC" w:rsidP="007A2ACC">
            <w:pPr>
              <w:rPr>
                <w:rFonts w:eastAsia="DengXian"/>
              </w:rPr>
            </w:pPr>
          </w:p>
        </w:tc>
        <w:tc>
          <w:tcPr>
            <w:tcW w:w="1308" w:type="dxa"/>
          </w:tcPr>
          <w:p w14:paraId="638234A5" w14:textId="77777777" w:rsidR="007A2ACC" w:rsidRDefault="007A2ACC" w:rsidP="007A2ACC">
            <w:pPr>
              <w:rPr>
                <w:rFonts w:eastAsia="DengXian"/>
              </w:rPr>
            </w:pPr>
          </w:p>
        </w:tc>
        <w:tc>
          <w:tcPr>
            <w:tcW w:w="5772" w:type="dxa"/>
          </w:tcPr>
          <w:p w14:paraId="152A9B73" w14:textId="77777777" w:rsidR="007A2ACC" w:rsidRDefault="007A2ACC" w:rsidP="007A2ACC">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lastRenderedPageBreak/>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F917CB">
      <w:pPr>
        <w:pStyle w:val="Comments"/>
        <w:jc w:val="center"/>
      </w:pPr>
      <w:r>
        <w:rPr>
          <w:noProof/>
        </w:rP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3pt;height:263.9pt;mso-width-percent:0;mso-height-percent:0;mso-width-percent:0;mso-height-percent:0" o:ole="">
            <v:imagedata r:id="rId11" o:title=""/>
          </v:shape>
          <o:OLEObject Type="Embed" ProgID="Visio.Drawing.15" ShapeID="_x0000_i1025" DrawAspect="Content" ObjectID="_1713871834"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w:t>
            </w:r>
            <w:r>
              <w:rPr>
                <w:rFonts w:eastAsia="Malgun Gothic"/>
                <w:lang w:eastAsia="ko-KR"/>
              </w:rPr>
              <w:lastRenderedPageBreak/>
              <w:t xml:space="preserve">for 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lastRenderedPageBreak/>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lastRenderedPageBreak/>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SimSun"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684F0E">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w:t>
            </w:r>
            <w:proofErr w:type="spellStart"/>
            <w:r w:rsidRPr="00CE358D">
              <w:rPr>
                <w:rFonts w:eastAsiaTheme="minorEastAsia"/>
              </w:rPr>
              <w:t>neighbor</w:t>
            </w:r>
            <w:proofErr w:type="spellEnd"/>
            <w:r w:rsidRPr="00CE358D">
              <w:rPr>
                <w:rFonts w:eastAsiaTheme="minorEastAsia"/>
              </w:rPr>
              <w:t xml:space="preserve"> cell might avoid UE from selecting GEO or MEO, which may provide longer serving time for UE. To solve this problem, the network may needs to broadcast the neighbour cells radius additionally, and set more complex cell reselection criteria. </w:t>
            </w:r>
          </w:p>
          <w:p w14:paraId="558D868E" w14:textId="77777777" w:rsidR="00FE189F" w:rsidRDefault="00FE189F" w:rsidP="00684F0E">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quality but not the distance to cell reference location. </w:t>
            </w:r>
          </w:p>
          <w:p w14:paraId="316FC709" w14:textId="77777777" w:rsidR="00FE189F" w:rsidRDefault="00FE189F" w:rsidP="00684F0E">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tr w:rsidR="007A2ACC" w14:paraId="79A9C73C" w14:textId="77777777">
        <w:tc>
          <w:tcPr>
            <w:tcW w:w="1317" w:type="dxa"/>
          </w:tcPr>
          <w:p w14:paraId="51E70949" w14:textId="01CFF2CA" w:rsidR="007A2ACC" w:rsidRDefault="003A669F" w:rsidP="007A2ACC">
            <w:pPr>
              <w:rPr>
                <w:rFonts w:eastAsiaTheme="minorEastAsia"/>
                <w:lang w:val="en-US" w:eastAsia="sv-SE"/>
              </w:rPr>
            </w:pPr>
            <w:r>
              <w:rPr>
                <w:rFonts w:eastAsiaTheme="minorEastAsia"/>
                <w:lang w:val="en-US" w:eastAsia="sv-SE"/>
              </w:rPr>
              <w:t>Apple</w:t>
            </w:r>
          </w:p>
        </w:tc>
        <w:tc>
          <w:tcPr>
            <w:tcW w:w="1316" w:type="dxa"/>
          </w:tcPr>
          <w:p w14:paraId="275C20AB" w14:textId="1C8C75F9" w:rsidR="007A2ACC" w:rsidRDefault="00D81287" w:rsidP="007A2ACC">
            <w:pPr>
              <w:rPr>
                <w:rFonts w:eastAsiaTheme="minorEastAsia"/>
                <w:lang w:val="en-US" w:eastAsia="sv-SE"/>
              </w:rPr>
            </w:pPr>
            <w:r>
              <w:rPr>
                <w:rFonts w:eastAsiaTheme="minorEastAsia"/>
                <w:lang w:val="en-US" w:eastAsia="sv-SE"/>
              </w:rPr>
              <w:t xml:space="preserve">None </w:t>
            </w:r>
          </w:p>
        </w:tc>
        <w:tc>
          <w:tcPr>
            <w:tcW w:w="1443" w:type="dxa"/>
          </w:tcPr>
          <w:p w14:paraId="145E1039" w14:textId="0DA48871" w:rsidR="007A2ACC" w:rsidRDefault="00D81287" w:rsidP="007A2ACC">
            <w:pPr>
              <w:rPr>
                <w:rFonts w:eastAsiaTheme="minorEastAsia"/>
                <w:lang w:val="en-US"/>
              </w:rPr>
            </w:pPr>
            <w:r>
              <w:rPr>
                <w:rFonts w:eastAsiaTheme="minorEastAsia"/>
                <w:lang w:val="en-US"/>
              </w:rPr>
              <w:t>Neither</w:t>
            </w:r>
          </w:p>
        </w:tc>
        <w:tc>
          <w:tcPr>
            <w:tcW w:w="5637" w:type="dxa"/>
          </w:tcPr>
          <w:p w14:paraId="77A114D9" w14:textId="46DF9F2F" w:rsidR="007A2ACC" w:rsidRDefault="00D81287" w:rsidP="007A2ACC">
            <w:pPr>
              <w:rPr>
                <w:rFonts w:eastAsiaTheme="minorEastAsia"/>
                <w:lang w:val="en-US"/>
              </w:rPr>
            </w:pPr>
            <w:r>
              <w:rPr>
                <w:rFonts w:eastAsiaTheme="minorEastAsia"/>
                <w:lang w:val="en-US"/>
              </w:rPr>
              <w:t xml:space="preserve">We also believe that the discussion so far has remained </w:t>
            </w:r>
            <w:proofErr w:type="gramStart"/>
            <w:r>
              <w:rPr>
                <w:rFonts w:eastAsiaTheme="minorEastAsia"/>
                <w:lang w:val="en-US"/>
              </w:rPr>
              <w:t>inconclusive</w:t>
            </w:r>
            <w:proofErr w:type="gramEnd"/>
            <w:r>
              <w:rPr>
                <w:rFonts w:eastAsiaTheme="minorEastAsia"/>
                <w:lang w:val="en-US"/>
              </w:rPr>
              <w:t xml:space="preserve"> and we don’t think it is easy to converge. The points raised by Vivo and CATT seem reasonable to us. We think this topic can be discussed further in R18.</w:t>
            </w:r>
          </w:p>
        </w:tc>
      </w:tr>
      <w:tr w:rsidR="007A2ACC" w14:paraId="5E5BCC4D" w14:textId="77777777">
        <w:tc>
          <w:tcPr>
            <w:tcW w:w="1317" w:type="dxa"/>
          </w:tcPr>
          <w:p w14:paraId="014D3320" w14:textId="77777777" w:rsidR="007A2ACC" w:rsidRDefault="007A2ACC" w:rsidP="007A2ACC">
            <w:pPr>
              <w:rPr>
                <w:lang w:eastAsia="sv-SE"/>
              </w:rPr>
            </w:pPr>
          </w:p>
        </w:tc>
        <w:tc>
          <w:tcPr>
            <w:tcW w:w="1316" w:type="dxa"/>
          </w:tcPr>
          <w:p w14:paraId="09AEFC83" w14:textId="77777777" w:rsidR="007A2ACC" w:rsidRDefault="007A2ACC" w:rsidP="007A2ACC">
            <w:pPr>
              <w:rPr>
                <w:lang w:eastAsia="sv-SE"/>
              </w:rPr>
            </w:pPr>
          </w:p>
        </w:tc>
        <w:tc>
          <w:tcPr>
            <w:tcW w:w="1443" w:type="dxa"/>
          </w:tcPr>
          <w:p w14:paraId="1919F5AD" w14:textId="77777777" w:rsidR="007A2ACC" w:rsidRDefault="007A2ACC" w:rsidP="007A2ACC">
            <w:pPr>
              <w:rPr>
                <w:lang w:eastAsia="sv-SE"/>
              </w:rPr>
            </w:pPr>
          </w:p>
        </w:tc>
        <w:tc>
          <w:tcPr>
            <w:tcW w:w="5637" w:type="dxa"/>
          </w:tcPr>
          <w:p w14:paraId="13F2A2CA" w14:textId="77777777" w:rsidR="007A2ACC" w:rsidRDefault="007A2ACC" w:rsidP="007A2ACC">
            <w:pPr>
              <w:rPr>
                <w:lang w:eastAsia="sv-SE"/>
              </w:rPr>
            </w:pPr>
          </w:p>
        </w:tc>
      </w:tr>
      <w:tr w:rsidR="007A2ACC" w14:paraId="5AE47CC3" w14:textId="77777777">
        <w:tc>
          <w:tcPr>
            <w:tcW w:w="1317" w:type="dxa"/>
          </w:tcPr>
          <w:p w14:paraId="02B98EEA" w14:textId="77777777" w:rsidR="007A2ACC" w:rsidRDefault="007A2ACC" w:rsidP="007A2ACC">
            <w:pPr>
              <w:rPr>
                <w:rFonts w:eastAsia="DengXian"/>
              </w:rPr>
            </w:pPr>
          </w:p>
        </w:tc>
        <w:tc>
          <w:tcPr>
            <w:tcW w:w="1316" w:type="dxa"/>
          </w:tcPr>
          <w:p w14:paraId="23AC5637" w14:textId="77777777" w:rsidR="007A2ACC" w:rsidRDefault="007A2ACC" w:rsidP="007A2ACC">
            <w:pPr>
              <w:rPr>
                <w:rFonts w:eastAsia="DengXian"/>
              </w:rPr>
            </w:pPr>
          </w:p>
        </w:tc>
        <w:tc>
          <w:tcPr>
            <w:tcW w:w="1443" w:type="dxa"/>
          </w:tcPr>
          <w:p w14:paraId="25744018" w14:textId="77777777" w:rsidR="007A2ACC" w:rsidRDefault="007A2ACC" w:rsidP="007A2ACC">
            <w:pPr>
              <w:rPr>
                <w:rFonts w:eastAsia="DengXian"/>
              </w:rPr>
            </w:pPr>
          </w:p>
        </w:tc>
        <w:tc>
          <w:tcPr>
            <w:tcW w:w="5637" w:type="dxa"/>
          </w:tcPr>
          <w:p w14:paraId="77CBA777" w14:textId="77777777" w:rsidR="007A2ACC" w:rsidRDefault="007A2ACC" w:rsidP="007A2ACC">
            <w:pPr>
              <w:rPr>
                <w:rFonts w:eastAsia="DengXian"/>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lastRenderedPageBreak/>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1528" w14:textId="77777777" w:rsidR="00F917CB" w:rsidRDefault="00F917CB">
      <w:r>
        <w:separator/>
      </w:r>
    </w:p>
  </w:endnote>
  <w:endnote w:type="continuationSeparator" w:id="0">
    <w:p w14:paraId="116DD178" w14:textId="77777777" w:rsidR="00F917CB" w:rsidRDefault="00F9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27C" w14:textId="77777777"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189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189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1776" w14:textId="77777777" w:rsidR="00F917CB" w:rsidRDefault="00F917CB">
      <w:pPr>
        <w:spacing w:after="0"/>
      </w:pPr>
      <w:r>
        <w:separator/>
      </w:r>
    </w:p>
  </w:footnote>
  <w:footnote w:type="continuationSeparator" w:id="0">
    <w:p w14:paraId="573224E5" w14:textId="77777777" w:rsidR="00F917CB" w:rsidRDefault="00F917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54826732">
    <w:abstractNumId w:val="4"/>
  </w:num>
  <w:num w:numId="2" w16cid:durableId="908225861">
    <w:abstractNumId w:val="8"/>
  </w:num>
  <w:num w:numId="3" w16cid:durableId="686490560">
    <w:abstractNumId w:val="10"/>
  </w:num>
  <w:num w:numId="4" w16cid:durableId="698313959">
    <w:abstractNumId w:val="9"/>
  </w:num>
  <w:num w:numId="5" w16cid:durableId="992442495">
    <w:abstractNumId w:val="3"/>
  </w:num>
  <w:num w:numId="6" w16cid:durableId="326714212">
    <w:abstractNumId w:val="5"/>
  </w:num>
  <w:num w:numId="7" w16cid:durableId="439495894">
    <w:abstractNumId w:val="1"/>
  </w:num>
  <w:num w:numId="8" w16cid:durableId="612708051">
    <w:abstractNumId w:val="0"/>
  </w:num>
  <w:num w:numId="9" w16cid:durableId="1383821754">
    <w:abstractNumId w:val="6"/>
  </w:num>
  <w:num w:numId="10" w16cid:durableId="1210415204">
    <w:abstractNumId w:val="7"/>
  </w:num>
  <w:num w:numId="11" w16cid:durableId="1329478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6DFE"/>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4D5"/>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669F"/>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3D3"/>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287"/>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7CB"/>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773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 Pavan Nuggehalli</cp:lastModifiedBy>
  <cp:revision>2</cp:revision>
  <dcterms:created xsi:type="dcterms:W3CDTF">2022-05-12T21:44:00Z</dcterms:created>
  <dcterms:modified xsi:type="dcterms:W3CDTF">2022-05-12T21:44:00Z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