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E47D" w14:textId="77777777" w:rsidR="003D27E7" w:rsidRPr="00AC6EE7" w:rsidRDefault="003D27E7" w:rsidP="003D27E7">
      <w:pPr>
        <w:rPr>
          <w:lang w:val="en-GB"/>
        </w:rPr>
      </w:pPr>
      <w:bookmarkStart w:id="0" w:name="_Hlk84414552"/>
      <w:bookmarkStart w:id="1" w:name="_Ref178064866"/>
      <w:bookmarkStart w:id="2" w:name="_Hlk51759500"/>
    </w:p>
    <w:p w14:paraId="7ED76A12" w14:textId="77777777" w:rsidR="00155A41" w:rsidRDefault="00155A41" w:rsidP="00155A41">
      <w:pPr>
        <w:pStyle w:val="Doc-text2"/>
      </w:pPr>
    </w:p>
    <w:p w14:paraId="290D2562" w14:textId="77777777" w:rsidR="00155A41" w:rsidRDefault="00155A41" w:rsidP="00155A41">
      <w:pPr>
        <w:pStyle w:val="Doc-text2"/>
      </w:pPr>
    </w:p>
    <w:p w14:paraId="785FE95B"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Agreements:</w:t>
      </w:r>
    </w:p>
    <w:p w14:paraId="12883036" w14:textId="77777777" w:rsidR="00155A41"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commentRangeStart w:id="3"/>
      <w:r w:rsidRPr="00367BE7">
        <w:t>During CHO recovery in NTN the UE checks if the timer T2 has not expired before it can use CHO configuration for recovery. FFS if the same principle applies to location-based CHO triggering event</w:t>
      </w:r>
      <w:r>
        <w:t>. FFS the stage-3 details (i.e. whether the UE releases the configuration)</w:t>
      </w:r>
      <w:commentRangeEnd w:id="3"/>
      <w:r w:rsidR="00E37F3F">
        <w:rPr>
          <w:rStyle w:val="CommentReference"/>
          <w:rFonts w:asciiTheme="minorHAnsi" w:eastAsiaTheme="minorHAnsi" w:hAnsiTheme="minorHAnsi"/>
          <w:lang w:val="fi-FI" w:eastAsia="en-US"/>
        </w:rPr>
        <w:commentReference w:id="3"/>
      </w:r>
    </w:p>
    <w:p w14:paraId="0DAE4DAE" w14:textId="77777777" w:rsidR="00155A41" w:rsidRPr="00524003"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pPr>
      <w:r w:rsidRPr="00524003">
        <w:t xml:space="preserve">The following </w:t>
      </w:r>
      <w:r>
        <w:t xml:space="preserve">IEs/parameters are broadcast </w:t>
      </w:r>
      <w:commentRangeStart w:id="4"/>
      <w:r>
        <w:t>per</w:t>
      </w:r>
      <w:r w:rsidRPr="00524003">
        <w:t xml:space="preserve"> neighbour cell in NTN: </w:t>
      </w:r>
      <w:commentRangeEnd w:id="4"/>
      <w:r w:rsidR="00F43747">
        <w:rPr>
          <w:rStyle w:val="CommentReference"/>
          <w:rFonts w:asciiTheme="minorHAnsi" w:eastAsiaTheme="minorHAnsi" w:hAnsiTheme="minorHAnsi"/>
          <w:lang w:val="fi-FI" w:eastAsia="en-US"/>
        </w:rPr>
        <w:commentReference w:id="4"/>
      </w:r>
    </w:p>
    <w:p w14:paraId="72E6B951"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ind w:left="1259" w:firstLine="0"/>
      </w:pPr>
      <w:r>
        <w:tab/>
      </w:r>
      <w:r w:rsidRPr="00524003">
        <w:t xml:space="preserve">Ephemeris, </w:t>
      </w:r>
    </w:p>
    <w:p w14:paraId="18603F9B"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DL and UL polarization,</w:t>
      </w:r>
    </w:p>
    <w:p w14:paraId="3F74D56E"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Epoch time of assistance information</w:t>
      </w:r>
    </w:p>
    <w:p w14:paraId="002CB8AD"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Validity duration</w:t>
      </w:r>
    </w:p>
    <w:p w14:paraId="4EB584E9"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t>FFS how to handle the validity timer for neighbour cell. FFS if epoch time can be same or different. FFS about other parameters</w:t>
      </w:r>
    </w:p>
    <w:p w14:paraId="5B4F3E6E" w14:textId="77777777" w:rsidR="00FF3424" w:rsidRDefault="00FF3424" w:rsidP="00FF3424">
      <w:pPr>
        <w:pStyle w:val="Comments"/>
        <w:rPr>
          <w:ins w:id="5" w:author="RAN2#118" w:date="2022-05-16T10:54:00Z"/>
        </w:rPr>
      </w:pPr>
    </w:p>
    <w:p w14:paraId="0A1AF9ED" w14:textId="77777777" w:rsidR="00FF3424" w:rsidRDefault="00FF3424" w:rsidP="00FF3424">
      <w:pPr>
        <w:pStyle w:val="Comments"/>
        <w:rPr>
          <w:ins w:id="6" w:author="RAN2#118" w:date="2022-05-16T10:54:00Z"/>
        </w:rPr>
      </w:pPr>
    </w:p>
    <w:p w14:paraId="47F2A528" w14:textId="77777777" w:rsidR="00FF3424" w:rsidRDefault="00FF3424" w:rsidP="00FF3424">
      <w:pPr>
        <w:pStyle w:val="Doc-text2"/>
        <w:pBdr>
          <w:top w:val="single" w:sz="4" w:space="1" w:color="auto"/>
          <w:left w:val="single" w:sz="4" w:space="4" w:color="auto"/>
          <w:bottom w:val="single" w:sz="4" w:space="1" w:color="auto"/>
          <w:right w:val="single" w:sz="4" w:space="4" w:color="auto"/>
        </w:pBdr>
        <w:rPr>
          <w:ins w:id="7" w:author="RAN2#118" w:date="2022-05-16T10:54:00Z"/>
        </w:rPr>
      </w:pPr>
      <w:ins w:id="8" w:author="RAN2#118" w:date="2022-05-16T10:54:00Z">
        <w:r>
          <w:t>Agreements via email – from offline 106 – second round:</w:t>
        </w:r>
      </w:ins>
    </w:p>
    <w:p w14:paraId="42B6C1E1" w14:textId="77777777" w:rsidR="00FF3424" w:rsidRDefault="00FF3424" w:rsidP="00FF3424">
      <w:pPr>
        <w:pStyle w:val="Doc-text2"/>
        <w:numPr>
          <w:ilvl w:val="0"/>
          <w:numId w:val="39"/>
        </w:numPr>
        <w:pBdr>
          <w:top w:val="single" w:sz="4" w:space="1" w:color="auto"/>
          <w:left w:val="single" w:sz="4" w:space="4" w:color="auto"/>
          <w:bottom w:val="single" w:sz="4" w:space="1" w:color="auto"/>
          <w:right w:val="single" w:sz="4" w:space="4" w:color="auto"/>
        </w:pBdr>
        <w:spacing w:after="0" w:line="240" w:lineRule="auto"/>
        <w:rPr>
          <w:ins w:id="9" w:author="RAN2#118" w:date="2022-05-16T10:54:00Z"/>
        </w:rPr>
      </w:pPr>
      <w:commentRangeStart w:id="10"/>
      <w:ins w:id="11" w:author="RAN2#118" w:date="2022-05-16T10:54:00Z">
        <w:r w:rsidRPr="00D25AFF">
          <w:t>Adopt the changes in R2-2204659 to ensure CHO recovery is not executed after timer T2 expires. FFS if the entering condition (timer T1) needs to be considered either.</w:t>
        </w:r>
      </w:ins>
      <w:commentRangeEnd w:id="10"/>
      <w:r w:rsidR="00D84CF2">
        <w:rPr>
          <w:rStyle w:val="CommentReference"/>
          <w:rFonts w:asciiTheme="minorHAnsi" w:eastAsiaTheme="minorHAnsi" w:hAnsiTheme="minorHAnsi"/>
          <w:lang w:val="fi-FI" w:eastAsia="en-US"/>
        </w:rPr>
        <w:commentReference w:id="10"/>
      </w:r>
    </w:p>
    <w:p w14:paraId="7838A01D" w14:textId="77777777" w:rsidR="00FF3424" w:rsidRDefault="00FF3424" w:rsidP="00FF3424">
      <w:pPr>
        <w:pStyle w:val="Doc-text2"/>
        <w:numPr>
          <w:ilvl w:val="0"/>
          <w:numId w:val="39"/>
        </w:numPr>
        <w:pBdr>
          <w:top w:val="single" w:sz="4" w:space="1" w:color="auto"/>
          <w:left w:val="single" w:sz="4" w:space="4" w:color="auto"/>
          <w:bottom w:val="single" w:sz="4" w:space="1" w:color="auto"/>
          <w:right w:val="single" w:sz="4" w:space="4" w:color="auto"/>
        </w:pBdr>
        <w:spacing w:after="0" w:line="240" w:lineRule="auto"/>
        <w:rPr>
          <w:ins w:id="12" w:author="RAN2#118" w:date="2022-05-16T10:54:00Z"/>
        </w:rPr>
      </w:pPr>
      <w:ins w:id="13" w:author="RAN2#118" w:date="2022-05-16T10:54:00Z">
        <w:r w:rsidRPr="00D25AFF">
          <w:t>In case the UE was configured with condEventD1 the UE does not check if the condEventD1 expired when CHO recovery is executed. No specification impact to CHO recovery procedure description.</w:t>
        </w:r>
      </w:ins>
    </w:p>
    <w:p w14:paraId="2F636E66" w14:textId="77777777" w:rsidR="00FF3424" w:rsidRDefault="00FF3424" w:rsidP="00FF3424">
      <w:pPr>
        <w:pStyle w:val="Doc-text2"/>
        <w:numPr>
          <w:ilvl w:val="0"/>
          <w:numId w:val="39"/>
        </w:numPr>
        <w:pBdr>
          <w:top w:val="single" w:sz="4" w:space="1" w:color="auto"/>
          <w:left w:val="single" w:sz="4" w:space="4" w:color="auto"/>
          <w:bottom w:val="single" w:sz="4" w:space="1" w:color="auto"/>
          <w:right w:val="single" w:sz="4" w:space="4" w:color="auto"/>
        </w:pBdr>
        <w:spacing w:after="0" w:line="240" w:lineRule="auto"/>
        <w:rPr>
          <w:ins w:id="14" w:author="RAN2#118" w:date="2022-05-16T10:54:00Z"/>
        </w:rPr>
      </w:pPr>
      <w:ins w:id="15" w:author="RAN2#118" w:date="2022-05-16T10:54:00Z">
        <w:r w:rsidRPr="00D25AFF">
          <w:t>RAN2 signalling supports having the epoch time of the serving cell applicable to the neighbour cell’s assistance information (i.e. the same epoch time can be used for both cells).</w:t>
        </w:r>
      </w:ins>
    </w:p>
    <w:p w14:paraId="148F0E42" w14:textId="77777777" w:rsidR="00FF3424" w:rsidRDefault="00FF3424" w:rsidP="00FF3424">
      <w:pPr>
        <w:pStyle w:val="Doc-text2"/>
        <w:numPr>
          <w:ilvl w:val="0"/>
          <w:numId w:val="39"/>
        </w:numPr>
        <w:pBdr>
          <w:top w:val="single" w:sz="4" w:space="1" w:color="auto"/>
          <w:left w:val="single" w:sz="4" w:space="4" w:color="auto"/>
          <w:bottom w:val="single" w:sz="4" w:space="1" w:color="auto"/>
          <w:right w:val="single" w:sz="4" w:space="4" w:color="auto"/>
        </w:pBdr>
        <w:spacing w:after="0" w:line="240" w:lineRule="auto"/>
        <w:rPr>
          <w:ins w:id="16" w:author="RAN2#118" w:date="2022-05-16T10:54:00Z"/>
        </w:rPr>
      </w:pPr>
      <w:ins w:id="17" w:author="RAN2#118" w:date="2022-05-16T10:54:00Z">
        <w:r w:rsidRPr="00D25AFF">
          <w:t xml:space="preserve">Neighbour cell assistance information for NTN, </w:t>
        </w:r>
        <w:commentRangeStart w:id="18"/>
        <w:r w:rsidRPr="00D25AFF">
          <w:t>including SMTC assistance information, is provided via SIB19.</w:t>
        </w:r>
      </w:ins>
      <w:commentRangeEnd w:id="18"/>
      <w:r w:rsidR="00EE0F8B">
        <w:rPr>
          <w:rStyle w:val="CommentReference"/>
          <w:rFonts w:asciiTheme="minorHAnsi" w:eastAsiaTheme="minorHAnsi" w:hAnsiTheme="minorHAnsi"/>
          <w:lang w:val="fi-FI" w:eastAsia="en-US"/>
        </w:rPr>
        <w:commentReference w:id="18"/>
      </w:r>
    </w:p>
    <w:p w14:paraId="4F22AD3A" w14:textId="77777777" w:rsidR="00FF3424" w:rsidRDefault="00FF3424" w:rsidP="00FF3424">
      <w:pPr>
        <w:pStyle w:val="Doc-text2"/>
        <w:numPr>
          <w:ilvl w:val="0"/>
          <w:numId w:val="39"/>
        </w:numPr>
        <w:pBdr>
          <w:top w:val="single" w:sz="4" w:space="1" w:color="auto"/>
          <w:left w:val="single" w:sz="4" w:space="4" w:color="auto"/>
          <w:bottom w:val="single" w:sz="4" w:space="1" w:color="auto"/>
          <w:right w:val="single" w:sz="4" w:space="4" w:color="auto"/>
        </w:pBdr>
        <w:spacing w:after="0" w:line="240" w:lineRule="auto"/>
        <w:rPr>
          <w:ins w:id="19" w:author="RAN2#118" w:date="2022-05-16T10:54:00Z"/>
        </w:rPr>
      </w:pPr>
      <w:ins w:id="20" w:author="RAN2#118" w:date="2022-05-16T10:54:00Z">
        <w:r w:rsidRPr="00D25AFF">
          <w:t>Common TA parameters and Kmac of the neighbour cell are used to support IDLE/Inactive UEs in NTN to perform SMTC adjustments.</w:t>
        </w:r>
      </w:ins>
    </w:p>
    <w:p w14:paraId="005C6D34" w14:textId="77777777" w:rsidR="00FF3424" w:rsidRPr="00D25AFF" w:rsidRDefault="00FF3424" w:rsidP="00FF3424">
      <w:pPr>
        <w:pStyle w:val="Doc-text2"/>
        <w:numPr>
          <w:ilvl w:val="0"/>
          <w:numId w:val="39"/>
        </w:numPr>
        <w:pBdr>
          <w:top w:val="single" w:sz="4" w:space="1" w:color="auto"/>
          <w:left w:val="single" w:sz="4" w:space="4" w:color="auto"/>
          <w:bottom w:val="single" w:sz="4" w:space="1" w:color="auto"/>
          <w:right w:val="single" w:sz="4" w:space="4" w:color="auto"/>
        </w:pBdr>
        <w:spacing w:after="0" w:line="240" w:lineRule="auto"/>
        <w:rPr>
          <w:ins w:id="21" w:author="RAN2#118" w:date="2022-05-16T10:54:00Z"/>
        </w:rPr>
      </w:pPr>
      <w:ins w:id="22" w:author="RAN2#118" w:date="2022-05-16T10:54:00Z">
        <w:r w:rsidRPr="00D25AFF">
          <w:t>Target cell’s polarization information is provided via ntn-PolarizationDL-r17 and ntn-PolarizationUL-r17 in NTN-Config-r17 included in RRCReconfiguration comprising reconfigurationWithSync.</w:t>
        </w:r>
      </w:ins>
    </w:p>
    <w:p w14:paraId="74D62347" w14:textId="77777777" w:rsidR="00FF3424" w:rsidRPr="00524003" w:rsidRDefault="00FF3424" w:rsidP="00FF3424">
      <w:pPr>
        <w:pStyle w:val="Comments"/>
        <w:rPr>
          <w:ins w:id="23" w:author="RAN2#118" w:date="2022-05-16T10:54:00Z"/>
        </w:rPr>
      </w:pPr>
    </w:p>
    <w:p w14:paraId="24B8C41A" w14:textId="77777777" w:rsidR="00155A41" w:rsidRPr="00524003" w:rsidRDefault="00155A41" w:rsidP="00155A41">
      <w:pPr>
        <w:pStyle w:val="Doc-text2"/>
      </w:pPr>
    </w:p>
    <w:p w14:paraId="5049E905" w14:textId="3E7D35AA" w:rsidR="002806C8" w:rsidRDefault="002806C8" w:rsidP="003D4E78">
      <w:pPr>
        <w:pStyle w:val="NormalWeb"/>
        <w:ind w:left="1620"/>
      </w:pPr>
    </w:p>
    <w:p w14:paraId="0467D6BB" w14:textId="77777777" w:rsidR="008E68BC" w:rsidRPr="00134FC3" w:rsidRDefault="008E68BC" w:rsidP="008E68BC"/>
    <w:bookmarkEnd w:id="0"/>
    <w:bookmarkEnd w:id="1"/>
    <w:bookmarkEnd w:id="2"/>
    <w:p w14:paraId="7A16B1BB" w14:textId="53AD49FE" w:rsidR="007F2C63" w:rsidRDefault="007F2C63" w:rsidP="00F638E1">
      <w:pPr>
        <w:rPr>
          <w:lang w:val="en-GB"/>
        </w:rPr>
      </w:pPr>
    </w:p>
    <w:p w14:paraId="5EADB611" w14:textId="77777777" w:rsidR="00767F17" w:rsidRDefault="00767F17" w:rsidP="00AC6EDD"/>
    <w:p w14:paraId="6B54FA6C" w14:textId="49FB698C" w:rsidR="000B21D6" w:rsidRPr="00AC6EE7" w:rsidRDefault="000B21D6" w:rsidP="00DD4FDA">
      <w:pPr>
        <w:pStyle w:val="BodyText"/>
        <w:rPr>
          <w:lang w:val="en-GB" w:eastAsia="ja-JP"/>
        </w:rPr>
      </w:pPr>
    </w:p>
    <w:p w14:paraId="4D0D05B0" w14:textId="77777777" w:rsidR="000B21D6" w:rsidRPr="00AC6EE7" w:rsidRDefault="000B21D6" w:rsidP="00DD4FDA">
      <w:pPr>
        <w:pStyle w:val="BodyText"/>
        <w:rPr>
          <w:lang w:val="en-GB" w:eastAsia="ja-JP"/>
        </w:rPr>
      </w:pPr>
    </w:p>
    <w:sectPr w:rsidR="000B21D6" w:rsidRPr="00AC6EE7"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8" w:date="2022-05-17T20:22:00Z" w:initials="ER">
    <w:p w14:paraId="0320550F" w14:textId="6E6596E9" w:rsidR="00E37F3F" w:rsidRDefault="00E37F3F">
      <w:pPr>
        <w:pStyle w:val="CommentText"/>
      </w:pPr>
      <w:r>
        <w:rPr>
          <w:rStyle w:val="CommentReference"/>
        </w:rPr>
        <w:annotationRef/>
      </w:r>
      <w:r>
        <w:t>Procedural needed for this?</w:t>
      </w:r>
    </w:p>
  </w:comment>
  <w:comment w:id="4" w:author="RAN2#118" w:date="2022-05-17T20:21:00Z" w:initials="ER">
    <w:p w14:paraId="79902C4F" w14:textId="6AD36AB7" w:rsidR="00F43747" w:rsidRDefault="00F43747">
      <w:pPr>
        <w:pStyle w:val="CommentText"/>
      </w:pPr>
      <w:r>
        <w:rPr>
          <w:rStyle w:val="CommentReference"/>
        </w:rPr>
        <w:annotationRef/>
      </w:r>
      <w:r>
        <w:t xml:space="preserve">How </w:t>
      </w:r>
      <w:r>
        <w:t xml:space="preserve">many cells can be cinluded? </w:t>
      </w:r>
      <w:r w:rsidR="003F7B87">
        <w:t>Can it be group of cells e.g. for one satellite and then parameters related to those?</w:t>
      </w:r>
    </w:p>
  </w:comment>
  <w:comment w:id="10" w:author="RAN2#118" w:date="2022-05-17T20:19:00Z" w:initials="ER">
    <w:p w14:paraId="5E92BF42" w14:textId="4168C5C6" w:rsidR="00D84CF2" w:rsidRDefault="00D84CF2">
      <w:pPr>
        <w:pStyle w:val="CommentText"/>
      </w:pPr>
      <w:r>
        <w:rPr>
          <w:rStyle w:val="CommentReference"/>
        </w:rPr>
        <w:annotationRef/>
      </w:r>
      <w:r>
        <w:t xml:space="preserve">I could take directly this one line TP but maybe it is better if youthink together with other agreements </w:t>
      </w:r>
    </w:p>
  </w:comment>
  <w:comment w:id="18" w:author="RAN2#118" w:date="2022-05-17T20:20:00Z" w:initials="ER">
    <w:p w14:paraId="3CA2AC1F" w14:textId="79115ED9" w:rsidR="00EE0F8B" w:rsidRDefault="00EE0F8B">
      <w:pPr>
        <w:pStyle w:val="CommentText"/>
      </w:pPr>
      <w:r>
        <w:rPr>
          <w:rStyle w:val="CommentReference"/>
        </w:rPr>
        <w:annotationRef/>
      </w:r>
      <w:r>
        <w:t>Do we know what is this assistance info?</w:t>
      </w:r>
      <w:r w:rsidR="00F43747">
        <w:t xml:space="preserve"> Is it the next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20550F" w15:done="0"/>
  <w15:commentEx w15:paraId="79902C4F" w15:done="0"/>
  <w15:commentEx w15:paraId="5E92BF42" w15:done="0"/>
  <w15:commentEx w15:paraId="3CA2A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8282" w16cex:dateUtc="2022-05-17T17:22:00Z"/>
  <w16cex:commentExtensible w16cex:durableId="262E824D" w16cex:dateUtc="2022-05-17T17:21:00Z"/>
  <w16cex:commentExtensible w16cex:durableId="262E81D7" w16cex:dateUtc="2022-05-17T17:19:00Z"/>
  <w16cex:commentExtensible w16cex:durableId="262E821F" w16cex:dateUtc="2022-05-17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0550F" w16cid:durableId="262E8282"/>
  <w16cid:commentId w16cid:paraId="79902C4F" w16cid:durableId="262E824D"/>
  <w16cid:commentId w16cid:paraId="5E92BF42" w16cid:durableId="262E81D7"/>
  <w16cid:commentId w16cid:paraId="3CA2AC1F" w16cid:durableId="262E8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641A" w14:textId="77777777" w:rsidR="00627E85" w:rsidRDefault="00627E85">
      <w:r>
        <w:separator/>
      </w:r>
    </w:p>
  </w:endnote>
  <w:endnote w:type="continuationSeparator" w:id="0">
    <w:p w14:paraId="27D3BBF0" w14:textId="77777777" w:rsidR="00627E85" w:rsidRDefault="00627E85">
      <w:r>
        <w:continuationSeparator/>
      </w:r>
    </w:p>
  </w:endnote>
  <w:endnote w:type="continuationNotice" w:id="1">
    <w:p w14:paraId="529496E3" w14:textId="77777777" w:rsidR="00627E85" w:rsidRDefault="00627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65EF7ECA" w:rsidR="00AE698D" w:rsidRDefault="00AE698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73DD">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73DD">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D142" w14:textId="77777777" w:rsidR="00627E85" w:rsidRDefault="00627E85">
      <w:r>
        <w:separator/>
      </w:r>
    </w:p>
  </w:footnote>
  <w:footnote w:type="continuationSeparator" w:id="0">
    <w:p w14:paraId="582F05AB" w14:textId="77777777" w:rsidR="00627E85" w:rsidRDefault="00627E85">
      <w:r>
        <w:continuationSeparator/>
      </w:r>
    </w:p>
  </w:footnote>
  <w:footnote w:type="continuationNotice" w:id="1">
    <w:p w14:paraId="6060E723" w14:textId="77777777" w:rsidR="00627E85" w:rsidRDefault="00627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AE698D" w:rsidRDefault="00AE69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CB53D56"/>
    <w:multiLevelType w:val="hybridMultilevel"/>
    <w:tmpl w:val="A588BE78"/>
    <w:lvl w:ilvl="0" w:tplc="F75400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2FA7497F"/>
    <w:multiLevelType w:val="hybridMultilevel"/>
    <w:tmpl w:val="F182B1CC"/>
    <w:lvl w:ilvl="0" w:tplc="26D047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2"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5"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tentative="1">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7"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9" w15:restartNumberingAfterBreak="0">
    <w:nsid w:val="7DCA7C78"/>
    <w:multiLevelType w:val="hybridMultilevel"/>
    <w:tmpl w:val="761C77F2"/>
    <w:lvl w:ilvl="0" w:tplc="877C1A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DE46D9D"/>
    <w:multiLevelType w:val="hybridMultilevel"/>
    <w:tmpl w:val="5A4EFBE8"/>
    <w:lvl w:ilvl="0" w:tplc="AE50A5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E1C590F"/>
    <w:multiLevelType w:val="hybridMultilevel"/>
    <w:tmpl w:val="7A9E95EA"/>
    <w:lvl w:ilvl="0" w:tplc="6E0C26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3"/>
  </w:num>
  <w:num w:numId="2">
    <w:abstractNumId w:val="19"/>
  </w:num>
  <w:num w:numId="3">
    <w:abstractNumId w:val="0"/>
  </w:num>
  <w:num w:numId="4">
    <w:abstractNumId w:val="25"/>
  </w:num>
  <w:num w:numId="5">
    <w:abstractNumId w:val="26"/>
  </w:num>
  <w:num w:numId="6">
    <w:abstractNumId w:val="27"/>
  </w:num>
  <w:num w:numId="7">
    <w:abstractNumId w:val="11"/>
  </w:num>
  <w:num w:numId="8">
    <w:abstractNumId w:val="12"/>
  </w:num>
  <w:num w:numId="9">
    <w:abstractNumId w:val="6"/>
  </w:num>
  <w:num w:numId="10">
    <w:abstractNumId w:val="35"/>
  </w:num>
  <w:num w:numId="11">
    <w:abstractNumId w:val="17"/>
  </w:num>
  <w:num w:numId="12">
    <w:abstractNumId w:val="32"/>
  </w:num>
  <w:num w:numId="13">
    <w:abstractNumId w:val="2"/>
  </w:num>
  <w:num w:numId="14">
    <w:abstractNumId w:val="4"/>
  </w:num>
  <w:num w:numId="15">
    <w:abstractNumId w:val="3"/>
  </w:num>
  <w:num w:numId="16">
    <w:abstractNumId w:val="28"/>
  </w:num>
  <w:num w:numId="17">
    <w:abstractNumId w:val="36"/>
  </w:num>
  <w:num w:numId="18">
    <w:abstractNumId w:val="24"/>
  </w:num>
  <w:num w:numId="19">
    <w:abstractNumId w:val="8"/>
  </w:num>
  <w:num w:numId="20">
    <w:abstractNumId w:val="37"/>
  </w:num>
  <w:num w:numId="21">
    <w:abstractNumId w:val="7"/>
  </w:num>
  <w:num w:numId="22">
    <w:abstractNumId w:val="29"/>
  </w:num>
  <w:num w:numId="23">
    <w:abstractNumId w:val="9"/>
  </w:num>
  <w:num w:numId="24">
    <w:abstractNumId w:val="16"/>
  </w:num>
  <w:num w:numId="25">
    <w:abstractNumId w:val="1"/>
  </w:num>
  <w:num w:numId="26">
    <w:abstractNumId w:val="10"/>
  </w:num>
  <w:num w:numId="27">
    <w:abstractNumId w:val="30"/>
  </w:num>
  <w:num w:numId="28">
    <w:abstractNumId w:val="13"/>
  </w:num>
  <w:num w:numId="29">
    <w:abstractNumId w:val="22"/>
  </w:num>
  <w:num w:numId="30">
    <w:abstractNumId w:val="31"/>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 w:numId="34">
    <w:abstractNumId w:val="38"/>
  </w:num>
  <w:num w:numId="35">
    <w:abstractNumId w:val="14"/>
  </w:num>
  <w:num w:numId="36">
    <w:abstractNumId w:val="39"/>
  </w:num>
  <w:num w:numId="37">
    <w:abstractNumId w:val="5"/>
  </w:num>
  <w:num w:numId="38">
    <w:abstractNumId w:val="18"/>
  </w:num>
  <w:num w:numId="39">
    <w:abstractNumId w:val="41"/>
  </w:num>
  <w:num w:numId="40">
    <w:abstractNumId w:val="40"/>
  </w:num>
  <w:num w:numId="41">
    <w:abstractNumId w:val="15"/>
  </w:num>
  <w:num w:numId="42">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6814"/>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0F32"/>
    <w:rsid w:val="00121112"/>
    <w:rsid w:val="001219F5"/>
    <w:rsid w:val="00121A20"/>
    <w:rsid w:val="001226C6"/>
    <w:rsid w:val="00122E47"/>
    <w:rsid w:val="0012310B"/>
    <w:rsid w:val="0012377F"/>
    <w:rsid w:val="00124314"/>
    <w:rsid w:val="00125F55"/>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0612"/>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EB1"/>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3FA1"/>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309F"/>
    <w:rsid w:val="002D30C8"/>
    <w:rsid w:val="002D3325"/>
    <w:rsid w:val="002D34B2"/>
    <w:rsid w:val="002D3505"/>
    <w:rsid w:val="002D3C67"/>
    <w:rsid w:val="002D48B0"/>
    <w:rsid w:val="002D4922"/>
    <w:rsid w:val="002D4B7F"/>
    <w:rsid w:val="002D5243"/>
    <w:rsid w:val="002D55AA"/>
    <w:rsid w:val="002D5B37"/>
    <w:rsid w:val="002D5D7E"/>
    <w:rsid w:val="002D740B"/>
    <w:rsid w:val="002D7637"/>
    <w:rsid w:val="002D78A2"/>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702"/>
    <w:rsid w:val="00311E82"/>
    <w:rsid w:val="00312098"/>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843"/>
    <w:rsid w:val="00346D90"/>
    <w:rsid w:val="00346DB5"/>
    <w:rsid w:val="00346FFD"/>
    <w:rsid w:val="003473E9"/>
    <w:rsid w:val="003477B1"/>
    <w:rsid w:val="0035023A"/>
    <w:rsid w:val="00350A52"/>
    <w:rsid w:val="00350D6C"/>
    <w:rsid w:val="003512FB"/>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5B91"/>
    <w:rsid w:val="003A6592"/>
    <w:rsid w:val="003A6BAC"/>
    <w:rsid w:val="003A70A4"/>
    <w:rsid w:val="003A7283"/>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2478"/>
    <w:rsid w:val="003D27E7"/>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18CA"/>
    <w:rsid w:val="003F220D"/>
    <w:rsid w:val="003F2CD4"/>
    <w:rsid w:val="003F45A5"/>
    <w:rsid w:val="003F4622"/>
    <w:rsid w:val="003F4722"/>
    <w:rsid w:val="003F558D"/>
    <w:rsid w:val="003F5875"/>
    <w:rsid w:val="003F5B06"/>
    <w:rsid w:val="003F62A9"/>
    <w:rsid w:val="003F645E"/>
    <w:rsid w:val="003F6AF5"/>
    <w:rsid w:val="003F6BBE"/>
    <w:rsid w:val="003F6FFC"/>
    <w:rsid w:val="003F7B87"/>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94A"/>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A6F"/>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90D"/>
    <w:rsid w:val="004E3BD0"/>
    <w:rsid w:val="004E3BFB"/>
    <w:rsid w:val="004E462E"/>
    <w:rsid w:val="004E46E9"/>
    <w:rsid w:val="004E4875"/>
    <w:rsid w:val="004E4ADC"/>
    <w:rsid w:val="004E53EC"/>
    <w:rsid w:val="004E56DC"/>
    <w:rsid w:val="004E58B5"/>
    <w:rsid w:val="004E5E3C"/>
    <w:rsid w:val="004E66CA"/>
    <w:rsid w:val="004E6890"/>
    <w:rsid w:val="004E6C2A"/>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1C4D"/>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409"/>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AA1"/>
    <w:rsid w:val="00595DCA"/>
    <w:rsid w:val="0059678A"/>
    <w:rsid w:val="00596880"/>
    <w:rsid w:val="0059689B"/>
    <w:rsid w:val="00596EF8"/>
    <w:rsid w:val="00597403"/>
    <w:rsid w:val="0059779B"/>
    <w:rsid w:val="00597A06"/>
    <w:rsid w:val="005A036E"/>
    <w:rsid w:val="005A06E9"/>
    <w:rsid w:val="005A10C8"/>
    <w:rsid w:val="005A1272"/>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FF0"/>
    <w:rsid w:val="005B35D7"/>
    <w:rsid w:val="005B392A"/>
    <w:rsid w:val="005B3AA3"/>
    <w:rsid w:val="005B43B6"/>
    <w:rsid w:val="005B47CB"/>
    <w:rsid w:val="005B48EE"/>
    <w:rsid w:val="005B4DF2"/>
    <w:rsid w:val="005B5001"/>
    <w:rsid w:val="005B536A"/>
    <w:rsid w:val="005B5540"/>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7"/>
    <w:rsid w:val="005E626C"/>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6A70"/>
    <w:rsid w:val="006177E1"/>
    <w:rsid w:val="0061787A"/>
    <w:rsid w:val="0062036F"/>
    <w:rsid w:val="00620A71"/>
    <w:rsid w:val="00620D80"/>
    <w:rsid w:val="006210BB"/>
    <w:rsid w:val="006234A6"/>
    <w:rsid w:val="00623A48"/>
    <w:rsid w:val="00623BFB"/>
    <w:rsid w:val="006245EB"/>
    <w:rsid w:val="006247E5"/>
    <w:rsid w:val="00624884"/>
    <w:rsid w:val="006248BB"/>
    <w:rsid w:val="006252DB"/>
    <w:rsid w:val="0062591E"/>
    <w:rsid w:val="00625D74"/>
    <w:rsid w:val="00625F6D"/>
    <w:rsid w:val="0062663B"/>
    <w:rsid w:val="006279E0"/>
    <w:rsid w:val="00627CC3"/>
    <w:rsid w:val="00627E85"/>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1E5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4918"/>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977FB"/>
    <w:rsid w:val="006A0F5D"/>
    <w:rsid w:val="006A242A"/>
    <w:rsid w:val="006A38CC"/>
    <w:rsid w:val="006A46FB"/>
    <w:rsid w:val="006A5442"/>
    <w:rsid w:val="006A58DB"/>
    <w:rsid w:val="006A59D9"/>
    <w:rsid w:val="006A5E28"/>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203"/>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459"/>
    <w:rsid w:val="00754A30"/>
    <w:rsid w:val="007550FB"/>
    <w:rsid w:val="00755533"/>
    <w:rsid w:val="0075572D"/>
    <w:rsid w:val="007561E6"/>
    <w:rsid w:val="00756EE4"/>
    <w:rsid w:val="007571E1"/>
    <w:rsid w:val="00757A72"/>
    <w:rsid w:val="00757E23"/>
    <w:rsid w:val="007603C5"/>
    <w:rsid w:val="007604B2"/>
    <w:rsid w:val="007605F6"/>
    <w:rsid w:val="00761EDE"/>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70B"/>
    <w:rsid w:val="007B5BF6"/>
    <w:rsid w:val="007B6580"/>
    <w:rsid w:val="007B693F"/>
    <w:rsid w:val="007B69B7"/>
    <w:rsid w:val="007B768B"/>
    <w:rsid w:val="007C009A"/>
    <w:rsid w:val="007C0286"/>
    <w:rsid w:val="007C05DD"/>
    <w:rsid w:val="007C318F"/>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AFD"/>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0BC6"/>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5E8"/>
    <w:rsid w:val="00896963"/>
    <w:rsid w:val="008A015F"/>
    <w:rsid w:val="008A13FC"/>
    <w:rsid w:val="008A16B7"/>
    <w:rsid w:val="008A1BAC"/>
    <w:rsid w:val="008A1F60"/>
    <w:rsid w:val="008A21FF"/>
    <w:rsid w:val="008A224A"/>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A7A6E"/>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08A5"/>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AE9"/>
    <w:rsid w:val="00952C32"/>
    <w:rsid w:val="009530B1"/>
    <w:rsid w:val="00953920"/>
    <w:rsid w:val="00953D47"/>
    <w:rsid w:val="00953DB1"/>
    <w:rsid w:val="009548BB"/>
    <w:rsid w:val="00954C52"/>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0D47"/>
    <w:rsid w:val="009D162D"/>
    <w:rsid w:val="009D18B0"/>
    <w:rsid w:val="009D1A4F"/>
    <w:rsid w:val="009D25C5"/>
    <w:rsid w:val="009D271B"/>
    <w:rsid w:val="009D2721"/>
    <w:rsid w:val="009D2FC9"/>
    <w:rsid w:val="009D37E9"/>
    <w:rsid w:val="009D4FF0"/>
    <w:rsid w:val="009D521D"/>
    <w:rsid w:val="009D5250"/>
    <w:rsid w:val="009D52D8"/>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1FF6"/>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0F"/>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0EE"/>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119"/>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F3B"/>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4EA"/>
    <w:rsid w:val="00BF3DF7"/>
    <w:rsid w:val="00BF405D"/>
    <w:rsid w:val="00BF42CC"/>
    <w:rsid w:val="00BF4328"/>
    <w:rsid w:val="00BF5220"/>
    <w:rsid w:val="00BF5DFA"/>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DEA"/>
    <w:rsid w:val="00C34F5F"/>
    <w:rsid w:val="00C34FEC"/>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49CC"/>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5AF5"/>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6C3"/>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520"/>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484B"/>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4CF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2A7"/>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1B9"/>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4F2C"/>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655"/>
    <w:rsid w:val="00E15C77"/>
    <w:rsid w:val="00E15DDC"/>
    <w:rsid w:val="00E1689A"/>
    <w:rsid w:val="00E17C6F"/>
    <w:rsid w:val="00E17CE0"/>
    <w:rsid w:val="00E17FA2"/>
    <w:rsid w:val="00E2054C"/>
    <w:rsid w:val="00E206AC"/>
    <w:rsid w:val="00E212E6"/>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37F3F"/>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B4D"/>
    <w:rsid w:val="00EA4F87"/>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7C2"/>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664"/>
    <w:rsid w:val="00ED6832"/>
    <w:rsid w:val="00ED7A3F"/>
    <w:rsid w:val="00EE072D"/>
    <w:rsid w:val="00EE074E"/>
    <w:rsid w:val="00EE0F8B"/>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E51"/>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3747"/>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7D7"/>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53B"/>
    <w:rsid w:val="00F96634"/>
    <w:rsid w:val="00F96985"/>
    <w:rsid w:val="00F97838"/>
    <w:rsid w:val="00FA0486"/>
    <w:rsid w:val="00FA0F58"/>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B2B"/>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6FE0"/>
    <w:rsid w:val="00FE7103"/>
    <w:rsid w:val="00FE7336"/>
    <w:rsid w:val="00FE787C"/>
    <w:rsid w:val="00FE7D2C"/>
    <w:rsid w:val="00FF023C"/>
    <w:rsid w:val="00FF027F"/>
    <w:rsid w:val="00FF1675"/>
    <w:rsid w:val="00FF16E9"/>
    <w:rsid w:val="00FF19E7"/>
    <w:rsid w:val="00FF1ACD"/>
    <w:rsid w:val="00FF2102"/>
    <w:rsid w:val="00FF2F50"/>
    <w:rsid w:val="00FF3424"/>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CF2"/>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84C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4C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F255B0"/>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qFormat/>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Normal"/>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Normal"/>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DefaultParagraphFont"/>
    <w:uiPriority w:val="99"/>
    <w:semiHidden/>
    <w:unhideWhenUsed/>
    <w:rsid w:val="00AE698D"/>
    <w:rPr>
      <w:color w:val="605E5C"/>
      <w:shd w:val="clear" w:color="auto" w:fill="E1DFDD"/>
    </w:rPr>
  </w:style>
  <w:style w:type="paragraph" w:customStyle="1" w:styleId="Agreement">
    <w:name w:val="Agreement"/>
    <w:basedOn w:val="Normal"/>
    <w:next w:val="Doc-text2"/>
    <w:qFormat/>
    <w:rsid w:val="00C34DEA"/>
    <w:pPr>
      <w:numPr>
        <w:numId w:val="42"/>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71283012">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46822280">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6743057">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4768520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8528724">
      <w:bodyDiv w:val="1"/>
      <w:marLeft w:val="0"/>
      <w:marRight w:val="0"/>
      <w:marTop w:val="0"/>
      <w:marBottom w:val="0"/>
      <w:divBdr>
        <w:top w:val="none" w:sz="0" w:space="0" w:color="auto"/>
        <w:left w:val="none" w:sz="0" w:space="0" w:color="auto"/>
        <w:bottom w:val="none" w:sz="0" w:space="0" w:color="auto"/>
        <w:right w:val="none" w:sz="0" w:space="0" w:color="auto"/>
      </w:divBdr>
    </w:div>
    <w:div w:id="186220785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EBEBCC9-1566-43A3-943F-60E1B5A3B28E}">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177</Words>
  <Characters>1435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Ericsson</vt:lpstr>
      <vt:lpstr>Discussion on first NTN online and offline agreements</vt:lpstr>
      <vt:lpstr>Conclusion</vt:lpstr>
      <vt:lpstr>References</vt:lpstr>
    </vt:vector>
  </TitlesOfParts>
  <Company>Ericsson</Company>
  <LinksUpToDate>false</LinksUpToDate>
  <CharactersWithSpaces>1609</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8</cp:revision>
  <cp:lastPrinted>2008-01-30T20:09:00Z</cp:lastPrinted>
  <dcterms:created xsi:type="dcterms:W3CDTF">2022-05-17T16:14:00Z</dcterms:created>
  <dcterms:modified xsi:type="dcterms:W3CDTF">2022-05-17T17:23:00Z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1652487480</vt:lpwstr>
  </property>
</Properties>
</file>