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pPr>
      <w:r>
        <w:t>3GPP TSG-RAN WG2 Meeting #118 electronic</w:t>
      </w:r>
      <w:r>
        <w:tab/>
      </w:r>
      <w:r>
        <w:t>R2-220</w:t>
      </w:r>
    </w:p>
    <w:p>
      <w:pPr>
        <w:pStyle w:val="63"/>
      </w:pPr>
      <w:r>
        <w:t xml:space="preserve">Online, May 9 – 20, 2022                                                                              </w:t>
      </w:r>
    </w:p>
    <w:p>
      <w:pPr>
        <w:pStyle w:val="63"/>
      </w:pPr>
      <w:r>
        <w:t>Agenda Item:</w:t>
      </w:r>
      <w:r>
        <w:tab/>
      </w:r>
      <w:r>
        <w:t>6.17.3.1</w:t>
      </w:r>
    </w:p>
    <w:p>
      <w:pPr>
        <w:pStyle w:val="63"/>
      </w:pPr>
      <w:r>
        <w:t>Source:</w:t>
      </w:r>
      <w:r>
        <w:tab/>
      </w:r>
      <w:r>
        <w:t>Ericsson</w:t>
      </w:r>
    </w:p>
    <w:p>
      <w:pPr>
        <w:pStyle w:val="63"/>
      </w:pPr>
      <w:r>
        <w:t>Title:</w:t>
      </w:r>
      <w:r>
        <w:tab/>
      </w:r>
      <w:r>
        <w:t>[AT118-e][053][feMIMO] Discussion on H060</w:t>
      </w:r>
    </w:p>
    <w:p>
      <w:pPr>
        <w:pStyle w:val="63"/>
      </w:pPr>
      <w:r>
        <w:t>Document for:</w:t>
      </w:r>
      <w:r>
        <w:tab/>
      </w:r>
      <w:r>
        <w:t>Discussion, Decision</w:t>
      </w:r>
    </w:p>
    <w:p>
      <w:pPr>
        <w:pStyle w:val="2"/>
        <w:rPr>
          <w:lang w:val="en-US"/>
        </w:rPr>
      </w:pPr>
      <w:r>
        <w:rPr>
          <w:lang w:val="en-US"/>
        </w:rPr>
        <w:t>Introduction</w:t>
      </w:r>
    </w:p>
    <w:p>
      <w:pPr>
        <w:rPr>
          <w:rFonts w:ascii="Arial" w:hAnsi="Arial" w:cs="Arial"/>
          <w:lang w:val="en-GB"/>
        </w:rPr>
      </w:pPr>
      <w:bookmarkStart w:id="0" w:name="_Hlk51759500"/>
      <w:bookmarkStart w:id="1" w:name="_Hlk84414552"/>
      <w:bookmarkStart w:id="2" w:name="_Ref178064866"/>
    </w:p>
    <w:p>
      <w:pPr>
        <w:pStyle w:val="2"/>
        <w:pBdr>
          <w:top w:val="single" w:color="auto" w:sz="12" w:space="3"/>
        </w:pBdr>
        <w:tabs>
          <w:tab w:val="clear" w:pos="432"/>
        </w:tabs>
        <w:overflowPunct/>
        <w:autoSpaceDE/>
        <w:autoSpaceDN/>
        <w:adjustRightInd/>
        <w:spacing w:line="259" w:lineRule="auto"/>
        <w:ind w:left="1134" w:hanging="1134"/>
        <w:jc w:val="both"/>
        <w:textAlignment w:val="auto"/>
        <w:rPr>
          <w:rFonts w:eastAsia="宋体"/>
        </w:rPr>
      </w:pPr>
      <w:r>
        <w:rPr>
          <w:rFonts w:hint="eastAsia" w:eastAsia="宋体"/>
        </w:rPr>
        <w:t>C</w:t>
      </w:r>
      <w:r>
        <w:rPr>
          <w:rFonts w:eastAsia="宋体"/>
        </w:rPr>
        <w:t xml:space="preserve">ontact </w:t>
      </w:r>
      <w:r>
        <w:rPr>
          <w:rFonts w:eastAsia="宋体" w:cs="Times New Roman"/>
          <w:szCs w:val="20"/>
          <w:lang w:eastAsia="en-US"/>
        </w:rPr>
        <w:t>Information</w:t>
      </w:r>
    </w:p>
    <w:p>
      <w:r>
        <w:rPr>
          <w:rFonts w:eastAsia="宋体"/>
          <w:lang w:eastAsia="zh-CN"/>
        </w:rPr>
        <w:br w:type="textWrapping"/>
      </w:r>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8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8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8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lang w:eastAsia="ko-KR"/>
              </w:rPr>
            </w:pPr>
            <w:r>
              <w:rPr>
                <w:rFonts w:hint="eastAsia" w:eastAsia="Malgun Gothic"/>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lang w:eastAsia="ko-KR"/>
              </w:rPr>
            </w:pPr>
            <w:r>
              <w:rPr>
                <w:rFonts w:hint="eastAsia" w:eastAsia="Malgun Gothic"/>
                <w:lang w:eastAsia="ko-KR"/>
              </w:rPr>
              <w:t>SungHoon Jung</w:t>
            </w: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Malgun Gothic"/>
                <w:lang w:eastAsia="ko-KR"/>
              </w:rPr>
            </w:pPr>
            <w:r>
              <w:rPr>
                <w:rFonts w:hint="eastAsia" w:eastAsia="Malgun Gothic"/>
                <w:lang w:eastAsia="ko-KR"/>
              </w:rPr>
              <w:t>Seungri Jin</w:t>
            </w: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Malgun Gothic"/>
                <w:lang w:eastAsia="ko-KR"/>
              </w:rPr>
            </w:pPr>
            <w:r>
              <w:rPr>
                <w:rFonts w:eastAsia="Malgun Gothic"/>
                <w:lang w:eastAsia="ko-KR"/>
              </w:rPr>
              <w:t>s</w:t>
            </w:r>
            <w:r>
              <w:rPr>
                <w:rFonts w:hint="eastAsia" w:eastAsia="Malgun Gothic"/>
                <w:lang w:eastAsia="ko-KR"/>
              </w:rPr>
              <w:t>eungri.</w:t>
            </w:r>
            <w:r>
              <w:rPr>
                <w:rFonts w:eastAsia="Malgun Gothic"/>
                <w:lang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firstLine="284"/>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r>
    </w:tbl>
    <w:p/>
    <w:p>
      <w:pPr>
        <w:rPr>
          <w:lang w:eastAsia="zh-CN"/>
        </w:rPr>
      </w:pPr>
      <w:r>
        <w:br w:type="page"/>
      </w:r>
    </w:p>
    <w:p>
      <w:pPr>
        <w:pStyle w:val="167"/>
      </w:pPr>
    </w:p>
    <w:p>
      <w:pPr>
        <w:pStyle w:val="2"/>
      </w:pPr>
      <w:r>
        <w:t>PCI in resources in CSI-SSB-ResourceSet (H060)</w:t>
      </w:r>
    </w:p>
    <w:p>
      <w:pPr>
        <w:rPr>
          <w:rFonts w:ascii="Arial" w:hAnsi="Arial" w:cs="Arial"/>
          <w:lang w:val="en-GB"/>
        </w:rPr>
      </w:pPr>
      <w:r>
        <w:rPr>
          <w:rFonts w:ascii="Arial" w:hAnsi="Arial" w:cs="Arial"/>
          <w:lang w:val="en-GB"/>
        </w:rPr>
        <w:t>The below contributions discuss the PCI associated to SSB indexes in same CSI-SSB-ResourceSet:</w:t>
      </w:r>
    </w:p>
    <w:p>
      <w:pPr>
        <w:rPr>
          <w:rFonts w:ascii="Arial" w:hAnsi="Arial" w:cs="Arial"/>
          <w:lang w:val="en-GB"/>
        </w:rPr>
      </w:pPr>
    </w:p>
    <w:p>
      <w:pPr>
        <w:ind w:left="567"/>
        <w:rPr>
          <w:rFonts w:ascii="Arial" w:hAnsi="Arial" w:cs="Arial"/>
          <w:lang w:val="en-GB"/>
        </w:rPr>
      </w:pPr>
      <w:r>
        <w:rPr>
          <w:rFonts w:ascii="Arial" w:hAnsi="Arial" w:cs="Arial"/>
          <w:lang w:val="en-GB"/>
        </w:rPr>
        <w:t>R2-2205916 M</w:t>
      </w:r>
      <w:r>
        <w:rPr>
          <w:rFonts w:ascii="Arial" w:hAnsi="Arial" w:cs="Arial"/>
          <w:lang w:val="en-GB"/>
        </w:rPr>
        <w:tab/>
      </w:r>
      <w:r>
        <w:rPr>
          <w:rFonts w:ascii="Arial" w:hAnsi="Arial" w:cs="Arial"/>
          <w:lang w:val="en-GB"/>
        </w:rPr>
        <w:t>[H060] Inter-cell beam measurement configuration</w:t>
      </w:r>
      <w:r>
        <w:rPr>
          <w:rFonts w:ascii="Arial" w:hAnsi="Arial" w:cs="Arial"/>
          <w:lang w:val="en-GB"/>
        </w:rPr>
        <w:tab/>
      </w:r>
      <w:r>
        <w:rPr>
          <w:rFonts w:ascii="Arial" w:hAnsi="Arial" w:cs="Arial"/>
          <w:lang w:val="en-GB"/>
        </w:rPr>
        <w:t>Huawei, HiSilicon</w:t>
      </w:r>
    </w:p>
    <w:p>
      <w:pPr>
        <w:ind w:left="567"/>
        <w:rPr>
          <w:rFonts w:ascii="Arial" w:hAnsi="Arial" w:cs="Arial"/>
          <w:lang w:val="en-GB"/>
        </w:rPr>
      </w:pPr>
      <w:r>
        <w:rPr>
          <w:rFonts w:ascii="Arial" w:hAnsi="Arial" w:cs="Arial"/>
          <w:lang w:val="en-GB"/>
        </w:rPr>
        <w:t>R2-2204599 M</w:t>
      </w:r>
      <w:r>
        <w:rPr>
          <w:rFonts w:ascii="Arial" w:hAnsi="Arial" w:cs="Arial"/>
          <w:lang w:val="en-GB"/>
        </w:rPr>
        <w:tab/>
      </w:r>
      <w:r>
        <w:rPr>
          <w:rFonts w:ascii="Arial" w:hAnsi="Arial" w:cs="Arial"/>
          <w:lang w:val="en-GB"/>
        </w:rPr>
        <w:t>Discussion on RILs:F001, F002, V101,V102,H059,H060, I105,V112,V109,I115,Z095</w:t>
      </w:r>
      <w:r>
        <w:rPr>
          <w:rFonts w:ascii="Arial" w:hAnsi="Arial" w:cs="Arial"/>
          <w:lang w:val="en-GB"/>
        </w:rPr>
        <w:tab/>
      </w:r>
      <w:r>
        <w:rPr>
          <w:rFonts w:ascii="Arial" w:hAnsi="Arial" w:cs="Arial"/>
          <w:lang w:val="en-GB"/>
        </w:rPr>
        <w:t>OPPO</w:t>
      </w:r>
    </w:p>
    <w:p>
      <w:pPr>
        <w:rPr>
          <w:rFonts w:ascii="Arial" w:hAnsi="Arial" w:cs="Arial"/>
          <w:lang w:val="en-GB"/>
        </w:rPr>
      </w:pPr>
      <w:r>
        <w:rPr>
          <w:rFonts w:ascii="Arial" w:hAnsi="Arial" w:cs="Arial"/>
          <w:lang w:val="en-GB"/>
        </w:rPr>
        <w:t>The corresponding LS text is as follows:</w:t>
      </w:r>
    </w:p>
    <w:p>
      <w:pPr>
        <w:ind w:left="567"/>
        <w:rPr>
          <w:rFonts w:ascii="Arial" w:hAnsi="Arial" w:cs="Arial"/>
          <w:lang w:val="en-GB"/>
        </w:rPr>
      </w:pPr>
    </w:p>
    <w:p>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CSI-SSB-ResourceSet</w:t>
      </w:r>
      <w:r>
        <w:rPr>
          <w:rFonts w:ascii="Arial" w:hAnsi="Arial" w:cs="Arial"/>
        </w:rPr>
        <w:t xml:space="preserve"> to be associated with different </w:t>
      </w:r>
      <w:r>
        <w:rPr>
          <w:rFonts w:ascii="Arial" w:hAnsi="Arial" w:cs="Arial"/>
          <w:i/>
          <w:iCs/>
        </w:rPr>
        <w:t>additionalPCI</w:t>
      </w:r>
      <w:r>
        <w:rPr>
          <w:rFonts w:ascii="Arial" w:hAnsi="Arial" w:cs="Arial"/>
        </w:rPr>
        <w:t>?</w:t>
      </w:r>
    </w:p>
    <w:p>
      <w:pPr>
        <w:spacing w:after="120"/>
        <w:ind w:left="720"/>
        <w:rPr>
          <w:rFonts w:ascii="Arial" w:hAnsi="Arial" w:cs="Arial"/>
          <w:b/>
          <w:bCs/>
        </w:rPr>
      </w:pPr>
      <w:r>
        <w:rPr>
          <w:rFonts w:ascii="Arial" w:hAnsi="Arial" w:cs="Arial"/>
          <w:b/>
          <w:bCs/>
        </w:rPr>
        <w:t xml:space="preserve">Answer 1.13: </w:t>
      </w:r>
    </w:p>
    <w:p>
      <w:pPr>
        <w:spacing w:after="120"/>
        <w:ind w:left="720"/>
        <w:rPr>
          <w:rFonts w:ascii="Arial" w:hAnsi="Arial" w:cs="Arial"/>
          <w:bCs/>
        </w:rPr>
      </w:pPr>
      <w:r>
        <w:rPr>
          <w:rFonts w:ascii="Arial" w:hAnsi="Arial" w:cs="Arial"/>
          <w:bCs/>
        </w:rPr>
        <w:t>Yes, it should be possible that different SSB indexes in the same CSI-SSB-ResourceSet are associated with different additionalPCI.</w:t>
      </w:r>
    </w:p>
    <w:p>
      <w:pPr>
        <w:rPr>
          <w:rFonts w:ascii="Arial" w:hAnsi="Arial" w:cs="Arial"/>
          <w:lang w:val="en-GB"/>
        </w:rPr>
      </w:pPr>
      <w:r>
        <w:rPr>
          <w:rFonts w:ascii="Arial" w:hAnsi="Arial" w:cs="Arial"/>
          <w:lang w:val="en-GB"/>
        </w:rPr>
        <w:t>The LS response says quite clearly that the different SSB indexes can be associated with different additionalPCI. The additionalPCI does not include serving cell PCI by definition.</w:t>
      </w:r>
    </w:p>
    <w:p>
      <w:pPr>
        <w:pStyle w:val="78"/>
        <w:rPr>
          <w:b/>
          <w:i/>
          <w:highlight w:val="yellow"/>
          <w:lang w:eastAsia="sv-SE"/>
        </w:rPr>
      </w:pPr>
      <w:r>
        <w:rPr>
          <w:b/>
          <w:i/>
          <w:highlight w:val="yellow"/>
          <w:lang w:eastAsia="sv-SE"/>
        </w:rPr>
        <w:t>additionalPCI</w:t>
      </w:r>
    </w:p>
    <w:p>
      <w:pPr>
        <w:rPr>
          <w:rFonts w:ascii="Arial" w:hAnsi="Arial" w:cs="Arial"/>
          <w:lang w:val="en-GB"/>
        </w:rPr>
      </w:pPr>
      <w:r>
        <w:rPr>
          <w:highlight w:val="yellow"/>
          <w:lang w:eastAsia="sv-SE"/>
        </w:rPr>
        <w:t>PCI of the additional SSB different from serving cell PCI.</w:t>
      </w:r>
    </w:p>
    <w:p>
      <w:pPr>
        <w:rPr>
          <w:rFonts w:ascii="Arial" w:hAnsi="Arial" w:cs="Arial"/>
          <w:lang w:val="en-GB"/>
        </w:rPr>
      </w:pPr>
      <w:r>
        <w:rPr>
          <w:rFonts w:ascii="Arial" w:hAnsi="Arial" w:cs="Arial"/>
          <w:lang w:val="en-GB"/>
        </w:rPr>
        <w:t>Hence there is contradiction between RAN1 response to Ran2 and what RAN1 has specified in TS 38.214 refferred to in R2-2205916.</w:t>
      </w:r>
    </w:p>
    <w:p>
      <w:pPr>
        <w:rPr>
          <w:rFonts w:ascii="Arial" w:hAnsi="Arial" w:cs="Arial"/>
          <w:lang w:val="en-GB"/>
        </w:rPr>
      </w:pPr>
    </w:p>
    <w:p>
      <w:pPr>
        <w:ind w:left="567"/>
        <w:rPr>
          <w:rFonts w:ascii="Times New Roman" w:hAnsi="Times New Roman" w:cs="Times New Roman"/>
          <w:b/>
          <w:i/>
          <w:szCs w:val="20"/>
          <w:highlight w:val="green"/>
          <w:lang w:eastAsia="zh-CN"/>
        </w:rPr>
      </w:pPr>
      <w:r>
        <w:rPr>
          <w:b/>
          <w:i/>
          <w:highlight w:val="green"/>
          <w:lang w:eastAsia="zh-CN"/>
        </w:rPr>
        <w:t>TS 38.214 V17.1.0, Clause 5.2.1.4.2</w:t>
      </w:r>
    </w:p>
    <w:p>
      <w:pPr>
        <w:ind w:left="567"/>
        <w:rPr>
          <w:rFonts w:ascii="Arial" w:hAnsi="Arial" w:cs="Arial"/>
          <w:lang w:val="en-GB"/>
        </w:rPr>
      </w:pPr>
      <w:r>
        <w:rPr>
          <w:color w:val="000000" w:themeColor="text1"/>
          <w14:textFill>
            <w14:solidFill>
              <w14:schemeClr w14:val="tx1"/>
            </w14:solidFill>
          </w14:textFill>
        </w:rPr>
        <w:t>If the UE is configured with the higher layer parameter [</w:t>
      </w:r>
      <w:r>
        <w:rPr>
          <w:i/>
          <w:iCs/>
          <w:color w:val="000000" w:themeColor="text1"/>
          <w14:textFill>
            <w14:solidFill>
              <w14:schemeClr w14:val="tx1"/>
            </w14:solidFill>
          </w14:textFill>
        </w:rPr>
        <w:t>NumberOfAdditionalPCI</w:t>
      </w:r>
      <w:r>
        <w:rPr>
          <w:color w:val="000000" w:themeColor="text1"/>
          <w14:textFill>
            <w14:solidFill>
              <w14:schemeClr w14:val="tx1"/>
            </w14:solidFill>
          </w14:textFill>
        </w:rPr>
        <w:t xml:space="preserve">], the UE is allowed to report in </w:t>
      </w:r>
      <w:r>
        <w:rPr>
          <w:color w:val="000000" w:themeColor="text1"/>
          <w:highlight w:val="cyan"/>
          <w14:textFill>
            <w14:solidFill>
              <w14:schemeClr w14:val="tx1"/>
            </w14:solidFill>
          </w14:textFill>
        </w:rPr>
        <w:t>a single reporting instance</w:t>
      </w:r>
      <w:r>
        <w:rPr>
          <w:color w:val="000000" w:themeColor="text1"/>
          <w14:textFill>
            <w14:solidFill>
              <w14:schemeClr w14:val="tx1"/>
            </w14:solidFill>
          </w14:textFill>
        </w:rPr>
        <w:t xml:space="preserve"> up to four SSBRIs for each report setting, where SSB resources are associated with PCI indices referring to the </w:t>
      </w:r>
      <w:r>
        <w:rPr>
          <w:color w:val="000000" w:themeColor="text1"/>
          <w:highlight w:val="cyan"/>
          <w14:textFill>
            <w14:solidFill>
              <w14:schemeClr w14:val="tx1"/>
            </w14:solidFill>
          </w14:textFill>
        </w:rPr>
        <w:t>PCI of the serving cell and PCI(s) different from the PCI of the serving cell</w:t>
      </w:r>
      <w:r>
        <w:rPr>
          <w:color w:val="000000" w:themeColor="text1"/>
          <w14:textFill>
            <w14:solidFill>
              <w14:schemeClr w14:val="tx1"/>
            </w14:solidFill>
          </w14:textFill>
        </w:rPr>
        <w:t xml:space="preserve"> within the set of PCIs configured.</w:t>
      </w:r>
    </w:p>
    <w:p>
      <w:pPr>
        <w:rPr>
          <w:rFonts w:ascii="Arial" w:hAnsi="Arial" w:cs="Arial"/>
          <w:lang w:val="en-GB"/>
        </w:rPr>
      </w:pPr>
    </w:p>
    <w:p>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R2-2204599 suggests not to agree on this TP.</w:t>
      </w:r>
    </w:p>
    <w:p/>
    <w:p>
      <w:pPr>
        <w:rPr>
          <w:b/>
          <w:bCs/>
          <w:sz w:val="24"/>
          <w:szCs w:val="24"/>
        </w:rPr>
      </w:pPr>
      <w:r>
        <w:rPr>
          <w:b/>
          <w:bCs/>
          <w:sz w:val="24"/>
          <w:szCs w:val="24"/>
        </w:rPr>
        <w:t>Q2: Please give your view whether</w:t>
      </w:r>
    </w:p>
    <w:p>
      <w:pPr>
        <w:pStyle w:val="133"/>
        <w:numPr>
          <w:ilvl w:val="0"/>
          <w:numId w:val="14"/>
        </w:numPr>
        <w:rPr>
          <w:b/>
          <w:bCs/>
          <w:sz w:val="24"/>
          <w:szCs w:val="24"/>
        </w:rPr>
      </w:pPr>
      <w:r>
        <w:rPr>
          <w:b/>
          <w:bCs/>
          <w:sz w:val="24"/>
          <w:szCs w:val="24"/>
        </w:rPr>
        <w:t>RAN2 should agree on TP in R2-2205916(also in Annex here)</w:t>
      </w:r>
    </w:p>
    <w:p>
      <w:pPr>
        <w:pStyle w:val="133"/>
        <w:numPr>
          <w:ilvl w:val="0"/>
          <w:numId w:val="14"/>
        </w:numPr>
        <w:rPr>
          <w:b/>
          <w:bCs/>
          <w:sz w:val="24"/>
          <w:szCs w:val="24"/>
        </w:rPr>
      </w:pPr>
      <w:r>
        <w:rPr>
          <w:b/>
          <w:bCs/>
          <w:sz w:val="24"/>
          <w:szCs w:val="24"/>
          <w:lang w:val="fi-FI"/>
        </w:rPr>
        <w:t>LS to RAN1 is needed and what should be the content</w:t>
      </w:r>
      <w:r>
        <w:rPr>
          <w:b/>
          <w:bCs/>
          <w:sz w:val="24"/>
          <w:szCs w:val="24"/>
        </w:rPr>
        <w:br w:type="textWrapping"/>
      </w:r>
    </w:p>
    <w:p/>
    <w:tbl>
      <w:tblPr>
        <w:tblStyle w:val="51"/>
        <w:tblW w:w="10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3945"/>
        <w:gridCol w:w="53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3945"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numPr>
                <w:ilvl w:val="0"/>
                <w:numId w:val="15"/>
              </w:numPr>
              <w:spacing w:before="20" w:after="20"/>
              <w:ind w:right="57"/>
              <w:jc w:val="left"/>
            </w:pPr>
            <w:r>
              <w:rPr>
                <w:lang w:val="fi-FI"/>
              </w:rPr>
              <w:t>Agree the TP</w:t>
            </w:r>
            <w:r>
              <w:t xml:space="preserve"> </w:t>
            </w:r>
          </w:p>
        </w:tc>
        <w:tc>
          <w:tcPr>
            <w:tcW w:w="5375"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numPr>
                <w:ilvl w:val="0"/>
                <w:numId w:val="15"/>
              </w:numPr>
              <w:spacing w:before="20" w:after="20"/>
              <w:ind w:right="57"/>
              <w:jc w:val="left"/>
              <w:rPr>
                <w:lang w:val="fi-FI"/>
              </w:rPr>
            </w:pPr>
            <w:r>
              <w:rPr>
                <w:lang w:val="fi-FI"/>
              </w:rPr>
              <w:t xml:space="preserve">Views whether LS to RAN1 is needed and what should be the content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fi-FI" w:eastAsia="zh-CN"/>
              </w:rPr>
              <w:t>Ericsson</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fi-FI" w:eastAsia="zh-CN"/>
              </w:rPr>
              <w:t xml:space="preserve">TP is not necessary </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fi-FI" w:eastAsia="zh-CN"/>
              </w:rPr>
              <w:t>To inform RAN1 RAN2 has specified the feature according to information received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en-US" w:eastAsia="zh-CN"/>
              </w:rPr>
              <w:t>Intel</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en-US" w:eastAsia="zh-CN"/>
              </w:rPr>
              <w:t xml:space="preserve">Intention of TP is ok. But think that we can still make serving cell ID absent by changing structure of </w:t>
            </w:r>
            <w:ins w:id="0" w:author="Huawei, HiSilicon" w:date="2022-04-26T22:10:00Z">
              <w:r>
                <w:rPr/>
                <w:t>servingA</w:t>
              </w:r>
            </w:ins>
            <w:del w:id="1" w:author="Huawei, HiSilicon" w:date="2022-04-26T22:10:00Z">
              <w:r>
                <w:rPr/>
                <w:delText>a</w:delText>
              </w:r>
            </w:del>
            <w:r>
              <w:t xml:space="preserve">dditionalPCIList-r17 </w:t>
            </w:r>
            <w:r>
              <w:rPr>
                <w:rFonts w:eastAsia="宋体"/>
                <w:lang w:val="en-US" w:eastAsia="zh-CN"/>
              </w:rPr>
              <w:t>?</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en-US" w:eastAsia="zh-CN"/>
              </w:rPr>
              <w:t xml:space="preserve">Our RAN1 believes that there is no restriction discussed in RAN1 for SSB and thus, it should be possible to associate with serving cell ID.  If majority of companies are not confident, we would be ok to send LS to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PMingLiU"/>
                <w:lang w:val="en-US" w:eastAsia="zh-TW"/>
              </w:rPr>
            </w:pPr>
            <w:r>
              <w:rPr>
                <w:rFonts w:hint="eastAsia" w:eastAsia="PMingLiU"/>
                <w:lang w:val="en-US" w:eastAsia="zh-TW"/>
              </w:rPr>
              <w:t>W</w:t>
            </w:r>
            <w:r>
              <w:rPr>
                <w:rFonts w:eastAsia="PMingLiU"/>
                <w:lang w:val="en-US" w:eastAsia="zh-TW"/>
              </w:rPr>
              <w:t>e may inform RAN1 that current structure can support the case mentioned.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lang w:eastAsia="ko-KR"/>
              </w:rPr>
            </w:pPr>
            <w:r>
              <w:rPr>
                <w:rFonts w:hint="eastAsia" w:eastAsia="Malgun Gothic"/>
                <w:lang w:eastAsia="ko-KR"/>
              </w:rPr>
              <w:t>LGE</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eastAsia="Malgun Gothic"/>
                <w:lang w:eastAsia="ko-KR"/>
              </w:rPr>
            </w:pPr>
            <w:r>
              <w:rPr>
                <w:rFonts w:eastAsia="Malgun Gothic"/>
                <w:lang w:eastAsia="ko-KR"/>
              </w:rPr>
              <w:t xml:space="preserve">We agree with the intention of TP, and Intel’s suggestion is also fine. </w:t>
            </w:r>
          </w:p>
          <w:p>
            <w:pPr>
              <w:pStyle w:val="79"/>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pPr>
              <w:pStyle w:val="79"/>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eastAsia="Malgun Gothic"/>
                <w:lang w:eastAsia="ko-KR"/>
              </w:rPr>
            </w:pPr>
            <w:r>
              <w:rPr>
                <w:rFonts w:hint="eastAsia" w:eastAsia="Malgun Gothic"/>
                <w:lang w:eastAsia="ko-KR"/>
              </w:rPr>
              <w:t xml:space="preserve">We can </w:t>
            </w:r>
            <w:r>
              <w:rPr>
                <w:rFonts w:eastAsia="Malgun Gothic"/>
                <w:lang w:eastAsia="ko-KR"/>
              </w:rPr>
              <w:t xml:space="preserve">simply </w:t>
            </w:r>
            <w:r>
              <w:rPr>
                <w:rFonts w:hint="eastAsia" w:eastAsia="Malgun Gothic"/>
                <w:lang w:eastAsia="ko-KR"/>
              </w:rPr>
              <w:t xml:space="preserve">inform </w:t>
            </w:r>
            <w:r>
              <w:rPr>
                <w:rFonts w:eastAsia="Malgun Gothic"/>
                <w:lang w:eastAsia="ko-KR"/>
              </w:rPr>
              <w:t xml:space="preserve">both </w:t>
            </w:r>
            <w:r>
              <w:rPr>
                <w:rFonts w:hint="eastAsia" w:eastAsia="Malgun Gothic"/>
                <w:lang w:eastAsia="ko-KR"/>
              </w:rPr>
              <w:t xml:space="preserve">the current structure </w:t>
            </w:r>
            <w:r>
              <w:rPr>
                <w:rFonts w:eastAsia="Malgun Gothic"/>
                <w:lang w:eastAsia="ko-KR"/>
              </w:rPr>
              <w:t xml:space="preserve">and alternative </w:t>
            </w:r>
            <w:r>
              <w:rPr>
                <w:rFonts w:hint="eastAsia" w:eastAsia="Malgun Gothic"/>
                <w:lang w:eastAsia="ko-KR"/>
              </w:rPr>
              <w:t xml:space="preserve">and ask </w:t>
            </w:r>
            <w:r>
              <w:rPr>
                <w:rFonts w:eastAsia="Malgun Gothic"/>
                <w:lang w:eastAsia="ko-KR"/>
              </w:rPr>
              <w:t xml:space="preserve">their preference, so that we can just take the RAN1 preference. </w:t>
            </w:r>
            <w:r>
              <w:rPr>
                <w:rFonts w:hint="eastAsia" w:eastAsia="Malgun Gothic"/>
                <w:lang w:eastAsia="ko-K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s="Arial"/>
                <w:lang w:eastAsia="ko-KR"/>
              </w:rPr>
            </w:pPr>
            <w:r>
              <w:rPr>
                <w:rFonts w:eastAsia="바탕체" w:cs="Arial"/>
                <w:lang w:eastAsia="ko-KR"/>
              </w:rPr>
              <w:t>Samsung</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Malgun Gothic"/>
                <w:lang w:eastAsia="ko-KR"/>
              </w:rPr>
            </w:pPr>
            <w:r>
              <w:rPr>
                <w:rFonts w:hint="eastAsia" w:eastAsia="Malgun Gothic"/>
                <w:lang w:eastAsia="ko-KR"/>
              </w:rPr>
              <w:t>Same vie with Intel</w:t>
            </w:r>
            <w:r>
              <w:rPr>
                <w:rFonts w:eastAsia="Malgun Gothic"/>
                <w:lang w:eastAsia="ko-KR"/>
              </w:rPr>
              <w:t xml:space="preserve"> and LG</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Malgun Gothic"/>
                <w:lang w:eastAsia="ko-KR"/>
              </w:rPr>
            </w:pPr>
            <w:r>
              <w:rPr>
                <w:rFonts w:eastAsia="宋体"/>
                <w:lang w:eastAsia="zh-CN"/>
              </w:rPr>
              <w:t>Same view with MediaTek, if RAN1 have concerns on the LS we think RAN1 will point out the view on our structure.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ZTE</w:t>
            </w: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eastAsia" w:eastAsia="宋体"/>
                <w:lang w:val="en-US" w:eastAsia="zh-CN"/>
              </w:rPr>
            </w:pPr>
            <w:r>
              <w:rPr>
                <w:rFonts w:hint="eastAsia" w:eastAsia="宋体"/>
                <w:lang w:val="en-US" w:eastAsia="zh-CN"/>
              </w:rPr>
              <w:t>WE agree with the intention of TP.</w:t>
            </w:r>
          </w:p>
          <w:p>
            <w:pPr>
              <w:pStyle w:val="79"/>
              <w:spacing w:before="20" w:after="20"/>
              <w:ind w:left="57" w:right="57"/>
              <w:jc w:val="left"/>
              <w:rPr>
                <w:rFonts w:hint="eastAsia"/>
                <w:lang w:val="en-US" w:eastAsia="zh-CN"/>
              </w:rPr>
            </w:pPr>
            <w:r>
              <w:rPr>
                <w:rFonts w:hint="eastAsia" w:eastAsia="宋体"/>
                <w:lang w:val="en-US" w:eastAsia="zh-CN"/>
              </w:rPr>
              <w:t xml:space="preserve">Just have a suggestion on </w:t>
            </w:r>
            <w:r>
              <w:rPr>
                <w:rFonts w:hint="default" w:eastAsia="宋体"/>
                <w:lang w:val="en-US" w:eastAsia="zh-CN"/>
              </w:rPr>
              <w:t>‘</w:t>
            </w:r>
            <w:ins w:id="2" w:author="Huawei, HiSilicon" w:date="2022-04-26T22:11:00Z">
              <w:r>
                <w:rPr/>
                <w:t>Serving</w:t>
              </w:r>
            </w:ins>
            <w:r>
              <w:t>AdditionalPCIIndex-r17</w:t>
            </w:r>
            <w:r>
              <w:rPr>
                <w:rFonts w:hint="default"/>
                <w:lang w:val="en-US" w:eastAsia="zh-CN"/>
              </w:rPr>
              <w:t>’</w:t>
            </w:r>
            <w:r>
              <w:rPr>
                <w:rFonts w:hint="eastAsia"/>
                <w:lang w:val="en-US" w:eastAsia="zh-CN"/>
              </w:rPr>
              <w:t xml:space="preserve"> in the TP.</w:t>
            </w:r>
          </w:p>
          <w:p>
            <w:pPr>
              <w:pStyle w:val="79"/>
              <w:spacing w:before="20" w:after="20"/>
              <w:ind w:right="57"/>
              <w:jc w:val="left"/>
              <w:rPr>
                <w:rFonts w:hint="eastAsia"/>
                <w:lang w:val="en-US" w:eastAsia="zh-CN"/>
              </w:rPr>
            </w:pPr>
            <w:r>
              <w:rPr>
                <w:rFonts w:hint="eastAsia"/>
                <w:lang w:val="en-US" w:eastAsia="zh-CN"/>
              </w:rPr>
              <w:t>In the TP, the value 0 of the servingAdditionalPCIIndex-r17 is to represent the serving cell the CSI-SSB-ResourceSet belong to,and other values are to represent the indicated non-serving cell. That</w:t>
            </w:r>
            <w:r>
              <w:rPr>
                <w:rFonts w:hint="default"/>
                <w:lang w:val="en-US" w:eastAsia="zh-CN"/>
              </w:rPr>
              <w:t>’</w:t>
            </w:r>
            <w:r>
              <w:rPr>
                <w:rFonts w:hint="eastAsia"/>
                <w:lang w:val="en-US" w:eastAsia="zh-CN"/>
              </w:rPr>
              <w:t xml:space="preserve">s why we also need change the value range of the additionalPCIIndex in SSB-MTC from {0, </w:t>
            </w:r>
            <w:r>
              <w:t>maxNrofAdditionalPCI-r17</w:t>
            </w:r>
            <w:r>
              <w:rPr>
                <w:rFonts w:hint="eastAsia"/>
                <w:lang w:val="en-US" w:eastAsia="zh-CN"/>
              </w:rPr>
              <w:t>-1} to {</w:t>
            </w:r>
            <w:ins w:id="3" w:author="ZTE DF" w:date="2022-05-10T15:18:07Z">
              <w:r>
                <w:rPr>
                  <w:rFonts w:hint="eastAsia"/>
                  <w:lang w:val="en-US" w:eastAsia="zh-CN"/>
                </w:rPr>
                <w:t>1</w:t>
              </w:r>
            </w:ins>
            <w:del w:id="4" w:author="ZTE DF" w:date="2022-05-10T15:18:07Z">
              <w:r>
                <w:rPr>
                  <w:rFonts w:hint="eastAsia"/>
                  <w:lang w:val="en-US" w:eastAsia="zh-CN"/>
                </w:rPr>
                <w:delText>0</w:delText>
              </w:r>
            </w:del>
            <w:r>
              <w:rPr>
                <w:rFonts w:hint="eastAsia"/>
                <w:lang w:val="en-US" w:eastAsia="zh-CN"/>
              </w:rPr>
              <w:t xml:space="preserve">, </w:t>
            </w:r>
            <w:ins w:id="5" w:author="Huawei, HiSilicon" w:date="2022-04-26T22:12:00Z">
              <w:r>
                <w:rPr/>
                <w:t>maxNrofAdditionalPCI-r17</w:t>
              </w:r>
            </w:ins>
            <w:r>
              <w:rPr>
                <w:rFonts w:hint="eastAsia"/>
                <w:lang w:val="en-US" w:eastAsia="zh-CN"/>
              </w:rPr>
              <w:t>}</w:t>
            </w:r>
          </w:p>
          <w:p>
            <w:pPr>
              <w:pStyle w:val="79"/>
              <w:spacing w:before="20" w:after="20"/>
              <w:ind w:right="57"/>
              <w:jc w:val="left"/>
              <w:rPr>
                <w:rFonts w:hint="default"/>
                <w:lang w:val="en-US" w:eastAsia="zh-CN"/>
              </w:rPr>
            </w:pPr>
            <w:r>
              <w:rPr>
                <w:rFonts w:hint="eastAsia"/>
                <w:lang w:val="en-US" w:eastAsia="zh-CN"/>
              </w:rPr>
              <w:t xml:space="preserve">For minimizing the impact from the correction, we suggest to use the value </w:t>
            </w:r>
            <w:ins w:id="6" w:author="Huawei, HiSilicon" w:date="2022-04-26T22:12:00Z">
              <w:r>
                <w:rPr/>
                <w:t>maxNrofAdditionalPCI-r17</w:t>
              </w:r>
            </w:ins>
            <w:r>
              <w:rPr>
                <w:rFonts w:hint="eastAsia"/>
                <w:lang w:val="en-US" w:eastAsia="zh-CN"/>
              </w:rPr>
              <w:t xml:space="preserve"> of servingAdditionalPCIIndex-r17 to represent the serving cell the CSI-SSB-ResourceSet</w:t>
            </w:r>
            <w:bookmarkStart w:id="6" w:name="_GoBack"/>
            <w:bookmarkEnd w:id="6"/>
            <w:r>
              <w:rPr>
                <w:rFonts w:hint="eastAsia"/>
                <w:lang w:val="en-US" w:eastAsia="zh-CN"/>
              </w:rPr>
              <w:t xml:space="preserve"> belong to, then the </w:t>
            </w:r>
            <w:r>
              <w:rPr>
                <w:rFonts w:hint="eastAsia"/>
                <w:i/>
                <w:iCs/>
                <w:lang w:val="en-US" w:eastAsia="zh-CN"/>
              </w:rPr>
              <w:t xml:space="preserve">additionalPCIIndex </w:t>
            </w:r>
            <w:r>
              <w:rPr>
                <w:rFonts w:hint="eastAsia"/>
                <w:i w:val="0"/>
                <w:iCs w:val="0"/>
                <w:lang w:val="en-US" w:eastAsia="zh-CN"/>
              </w:rPr>
              <w:t>can be kept as it is.</w:t>
            </w: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We are not sure whether the LS is needed since the change is caused by the answer from a question we asked them. If companies think we still have two interpretations as we discussed during online, we can send it to RAN1 for confirmation. Otherwise, there is no need for us to send the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GB"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highlight w:val="lightGray"/>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ascii="Times New Roman" w:hAnsi="Times New Roman"/>
                <w:sz w:val="20"/>
                <w:szCs w:val="20"/>
                <w:lang w:val="en-GB"/>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Malgun Gothic"/>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ja-JP"/>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ja-JP"/>
              </w:rPr>
            </w:pPr>
          </w:p>
        </w:tc>
        <w:tc>
          <w:tcPr>
            <w:tcW w:w="394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c>
          <w:tcPr>
            <w:tcW w:w="5375" w:type="dxa"/>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color w:val="000000"/>
                <w:lang w:eastAsia="zh-CN"/>
              </w:rPr>
            </w:pPr>
          </w:p>
        </w:tc>
      </w:tr>
    </w:tbl>
    <w:p>
      <w:pPr>
        <w:rPr>
          <w:u w:val="single"/>
        </w:rPr>
      </w:pPr>
    </w:p>
    <w:bookmarkEnd w:id="0"/>
    <w:bookmarkEnd w:id="1"/>
    <w:bookmarkEnd w:id="2"/>
    <w:p>
      <w:pPr>
        <w:pStyle w:val="15"/>
      </w:pPr>
    </w:p>
    <w:p>
      <w:pPr>
        <w:pStyle w:val="2"/>
        <w:rPr>
          <w:lang w:val="en-US"/>
        </w:rPr>
      </w:pPr>
      <w:r>
        <w:rPr>
          <w:lang w:val="en-US"/>
        </w:rPr>
        <w:t>Conclusion</w:t>
      </w:r>
    </w:p>
    <w:p>
      <w:pPr>
        <w:pStyle w:val="15"/>
        <w:rPr>
          <w:b/>
        </w:rPr>
      </w:pPr>
      <w:r>
        <w:t>In the previous sections we made the following observations:</w:t>
      </w:r>
      <w:r>
        <w:rPr>
          <w:b/>
        </w:rPr>
        <w:t xml:space="preserve"> </w:t>
      </w:r>
    </w:p>
    <w:p>
      <w:pPr>
        <w:pStyle w:val="15"/>
        <w:rPr>
          <w:lang w:eastAsia="ja-JP"/>
        </w:rPr>
      </w:pPr>
      <w:bookmarkStart w:id="3" w:name="_In-sequence_SDU_delivery"/>
      <w:bookmarkEnd w:id="3"/>
    </w:p>
    <w:p>
      <w:pPr>
        <w:pStyle w:val="71"/>
        <w:ind w:left="420" w:firstLine="0"/>
        <w:rPr>
          <w:rFonts w:eastAsia="等线"/>
          <w:sz w:val="18"/>
          <w:lang w:eastAsia="zh-CN"/>
        </w:rPr>
      </w:pPr>
    </w:p>
    <w:p>
      <w:pPr>
        <w:pStyle w:val="133"/>
        <w:keepNext/>
        <w:keepLines/>
        <w:numPr>
          <w:ilvl w:val="0"/>
          <w:numId w:val="16"/>
        </w:numPr>
        <w:pBdr>
          <w:top w:val="single" w:color="auto" w:sz="12" w:space="0"/>
        </w:pBdr>
        <w:spacing w:after="120" w:line="240" w:lineRule="auto"/>
        <w:outlineLvl w:val="0"/>
        <w:rPr>
          <w:rFonts w:ascii="Arial" w:hAnsi="Arial" w:eastAsia="宋体" w:cs="Arial"/>
          <w:sz w:val="36"/>
        </w:rPr>
      </w:pPr>
      <w:r>
        <w:rPr>
          <w:rFonts w:ascii="Arial" w:hAnsi="Arial" w:eastAsia="宋体" w:cs="Arial"/>
          <w:sz w:val="36"/>
        </w:rPr>
        <w:t>Annex</w:t>
      </w:r>
      <w:r>
        <w:t xml:space="preserve">: </w:t>
      </w:r>
      <w:r>
        <w:rPr>
          <w:rFonts w:ascii="Arial" w:hAnsi="Arial" w:eastAsia="宋体" w:cs="Arial"/>
          <w:sz w:val="36"/>
        </w:rPr>
        <w:t>Text Proposal to TS 38.331</w:t>
      </w:r>
    </w:p>
    <w:p>
      <w:pPr>
        <w:keepNext/>
        <w:keepLines/>
        <w:overflowPunct w:val="0"/>
        <w:adjustRightInd w:val="0"/>
        <w:spacing w:before="120"/>
        <w:ind w:left="1418" w:hanging="1418"/>
        <w:textAlignment w:val="baseline"/>
        <w:outlineLvl w:val="3"/>
        <w:rPr>
          <w:rFonts w:ascii="Arial" w:hAnsi="Arial" w:eastAsia="Times New Roman"/>
          <w:sz w:val="24"/>
          <w:lang w:eastAsia="ja-JP"/>
        </w:rPr>
      </w:pPr>
    </w:p>
    <w:p>
      <w:pPr>
        <w:keepNext/>
        <w:keepLines/>
        <w:overflowPunct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 CSI-SSB-ResourceSet</w:t>
      </w:r>
    </w:p>
    <w:p>
      <w:r>
        <w:t xml:space="preserve">The IE </w:t>
      </w:r>
      <w:r>
        <w:rPr>
          <w:i/>
        </w:rPr>
        <w:t>CSI-SSB-ResourceSet</w:t>
      </w:r>
      <w:r>
        <w:t xml:space="preserve"> is used to configure one SS/PBCH block resource set which refers to SS/PBCH as indicated in </w:t>
      </w:r>
      <w:r>
        <w:rPr>
          <w:i/>
        </w:rPr>
        <w:t>ServingCellConfigCommon</w:t>
      </w:r>
      <w:ins w:id="7" w:author="Huawei, HiSilicon" w:date="2022-04-26T22:09:00Z">
        <w:r>
          <w:rPr>
            <w:i/>
          </w:rPr>
          <w:t xml:space="preserve"> </w:t>
        </w:r>
      </w:ins>
      <w:ins w:id="8" w:author="Huawei, HiSilicon" w:date="2022-04-26T22:09:00Z">
        <w:r>
          <w:rPr/>
          <w:t xml:space="preserve">and </w:t>
        </w:r>
      </w:ins>
      <w:ins w:id="9" w:author="Huawei, HiSilicon" w:date="2022-04-26T22:10:00Z">
        <w:r>
          <w:rPr>
            <w:i/>
          </w:rPr>
          <w:t>ServingCellConfig</w:t>
        </w:r>
      </w:ins>
      <w:r>
        <w:t>.</w:t>
      </w:r>
    </w:p>
    <w:p>
      <w:pPr>
        <w:pStyle w:val="83"/>
      </w:pPr>
      <w:r>
        <w:rPr>
          <w:i/>
        </w:rPr>
        <w:t>CSI-SSB-ResourceSet</w:t>
      </w:r>
      <w:r>
        <w:t xml:space="preserve"> information element</w:t>
      </w:r>
    </w:p>
    <w:p>
      <w:pPr>
        <w:pStyle w:val="137"/>
      </w:pPr>
      <w:r>
        <w:t>-- ASN1START</w:t>
      </w:r>
    </w:p>
    <w:p>
      <w:pPr>
        <w:pStyle w:val="137"/>
      </w:pPr>
      <w:r>
        <w:t>-- TAG-CSI-SSB-RESOURCESET-START</w:t>
      </w:r>
    </w:p>
    <w:p>
      <w:pPr>
        <w:pStyle w:val="137"/>
      </w:pPr>
    </w:p>
    <w:p>
      <w:pPr>
        <w:pStyle w:val="137"/>
      </w:pPr>
      <w:r>
        <w:t>CSI-SSB-ResourceSet ::=             SEQUENCE {</w:t>
      </w:r>
    </w:p>
    <w:p>
      <w:pPr>
        <w:pStyle w:val="137"/>
      </w:pPr>
      <w:r>
        <w:t xml:space="preserve">    csi-SSB-ResourceSetId               CSI-SSB-ResourceSetId,</w:t>
      </w:r>
    </w:p>
    <w:p>
      <w:pPr>
        <w:pStyle w:val="137"/>
      </w:pPr>
      <w:r>
        <w:t xml:space="preserve">    csi-SSB-ResourceList                SEQUENCE (SIZE(1..maxNrofCSI-SSB-ResourcePerSet)) OF SSB-Index,</w:t>
      </w:r>
    </w:p>
    <w:p>
      <w:pPr>
        <w:pStyle w:val="137"/>
      </w:pPr>
      <w:r>
        <w:t xml:space="preserve">    ...,</w:t>
      </w:r>
    </w:p>
    <w:p>
      <w:pPr>
        <w:pStyle w:val="137"/>
      </w:pPr>
      <w:r>
        <w:t xml:space="preserve">    [[</w:t>
      </w:r>
    </w:p>
    <w:p>
      <w:pPr>
        <w:pStyle w:val="137"/>
        <w:rPr>
          <w:color w:val="808080"/>
        </w:rPr>
      </w:pPr>
      <w:r>
        <w:t xml:space="preserve">    </w:t>
      </w:r>
      <w:ins w:id="10" w:author="Huawei, HiSilicon" w:date="2022-04-26T22:10:00Z">
        <w:r>
          <w:rPr/>
          <w:t>servingA</w:t>
        </w:r>
      </w:ins>
      <w:del w:id="11" w:author="Huawei, HiSilicon" w:date="2022-04-26T22:10:00Z">
        <w:r>
          <w:rPr/>
          <w:delText>a</w:delText>
        </w:r>
      </w:del>
      <w:r>
        <w:t xml:space="preserve">dditionalPCIList-r17           SEQUENCE (SIZE(1..maxNrofCSI-SSB-ResourcePerSet)) OF  </w:t>
      </w:r>
      <w:ins w:id="12" w:author="Huawei, HiSilicon" w:date="2022-04-26T22:11:00Z">
        <w:r>
          <w:rPr/>
          <w:t>Serving</w:t>
        </w:r>
      </w:ins>
      <w:r>
        <w:t xml:space="preserve">AdditionalPCIIndex-r17    </w:t>
      </w:r>
      <w:r>
        <w:rPr>
          <w:color w:val="993366"/>
        </w:rPr>
        <w:t>OPTIONAL</w:t>
      </w:r>
      <w:r>
        <w:t xml:space="preserve">  -- Need R</w:t>
      </w:r>
    </w:p>
    <w:p>
      <w:pPr>
        <w:pStyle w:val="137"/>
      </w:pPr>
      <w:r>
        <w:t xml:space="preserve">    ]]</w:t>
      </w:r>
    </w:p>
    <w:p>
      <w:pPr>
        <w:pStyle w:val="137"/>
      </w:pPr>
      <w:r>
        <w:t>}</w:t>
      </w:r>
    </w:p>
    <w:p>
      <w:pPr>
        <w:pStyle w:val="137"/>
        <w:rPr>
          <w:ins w:id="13" w:author="Huawei, HiSilicon" w:date="2022-04-26T22:11:00Z"/>
        </w:rPr>
      </w:pPr>
    </w:p>
    <w:p>
      <w:pPr>
        <w:pStyle w:val="137"/>
        <w:rPr>
          <w:ins w:id="14" w:author="Huawei, HiSilicon" w:date="2022-04-26T22:11:00Z"/>
        </w:rPr>
      </w:pPr>
      <w:ins w:id="15" w:author="Huawei, HiSilicon" w:date="2022-04-26T22:12:00Z">
        <w:r>
          <w:rPr/>
          <w:t xml:space="preserve">ServingAdditionalPCIIndex-r17  ::=  </w:t>
        </w:r>
      </w:ins>
      <w:ins w:id="16" w:author="Huawei, HiSilicon" w:date="2022-04-26T22:12:00Z">
        <w:r>
          <w:rPr>
            <w:color w:val="993366"/>
          </w:rPr>
          <w:t>INTEGER</w:t>
        </w:r>
      </w:ins>
      <w:ins w:id="17" w:author="Huawei, HiSilicon" w:date="2022-04-26T22:12:00Z">
        <w:r>
          <w:rPr/>
          <w:t>(0..maxNrofAdditionalPCI-r17)</w:t>
        </w:r>
      </w:ins>
    </w:p>
    <w:p>
      <w:pPr>
        <w:pStyle w:val="137"/>
      </w:pPr>
    </w:p>
    <w:p>
      <w:pPr>
        <w:pStyle w:val="137"/>
      </w:pPr>
      <w:r>
        <w:t>-- TAG-CSI-SSB-RESOURCESET-STOP</w:t>
      </w:r>
    </w:p>
    <w:p>
      <w:pPr>
        <w:pStyle w:val="137"/>
      </w:pPr>
      <w:r>
        <w:t>-- ASN1STOP</w:t>
      </w:r>
    </w:p>
    <w:p/>
    <w:tbl>
      <w:tblPr>
        <w:tblStyle w:val="51"/>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6" w:type="dxa"/>
            <w:tcBorders>
              <w:top w:val="single" w:color="auto" w:sz="4" w:space="0"/>
              <w:left w:val="single" w:color="auto" w:sz="4" w:space="0"/>
              <w:bottom w:val="single" w:color="auto" w:sz="4" w:space="0"/>
              <w:right w:val="single" w:color="auto" w:sz="4" w:space="0"/>
            </w:tcBorders>
          </w:tcPr>
          <w:p>
            <w:pPr>
              <w:pStyle w:val="80"/>
              <w:ind w:firstLine="480"/>
              <w:rPr>
                <w:lang w:eastAsia="sv-SE"/>
              </w:rPr>
            </w:pPr>
            <w:r>
              <w:rPr>
                <w:i/>
              </w:rPr>
              <w:t>CSI-SSB-ResourceSet</w:t>
            </w:r>
            <w:r>
              <w:t xml:space="preserve">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6" w:type="dxa"/>
            <w:tcBorders>
              <w:top w:val="single" w:color="auto" w:sz="4" w:space="0"/>
              <w:left w:val="single" w:color="auto" w:sz="4" w:space="0"/>
              <w:bottom w:val="single" w:color="auto" w:sz="4" w:space="0"/>
              <w:right w:val="single" w:color="auto" w:sz="4" w:space="0"/>
            </w:tcBorders>
          </w:tcPr>
          <w:p>
            <w:pPr>
              <w:pStyle w:val="78"/>
              <w:rPr>
                <w:b/>
                <w:bCs/>
                <w:i/>
                <w:iCs/>
                <w:lang w:eastAsia="sv-SE"/>
              </w:rPr>
            </w:pPr>
            <w:ins w:id="18" w:author="Huawei, HiSilicon" w:date="2022-04-26T22:14:00Z">
              <w:r>
                <w:rPr>
                  <w:b/>
                  <w:bCs/>
                  <w:i/>
                  <w:iCs/>
                </w:rPr>
                <w:t>servingA</w:t>
              </w:r>
            </w:ins>
            <w:del w:id="19" w:author="Huawei, HiSilicon" w:date="2022-04-26T22:14:00Z">
              <w:r>
                <w:rPr>
                  <w:b/>
                  <w:bCs/>
                  <w:i/>
                  <w:iCs/>
                </w:rPr>
                <w:delText>a</w:delText>
              </w:r>
            </w:del>
            <w:r>
              <w:rPr>
                <w:b/>
                <w:bCs/>
                <w:i/>
                <w:iCs/>
              </w:rPr>
              <w:t>dditionalPCIList</w:t>
            </w:r>
          </w:p>
          <w:p>
            <w:pPr>
              <w:pStyle w:val="78"/>
              <w:rPr>
                <w:ins w:id="20" w:author="Huawei, HiSilicon" w:date="2022-04-28T16:32:00Z"/>
              </w:rPr>
            </w:pPr>
            <w:r>
              <w:t>Indicates the physical cell IDs (PCI) of the SSBs in the csi-SSB-ResourceList. If present, the list has the same number of entries as csi-SSB-ResourceList</w:t>
            </w:r>
            <w:ins w:id="21" w:author="Huawei, HiSilicon" w:date="2022-04-28T16:31:00Z">
              <w:r>
                <w:rPr/>
                <w:t xml:space="preserve"> and the first entry of this list indicates the value of the PCI for the first entry of </w:t>
              </w:r>
            </w:ins>
            <w:ins w:id="22" w:author="Huawei, HiSilicon" w:date="2022-04-28T16:31:00Z">
              <w:r>
                <w:rPr>
                  <w:i/>
                </w:rPr>
                <w:t>csi-SSB</w:t>
              </w:r>
            </w:ins>
            <w:ins w:id="23" w:author="Huawei, HiSilicon" w:date="2022-04-28T16:32:00Z">
              <w:r>
                <w:rPr>
                  <w:i/>
                </w:rPr>
                <w:t>-ResourceList</w:t>
              </w:r>
            </w:ins>
            <w:ins w:id="24" w:author="Huawei, HiSilicon" w:date="2022-04-28T16:32:00Z">
              <w:r>
                <w:rPr/>
                <w:t xml:space="preserve">, the second entry of this list </w:t>
              </w:r>
            </w:ins>
            <w:r>
              <w:t>indicates</w:t>
            </w:r>
            <w:ins w:id="25" w:author="Huawei, HiSilicon" w:date="2022-04-28T16:32:00Z">
              <w:r>
                <w:rPr/>
                <w:t xml:space="preserve"> the value of the PCI for the second entry of </w:t>
              </w:r>
            </w:ins>
            <w:ins w:id="26" w:author="Huawei, HiSilicon" w:date="2022-04-28T16:32:00Z">
              <w:r>
                <w:rPr>
                  <w:i/>
                </w:rPr>
                <w:t>csi-SSB-ResourceList</w:t>
              </w:r>
            </w:ins>
            <w:ins w:id="27" w:author="Huawei, HiSilicon" w:date="2022-04-28T16:32:00Z">
              <w:r>
                <w:rPr/>
                <w:t>, and so on.</w:t>
              </w:r>
            </w:ins>
          </w:p>
          <w:p>
            <w:pPr>
              <w:pStyle w:val="78"/>
              <w:rPr>
                <w:ins w:id="28" w:author="Huawei, HiSilicon" w:date="2022-04-28T16:31:00Z"/>
              </w:rPr>
            </w:pPr>
          </w:p>
          <w:p>
            <w:pPr>
              <w:pStyle w:val="78"/>
              <w:rPr>
                <w:ins w:id="29" w:author="Huawei, HiSilicon" w:date="2022-04-28T16:37:00Z"/>
              </w:rPr>
            </w:pPr>
            <w:ins w:id="30" w:author="Huawei, HiSilicon" w:date="2022-04-28T16:37:00Z">
              <w:r>
                <w:rPr/>
                <w:t>For each entry;</w:t>
              </w:r>
            </w:ins>
          </w:p>
          <w:p>
            <w:pPr>
              <w:pStyle w:val="78"/>
              <w:rPr>
                <w:ins w:id="31" w:author="Huawei, HiSilicon" w:date="2022-04-28T16:37:00Z"/>
              </w:rPr>
            </w:pPr>
            <w:ins w:id="32" w:author="Huawei, HiSilicon" w:date="2022-04-28T16:37:00Z">
              <w:r>
                <w:rPr/>
                <w:t>- if the value is z</w:t>
              </w:r>
            </w:ins>
            <w:ins w:id="33" w:author="Huawei, HiSilicon" w:date="2022-04-28T16:35:00Z">
              <w:r>
                <w:rPr/>
                <w:t>ero</w:t>
              </w:r>
            </w:ins>
            <w:ins w:id="34" w:author="Huawei, HiSilicon" w:date="2022-04-28T16:37:00Z">
              <w:r>
                <w:rPr/>
                <w:t xml:space="preserve">, </w:t>
              </w:r>
            </w:ins>
            <w:ins w:id="35" w:author="Huawei, HiSilicon" w:date="2022-04-28T16:28:00Z">
              <w:r>
                <w:rPr/>
                <w:t>t</w:t>
              </w:r>
            </w:ins>
            <w:ins w:id="36" w:author="Huawei, HiSilicon" w:date="2022-04-26T22:15:00Z">
              <w:r>
                <w:rPr/>
                <w:t xml:space="preserve">he </w:t>
              </w:r>
            </w:ins>
            <w:ins w:id="37" w:author="Huawei, HiSilicon" w:date="2022-04-28T16:26:00Z">
              <w:r>
                <w:rPr/>
                <w:t xml:space="preserve">PCI </w:t>
              </w:r>
            </w:ins>
            <w:ins w:id="38" w:author="Huawei, HiSilicon" w:date="2022-04-28T16:37:00Z">
              <w:r>
                <w:rPr/>
                <w:t xml:space="preserve">is the PCI </w:t>
              </w:r>
            </w:ins>
            <w:ins w:id="39" w:author="Huawei, HiSilicon" w:date="2022-04-28T16:25:00Z">
              <w:r>
                <w:rPr/>
                <w:t xml:space="preserve">of the serving cell in which this </w:t>
              </w:r>
            </w:ins>
            <w:ins w:id="40" w:author="Huawei, HiSilicon" w:date="2022-04-28T16:25:00Z">
              <w:r>
                <w:rPr>
                  <w:i/>
                </w:rPr>
                <w:t>CSI-SSB-ResourceSet</w:t>
              </w:r>
            </w:ins>
            <w:ins w:id="41" w:author="Huawei, HiSilicon" w:date="2022-04-28T16:25:00Z">
              <w:r>
                <w:rPr/>
                <w:t xml:space="preserve"> is defined</w:t>
              </w:r>
            </w:ins>
            <w:ins w:id="42" w:author="Huawei, HiSilicon" w:date="2022-04-28T16:37:00Z">
              <w:r>
                <w:rPr/>
                <w:t>;</w:t>
              </w:r>
            </w:ins>
          </w:p>
          <w:p>
            <w:pPr>
              <w:pStyle w:val="78"/>
              <w:rPr>
                <w:del w:id="43" w:author="Huawei, HiSilicon" w:date="2022-04-28T16:39:00Z"/>
              </w:rPr>
            </w:pPr>
            <w:ins w:id="44" w:author="Huawei, HiSilicon" w:date="2022-04-28T16:37:00Z">
              <w:r>
                <w:rPr/>
                <w:t>- othe</w:t>
              </w:r>
            </w:ins>
            <w:ins w:id="45" w:author="Huawei, HiSilicon" w:date="2022-04-28T16:38:00Z">
              <w:r>
                <w:rPr/>
                <w:t xml:space="preserve">rwise, the value is </w:t>
              </w:r>
            </w:ins>
            <w:ins w:id="46" w:author="Huawei, HiSilicon" w:date="2022-04-28T16:38:00Z">
              <w:r>
                <w:rPr>
                  <w:i/>
                </w:rPr>
                <w:t>additionalPCIIndex-r17</w:t>
              </w:r>
            </w:ins>
            <w:ins w:id="47" w:author="Huawei, HiSilicon" w:date="2022-04-28T16:38:00Z">
              <w:r>
                <w:rPr/>
                <w:t xml:space="preserve"> of an </w:t>
              </w:r>
            </w:ins>
            <w:ins w:id="48" w:author="Huawei, HiSilicon" w:date="2022-04-28T16:38:00Z">
              <w:r>
                <w:rPr>
                  <w:i/>
                </w:rPr>
                <w:t>SSB-MTC-AdditionalPCI-r17</w:t>
              </w:r>
            </w:ins>
            <w:ins w:id="49" w:author="Huawei, HiSilicon" w:date="2022-04-28T16:38:00Z">
              <w:r>
                <w:rPr/>
                <w:t xml:space="preserve"> in the </w:t>
              </w:r>
            </w:ins>
            <w:ins w:id="50" w:author="Huawei, HiSilicon" w:date="2022-04-28T16:38:00Z">
              <w:r>
                <w:rPr>
                  <w:i/>
                </w:rPr>
                <w:t>additionalPCIList-r17</w:t>
              </w:r>
            </w:ins>
            <w:ins w:id="51" w:author="Huawei, HiSilicon" w:date="2022-04-28T16:38:00Z">
              <w:r>
                <w:rPr/>
                <w:t xml:space="preserve"> in </w:t>
              </w:r>
            </w:ins>
            <w:ins w:id="52" w:author="Huawei, HiSilicon" w:date="2022-04-28T16:38:00Z">
              <w:r>
                <w:rPr>
                  <w:i/>
                </w:rPr>
                <w:t>ServingCellConfig</w:t>
              </w:r>
            </w:ins>
            <w:ins w:id="53" w:author="Huawei, HiSilicon" w:date="2022-04-28T16:38:00Z">
              <w:r>
                <w:rPr/>
                <w:t>, a</w:t>
              </w:r>
            </w:ins>
            <w:ins w:id="54" w:author="Huawei, HiSilicon" w:date="2022-04-28T16:39:00Z">
              <w:r>
                <w:rPr/>
                <w:t xml:space="preserve">nd the PCI is the </w:t>
              </w:r>
            </w:ins>
            <w:ins w:id="55" w:author="Huawei, HiSilicon" w:date="2022-04-28T16:39:00Z">
              <w:r>
                <w:rPr>
                  <w:i/>
                </w:rPr>
                <w:t>additionalPCI-r17</w:t>
              </w:r>
            </w:ins>
            <w:ins w:id="56" w:author="Huawei, HiSilicon" w:date="2022-04-28T16:39:00Z">
              <w:r>
                <w:rPr/>
                <w:t xml:space="preserve"> in this </w:t>
              </w:r>
            </w:ins>
            <w:ins w:id="57" w:author="Huawei, HiSilicon" w:date="2022-04-28T16:39:00Z">
              <w:r>
                <w:rPr>
                  <w:i/>
                </w:rPr>
                <w:t>SSB-MTC-AdditionalPCI-r17</w:t>
              </w:r>
            </w:ins>
            <w:ins w:id="58" w:author="Huawei, HiSilicon" w:date="2022-04-28T16:39:00Z">
              <w:r>
                <w:rPr/>
                <w:t>.</w:t>
              </w:r>
            </w:ins>
          </w:p>
          <w:p>
            <w:pPr>
              <w:pStyle w:val="78"/>
            </w:pPr>
            <w:ins w:id="59" w:author="Huawei, HiSilicon" w:date="2022-04-28T16:30:00Z">
              <w:r>
                <w:rPr/>
                <w:t xml:space="preserve"> </w:t>
              </w:r>
            </w:ins>
          </w:p>
        </w:tc>
      </w:tr>
    </w:tbl>
    <w:p>
      <w:pPr>
        <w:keepNext/>
        <w:keepLines/>
        <w:overflowPunct w:val="0"/>
        <w:adjustRightInd w:val="0"/>
        <w:spacing w:before="120"/>
        <w:ind w:left="1418" w:hanging="1418"/>
        <w:textAlignment w:val="baseline"/>
        <w:outlineLvl w:val="3"/>
        <w:rPr>
          <w:rFonts w:ascii="Arial" w:hAnsi="Arial" w:eastAsia="Times New Roman"/>
          <w:sz w:val="24"/>
          <w:lang w:eastAsia="ja-JP"/>
        </w:rPr>
      </w:pPr>
      <w:bookmarkStart w:id="4" w:name="_Toc60777402"/>
      <w:bookmarkStart w:id="5" w:name="_Toc100930319"/>
    </w:p>
    <w:p>
      <w:pPr>
        <w:keepNext/>
        <w:keepLines/>
        <w:overflowPunct w:val="0"/>
        <w:adjustRightInd w:val="0"/>
        <w:spacing w:before="120"/>
        <w:ind w:left="1418" w:hanging="1418"/>
        <w:textAlignment w:val="baseline"/>
        <w:outlineLvl w:val="3"/>
        <w:rPr>
          <w:rFonts w:ascii="Arial" w:hAnsi="Arial" w:eastAsia="Times New Roman"/>
          <w:sz w:val="24"/>
          <w:lang w:eastAsia="ja-JP"/>
        </w:rPr>
      </w:pPr>
      <w:r>
        <w:rPr>
          <w:rFonts w:ascii="Arial" w:hAnsi="Arial" w:eastAsia="Times New Roman"/>
          <w:sz w:val="24"/>
          <w:lang w:eastAsia="ja-JP"/>
        </w:rPr>
        <w:t>–</w:t>
      </w:r>
      <w:r>
        <w:rPr>
          <w:rFonts w:ascii="Arial" w:hAnsi="Arial" w:eastAsia="Times New Roman"/>
          <w:sz w:val="24"/>
          <w:lang w:eastAsia="ja-JP"/>
        </w:rPr>
        <w:tab/>
      </w:r>
      <w:r>
        <w:rPr>
          <w:rFonts w:ascii="Arial" w:hAnsi="Arial" w:eastAsia="Times New Roman"/>
          <w:i/>
          <w:sz w:val="24"/>
          <w:lang w:eastAsia="ja-JP"/>
        </w:rPr>
        <w:t>SSB-MTC</w:t>
      </w:r>
      <w:bookmarkEnd w:id="4"/>
      <w:bookmarkEnd w:id="5"/>
    </w:p>
    <w:p>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pPr>
        <w:keepNext/>
        <w:keepLines/>
        <w:overflowPunct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SSB-MTC</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TAG-SSB-MTC-START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periodicityAndOffset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sf5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sf20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sf40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sf80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sf160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duration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sf1, sf2, sf3, sf4, sf5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pci-List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(1..maxNrofPCIsPerSMTC))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PhysCellId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periodicity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{sf5, sf10, sf20, sf40, sf80,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SSB-MTC2-LP-r16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pci-List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(1..maxNrofPCIsPerSMTC))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PhysCellId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periodicity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{sf10, sf20, sf40, sf80, sf160,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SSB-MTC3-r16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periodicityAndOffset-r16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sf5-r16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sf20-r16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sf40-r16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sf80-r16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sf160-r16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sf320-r16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sf640-r16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sf1280-r16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duration-r16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{sf1, sf2, sf3, sf4, sf5},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pci-List-r16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(1..maxNrofPCIsPerSMTC))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PhysCellId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ssb-ToMeasure-r16                   SetupRelease { SSB-ToMeasure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SSB-MTC4-r17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pci-List-r17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(1..maxNrofPCIsPerSMTC))</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PhysCellId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offset-r17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xml:space="preserve">-- Editor's note: </w:t>
      </w:r>
      <w:r>
        <w:rPr>
          <w:rFonts w:ascii="Courier New" w:hAnsi="Courier New" w:eastAsia="宋体"/>
          <w:color w:val="808080"/>
          <w:sz w:val="16"/>
          <w:lang w:eastAsia="en-GB"/>
        </w:rPr>
        <w:t>UE assistance information for SMTC/MG could be captured, and the content is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SSB-MTC-AdditionalPCI-r17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additionalPCIIndex-r17              AdditionalPCIIndex-r17,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additionalPCI-r17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periodicity-r17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ms5, ms10, ms20, ms40, ms80, ms160, spare2, spare1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ssb-PositionsInBurst-r17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shortBitmap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mediumBitmap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longBitmap                          </w:t>
      </w:r>
      <w:r>
        <w:rPr>
          <w:rFonts w:ascii="Courier New" w:hAnsi="Courier New" w:eastAsia="Times New Roman"/>
          <w:color w:val="993366"/>
          <w:sz w:val="16"/>
          <w:lang w:eastAsia="en-GB"/>
        </w:rPr>
        <w:t>BIT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ss-PBCH-BlockPower-r17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--Editor's note: more RAN1 input may be coming for this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AdditionalPCIIndex-r17  ::=  </w:t>
      </w:r>
      <w:r>
        <w:rPr>
          <w:rFonts w:ascii="Courier New" w:hAnsi="Courier New" w:eastAsia="Times New Roman"/>
          <w:color w:val="993366"/>
          <w:sz w:val="16"/>
          <w:lang w:eastAsia="en-GB"/>
        </w:rPr>
        <w:t>INTEGER</w:t>
      </w:r>
      <w:r>
        <w:rPr>
          <w:rFonts w:ascii="Courier New" w:hAnsi="Courier New" w:eastAsia="Times New Roman"/>
          <w:sz w:val="16"/>
          <w:lang w:eastAsia="en-GB"/>
        </w:rPr>
        <w:t>(</w:t>
      </w:r>
      <w:del w:id="60" w:author="Huawei, HiSilicon" w:date="2022-04-28T16:41:00Z">
        <w:r>
          <w:rPr>
            <w:rFonts w:ascii="Courier New" w:hAnsi="Courier New" w:eastAsia="Times New Roman"/>
            <w:sz w:val="16"/>
            <w:lang w:eastAsia="en-GB"/>
          </w:rPr>
          <w:delText>0</w:delText>
        </w:r>
      </w:del>
      <w:ins w:id="61" w:author="Huawei, HiSilicon" w:date="2022-04-28T16:41:00Z">
        <w:r>
          <w:rPr>
            <w:rFonts w:ascii="Courier New" w:hAnsi="Courier New" w:eastAsia="Times New Roman"/>
            <w:sz w:val="16"/>
            <w:lang w:eastAsia="en-GB"/>
          </w:rPr>
          <w:t>1</w:t>
        </w:r>
      </w:ins>
      <w:r>
        <w:rPr>
          <w:rFonts w:ascii="Courier New" w:hAnsi="Courier New" w:eastAsia="Times New Roman"/>
          <w:sz w:val="16"/>
          <w:lang w:eastAsia="en-GB"/>
        </w:rPr>
        <w:t>..maxNrofAdditionalPCI-</w:t>
      </w:r>
      <w:del w:id="62" w:author="Huawei, HiSilicon" w:date="2022-04-28T16:41:00Z">
        <w:r>
          <w:rPr>
            <w:rFonts w:ascii="Courier New" w:hAnsi="Courier New" w:eastAsia="Times New Roman"/>
            <w:sz w:val="16"/>
            <w:lang w:eastAsia="en-GB"/>
          </w:rPr>
          <w:delText>1-</w:delText>
        </w:r>
      </w:del>
      <w:r>
        <w:rPr>
          <w:rFonts w:ascii="Courier New" w:hAnsi="Courier New" w:eastAsia="Times New Roman"/>
          <w:sz w:val="16"/>
          <w:lang w:eastAsia="en-GB"/>
        </w:rPr>
        <w: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overflowPunct w:val="0"/>
        <w:adjustRightInd w:val="0"/>
        <w:textAlignment w:val="baseline"/>
        <w:rPr>
          <w:rFonts w:eastAsia="Times New Roman"/>
          <w:lang w:eastAsia="ja-JP"/>
        </w:rPr>
      </w:pPr>
    </w:p>
    <w:p>
      <w:pPr>
        <w:rPr>
          <w:rFonts w:ascii="Arial" w:hAnsi="Arial" w:cs="Arial"/>
          <w:lang w:val="en-GB"/>
        </w:rPr>
      </w:pPr>
    </w:p>
    <w:p>
      <w:pPr>
        <w:pStyle w:val="15"/>
        <w:rPr>
          <w:lang w:eastAsia="ja-JP"/>
        </w:r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8D76194"/>
    <w:multiLevelType w:val="multilevel"/>
    <w:tmpl w:val="08D76194"/>
    <w:lvl w:ilvl="0" w:tentative="0">
      <w:start w:val="1"/>
      <w:numFmt w:val="upperLetter"/>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8424922"/>
    <w:multiLevelType w:val="multilevel"/>
    <w:tmpl w:val="18424922"/>
    <w:lvl w:ilvl="0" w:tentative="0">
      <w:start w:val="1"/>
      <w:numFmt w:val="decimal"/>
      <w:lvlText w:val="%1."/>
      <w:lvlJc w:val="left"/>
      <w:pPr>
        <w:ind w:left="360" w:hanging="360"/>
      </w:pPr>
      <w:rPr>
        <w:rFonts w:hint="default"/>
        <w:lang w:val="en-GB"/>
      </w:rPr>
    </w:lvl>
    <w:lvl w:ilvl="1" w:tentative="0">
      <w:start w:val="1"/>
      <w:numFmt w:val="decimal"/>
      <w:isLgl/>
      <w:lvlText w:val="%1.%2"/>
      <w:lvlJc w:val="left"/>
      <w:pPr>
        <w:ind w:left="468" w:hanging="46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9CA02A3"/>
    <w:multiLevelType w:val="multilevel"/>
    <w:tmpl w:val="49CA02A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
  </w:num>
  <w:num w:numId="2">
    <w:abstractNumId w:val="14"/>
  </w:num>
  <w:num w:numId="3">
    <w:abstractNumId w:val="7"/>
  </w:num>
  <w:num w:numId="4">
    <w:abstractNumId w:val="3"/>
  </w:num>
  <w:num w:numId="5">
    <w:abstractNumId w:val="6"/>
  </w:num>
  <w:num w:numId="6">
    <w:abstractNumId w:val="5"/>
  </w:num>
  <w:num w:numId="7">
    <w:abstractNumId w:val="13"/>
  </w:num>
  <w:num w:numId="8">
    <w:abstractNumId w:val="0"/>
  </w:num>
  <w:num w:numId="9">
    <w:abstractNumId w:val="15"/>
  </w:num>
  <w:num w:numId="10">
    <w:abstractNumId w:val="10"/>
  </w:num>
  <w:num w:numId="11">
    <w:abstractNumId w:val="8"/>
  </w:num>
  <w:num w:numId="12">
    <w:abstractNumId w:val="11"/>
  </w:num>
  <w:num w:numId="13">
    <w:abstractNumId w:val="12"/>
  </w:num>
  <w:num w:numId="14">
    <w:abstractNumId w:val="9"/>
  </w:num>
  <w:num w:numId="15">
    <w:abstractNumId w:val="2"/>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6DA3"/>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3C8"/>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0B9F"/>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29B"/>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603"/>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A58"/>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5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6EE2"/>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0E7"/>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0E3"/>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B18"/>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860"/>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0AA0"/>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 w:val="060A60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spacing w:after="160" w:line="259" w:lineRule="auto"/>
      <w:jc w:val="both"/>
    </w:pPr>
    <w:rPr>
      <w:rFonts w:asciiTheme="minorHAnsi" w:hAnsiTheme="minorHAnsi" w:eastAsiaTheme="minorEastAsia" w:cstheme="minorBidi"/>
      <w:kern w:val="2"/>
      <w:szCs w:val="22"/>
      <w:lang w:val="en-US" w:eastAsia="ko-KR" w:bidi="ar-SA"/>
    </w:rPr>
  </w:style>
  <w:style w:type="paragraph" w:styleId="2">
    <w:name w:val="heading 1"/>
    <w:next w:val="1"/>
    <w:link w:val="68"/>
    <w:qFormat/>
    <w:uiPriority w:val="0"/>
    <w:pPr>
      <w:keepNext/>
      <w:keepLines/>
      <w:numPr>
        <w:ilvl w:val="0"/>
        <w:numId w:val="1"/>
      </w:numPr>
      <w:overflowPunct w:val="0"/>
      <w:autoSpaceDE w:val="0"/>
      <w:autoSpaceDN w:val="0"/>
      <w:adjustRightInd w:val="0"/>
      <w:spacing w:before="240" w:after="180"/>
      <w:textAlignment w:val="baseline"/>
      <w:outlineLvl w:val="0"/>
    </w:pPr>
    <w:rPr>
      <w:rFonts w:ascii="Arial" w:hAnsi="Arial" w:eastAsia="PMingLiU" w:cs="Arial"/>
      <w:sz w:val="36"/>
      <w:szCs w:val="36"/>
      <w:lang w:val="en-GB" w:eastAsia="zh-CN" w:bidi="ar-SA"/>
    </w:rPr>
  </w:style>
  <w:style w:type="paragraph" w:styleId="3">
    <w:name w:val="heading 2"/>
    <w:basedOn w:val="2"/>
    <w:next w:val="1"/>
    <w:link w:val="124"/>
    <w:qFormat/>
    <w:uiPriority w:val="0"/>
    <w:pPr>
      <w:numPr>
        <w:ilvl w:val="1"/>
      </w:numPr>
      <w:spacing w:before="180"/>
      <w:outlineLvl w:val="1"/>
    </w:pPr>
    <w:rPr>
      <w:sz w:val="32"/>
      <w:szCs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tabs>
        <w:tab w:val="left" w:pos="432"/>
      </w:tabs>
      <w:outlineLvl w:val="5"/>
    </w:pPr>
  </w:style>
  <w:style w:type="paragraph" w:styleId="9">
    <w:name w:val="heading 7"/>
    <w:basedOn w:val="8"/>
    <w:next w:val="1"/>
    <w:link w:val="129"/>
    <w:qFormat/>
    <w:uiPriority w:val="0"/>
    <w:pPr>
      <w:tabs>
        <w:tab w:val="left" w:pos="432"/>
      </w:tabs>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0"/>
    <w:pPr>
      <w:numPr>
        <w:numId w:val="2"/>
      </w:numPr>
    </w:pPr>
  </w:style>
  <w:style w:type="paragraph" w:styleId="24">
    <w:name w:val="List Number"/>
    <w:basedOn w:val="14"/>
    <w:uiPriority w:val="0"/>
    <w:pPr>
      <w:numPr>
        <w:ilvl w:val="0"/>
        <w:numId w:val="3"/>
      </w:numPr>
    </w:pPr>
    <w:rPr>
      <w:lang w:eastAsia="ja-JP"/>
    </w:rPr>
  </w:style>
  <w:style w:type="paragraph" w:styleId="25">
    <w:name w:val="List Bullet 4"/>
    <w:basedOn w:val="26"/>
    <w:qFormat/>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qFormat/>
    <w:uiPriority w:val="0"/>
    <w:pPr>
      <w:numPr>
        <w:numId w:val="6"/>
      </w:numPr>
    </w:pPr>
  </w:style>
  <w:style w:type="paragraph" w:styleId="28">
    <w:name w:val="List Bullet"/>
    <w:basedOn w:val="14"/>
    <w:qFormat/>
    <w:uiPriority w:val="0"/>
    <w:pPr>
      <w:numPr>
        <w:ilvl w:val="0"/>
        <w:numId w:val="7"/>
      </w:numPr>
    </w:pPr>
    <w:rPr>
      <w:lang w:eastAsia="ja-JP"/>
    </w:rPr>
  </w:style>
  <w:style w:type="paragraph" w:styleId="29">
    <w:name w:val="caption"/>
    <w:basedOn w:val="1"/>
    <w:next w:val="1"/>
    <w:link w:val="156"/>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0"/>
  </w:style>
  <w:style w:type="paragraph" w:styleId="32">
    <w:name w:val="List Number 3"/>
    <w:basedOn w:val="23"/>
    <w:qFormat/>
    <w:uiPriority w:val="0"/>
    <w:pPr>
      <w:numPr>
        <w:numId w:val="8"/>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9"/>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qFormat/>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ind w:left="454" w:hanging="454"/>
    </w:pPr>
    <w:rPr>
      <w:sz w:val="16"/>
    </w:rPr>
  </w:style>
  <w:style w:type="paragraph" w:styleId="42">
    <w:name w:val="List 5"/>
    <w:basedOn w:val="43"/>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99"/>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10"/>
      </w:numPr>
    </w:pPr>
  </w:style>
  <w:style w:type="character" w:customStyle="1" w:styleId="68">
    <w:name w:val="Heading 1 Char"/>
    <w:link w:val="2"/>
    <w:qFormat/>
    <w:uiPriority w:val="0"/>
    <w:rPr>
      <w:rFonts w:ascii="Arial" w:hAnsi="Arial" w:cs="Arial"/>
      <w:sz w:val="36"/>
      <w:szCs w:val="36"/>
      <w:lang w:eastAsia="zh-CN"/>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1"/>
      </w:numPr>
      <w:tabs>
        <w:tab w:val="left" w:pos="1701"/>
      </w:tabs>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65"/>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2"/>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eastAsiaTheme="minorHAnsi"/>
      <w:sz w:val="18"/>
      <w:szCs w:val="18"/>
      <w:lang w:val="fi-FI" w:eastAsia="en-US"/>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PMingLiU"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cstheme="minorBidi"/>
      <w:sz w:val="22"/>
      <w:szCs w:val="22"/>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heme="minorHAnsi" w:hAnsiTheme="minorHAnsi" w:eastAsiaTheme="minorHAnsi" w:cstheme="minorBidi"/>
      <w:sz w:val="16"/>
      <w:szCs w:val="22"/>
      <w:lang w:val="fi-FI" w:eastAsia="en-US"/>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cs="Arial"/>
      <w:sz w:val="32"/>
      <w:szCs w:val="32"/>
      <w:lang w:eastAsia="zh-CN"/>
    </w:rPr>
  </w:style>
  <w:style w:type="character" w:customStyle="1" w:styleId="125">
    <w:name w:val="Heading 3 Char"/>
    <w:link w:val="4"/>
    <w:qFormat/>
    <w:uiPriority w:val="0"/>
    <w:rPr>
      <w:rFonts w:ascii="Arial" w:hAnsi="Arial" w:cs="Arial"/>
      <w:sz w:val="28"/>
      <w:szCs w:val="32"/>
      <w:lang w:eastAsia="zh-CN"/>
    </w:rPr>
  </w:style>
  <w:style w:type="character" w:customStyle="1" w:styleId="126">
    <w:name w:val="Heading 4 Char"/>
    <w:link w:val="5"/>
    <w:qFormat/>
    <w:uiPriority w:val="0"/>
    <w:rPr>
      <w:rFonts w:ascii="Arial" w:hAnsi="Arial" w:cs="Arial"/>
      <w:sz w:val="24"/>
      <w:szCs w:val="32"/>
      <w:lang w:eastAsia="zh-CN"/>
    </w:rPr>
  </w:style>
  <w:style w:type="character" w:customStyle="1" w:styleId="127">
    <w:name w:val="Heading 5 Char"/>
    <w:link w:val="6"/>
    <w:qFormat/>
    <w:uiPriority w:val="0"/>
    <w:rPr>
      <w:rFonts w:ascii="Arial" w:hAnsi="Arial" w:cs="Arial"/>
      <w:sz w:val="22"/>
      <w:szCs w:val="32"/>
      <w:lang w:eastAsia="zh-CN"/>
    </w:rPr>
  </w:style>
  <w:style w:type="character" w:customStyle="1" w:styleId="128">
    <w:name w:val="Heading 6 Char"/>
    <w:link w:val="7"/>
    <w:qFormat/>
    <w:uiPriority w:val="0"/>
    <w:rPr>
      <w:rFonts w:ascii="Arial" w:hAnsi="Arial" w:cs="Arial"/>
      <w:szCs w:val="32"/>
      <w:lang w:eastAsia="zh-CN"/>
    </w:rPr>
  </w:style>
  <w:style w:type="character" w:customStyle="1" w:styleId="129">
    <w:name w:val="Heading 7 Char"/>
    <w:link w:val="9"/>
    <w:qFormat/>
    <w:uiPriority w:val="0"/>
    <w:rPr>
      <w:rFonts w:ascii="Arial" w:hAnsi="Arial" w:cs="Arial"/>
      <w:szCs w:val="32"/>
      <w:lang w:eastAsia="zh-CN"/>
    </w:rPr>
  </w:style>
  <w:style w:type="character" w:customStyle="1" w:styleId="130">
    <w:name w:val="Heading 8 Char"/>
    <w:link w:val="10"/>
    <w:qFormat/>
    <w:uiPriority w:val="0"/>
    <w:rPr>
      <w:rFonts w:ascii="Arial" w:hAnsi="Arial" w:cs="Arial"/>
      <w:sz w:val="36"/>
      <w:szCs w:val="36"/>
      <w:lang w:eastAsia="zh-CN"/>
    </w:rPr>
  </w:style>
  <w:style w:type="character" w:customStyle="1" w:styleId="131">
    <w:name w:val="Heading 9 Char"/>
    <w:link w:val="11"/>
    <w:qFormat/>
    <w:uiPriority w:val="0"/>
    <w:rPr>
      <w:rFonts w:ascii="Arial" w:hAnsi="Arial" w:cs="Arial"/>
      <w:sz w:val="36"/>
      <w:szCs w:val="36"/>
      <w:lang w:eastAsia="zh-CN"/>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List Paragraph Char"/>
    <w:link w:val="133"/>
    <w:qFormat/>
    <w:locked/>
    <w:uiPriority w:val="34"/>
    <w:rPr>
      <w:rFonts w:ascii="Calibri" w:hAnsi="Calibri" w:eastAsia="Calibri" w:cstheme="minorBid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38">
    <w:name w:val="PL Char"/>
    <w:link w:val="137"/>
    <w:qFormat/>
    <w:uiPriority w:val="0"/>
    <w:rPr>
      <w:rFonts w:ascii="Courier New" w:hAnsi="Courier New" w:eastAsia="바탕"/>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eastAsiaTheme="minorHAnsi" w:cstheme="minorBidi"/>
      <w:sz w:val="18"/>
      <w:szCs w:val="22"/>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cstheme="minorBidi"/>
      <w:sz w:val="18"/>
      <w:szCs w:val="22"/>
      <w:lang w:val="zh-CN" w:eastAsia="zh-CN"/>
    </w:rPr>
  </w:style>
  <w:style w:type="character" w:customStyle="1" w:styleId="146">
    <w:name w:val="TF Char"/>
    <w:link w:val="84"/>
    <w:qFormat/>
    <w:uiPriority w:val="0"/>
    <w:rPr>
      <w:rFonts w:ascii="Arial" w:hAnsi="Arial"/>
      <w:b/>
      <w:lang w:val="zh-CN" w:eastAsia="zh-CN"/>
    </w:rPr>
  </w:style>
  <w:style w:type="table" w:customStyle="1" w:styleId="147">
    <w:name w:val="Grid Table 1 Light"/>
    <w:basedOn w:val="5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8">
    <w:name w:val="Revision"/>
    <w:hidden/>
    <w:semiHidden/>
    <w:qFormat/>
    <w:uiPriority w:val="99"/>
    <w:rPr>
      <w:rFonts w:asciiTheme="minorHAnsi" w:hAnsiTheme="minorHAnsi" w:eastAsiaTheme="minorHAnsi" w:cstheme="minorBidi"/>
      <w:sz w:val="22"/>
      <w:szCs w:val="22"/>
      <w:lang w:val="sv-SE" w:eastAsia="en-US" w:bidi="ar-SA"/>
    </w:rPr>
  </w:style>
  <w:style w:type="character" w:customStyle="1" w:styleId="149">
    <w:name w:val="Unresolved Mention"/>
    <w:basedOn w:val="53"/>
    <w:unhideWhenUsed/>
    <w:qFormat/>
    <w:uiPriority w:val="99"/>
    <w:rPr>
      <w:color w:val="605E5C"/>
      <w:shd w:val="clear" w:color="auto" w:fill="E1DFDD"/>
    </w:rPr>
  </w:style>
  <w:style w:type="character" w:customStyle="1" w:styleId="150">
    <w:name w:val="Mention"/>
    <w:basedOn w:val="53"/>
    <w:unhideWhenUsed/>
    <w:qFormat/>
    <w:uiPriority w:val="99"/>
    <w:rPr>
      <w:color w:val="2B579A"/>
      <w:shd w:val="clear" w:color="auto" w:fill="E1DFDD"/>
    </w:rPr>
  </w:style>
  <w:style w:type="paragraph" w:customStyle="1" w:styleId="151">
    <w:name w:val="Comments"/>
    <w:basedOn w:val="1"/>
    <w:link w:val="152"/>
    <w:qFormat/>
    <w:uiPriority w:val="0"/>
    <w:pPr>
      <w:spacing w:before="40"/>
    </w:pPr>
    <w:rPr>
      <w:rFonts w:ascii="Arial" w:hAnsi="Arial" w:eastAsia="MS Mincho" w:cs="Times New Roman"/>
      <w:i/>
      <w:sz w:val="18"/>
      <w:lang w:eastAsia="en-GB"/>
    </w:rPr>
  </w:style>
  <w:style w:type="character" w:customStyle="1" w:styleId="152">
    <w:name w:val="Comments Char"/>
    <w:link w:val="151"/>
    <w:qFormat/>
    <w:uiPriority w:val="0"/>
    <w:rPr>
      <w:rFonts w:ascii="Arial" w:hAnsi="Arial" w:eastAsia="MS Mincho"/>
      <w:i/>
      <w:sz w:val="18"/>
      <w:szCs w:val="22"/>
      <w:lang w:val="fi-FI"/>
    </w:rPr>
  </w:style>
  <w:style w:type="paragraph" w:customStyle="1" w:styleId="153">
    <w:name w:val="IvD bodytext"/>
    <w:basedOn w:val="15"/>
    <w:link w:val="154"/>
    <w:qFormat/>
    <w:uiPriority w:val="0"/>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154">
    <w:name w:val="IvD bodytext Char"/>
    <w:basedOn w:val="53"/>
    <w:link w:val="153"/>
    <w:qFormat/>
    <w:uiPriority w:val="0"/>
    <w:rPr>
      <w:rFonts w:ascii="Arial" w:hAnsi="Arial"/>
      <w:spacing w:val="2"/>
      <w:lang w:val="fi-FI" w:eastAsia="en-US"/>
    </w:rPr>
  </w:style>
  <w:style w:type="paragraph" w:customStyle="1" w:styleId="155">
    <w:name w:val="null"/>
    <w:basedOn w:val="1"/>
    <w:qFormat/>
    <w:uiPriority w:val="0"/>
    <w:pPr>
      <w:spacing w:before="100" w:beforeAutospacing="1" w:after="100" w:afterAutospacing="1"/>
    </w:pPr>
    <w:rPr>
      <w:rFonts w:ascii="Calibri" w:hAnsi="Calibri" w:cs="Calibri"/>
    </w:rPr>
  </w:style>
  <w:style w:type="character" w:customStyle="1" w:styleId="156">
    <w:name w:val="Caption Char"/>
    <w:link w:val="29"/>
    <w:qFormat/>
    <w:uiPriority w:val="0"/>
    <w:rPr>
      <w:rFonts w:asciiTheme="minorHAnsi" w:hAnsiTheme="minorHAnsi" w:eastAsiaTheme="minorHAnsi" w:cstheme="minorBidi"/>
      <w:b/>
      <w:sz w:val="22"/>
      <w:szCs w:val="22"/>
      <w:lang w:val="fi-FI"/>
    </w:rPr>
  </w:style>
  <w:style w:type="character" w:customStyle="1" w:styleId="157">
    <w:name w:val="B1 Char"/>
    <w:qFormat/>
    <w:uiPriority w:val="0"/>
    <w:rPr>
      <w:rFonts w:eastAsia="MS Mincho"/>
      <w:lang w:val="en-GB" w:eastAsia="en-US" w:bidi="ar-SA"/>
    </w:rPr>
  </w:style>
  <w:style w:type="paragraph" w:customStyle="1" w:styleId="158">
    <w:name w:val="Doc-comment"/>
    <w:basedOn w:val="1"/>
    <w:next w:val="113"/>
    <w:qFormat/>
    <w:uiPriority w:val="0"/>
    <w:pPr>
      <w:tabs>
        <w:tab w:val="left" w:pos="1622"/>
      </w:tabs>
      <w:ind w:left="1622" w:hanging="363"/>
    </w:pPr>
    <w:rPr>
      <w:rFonts w:ascii="Arial" w:hAnsi="Arial" w:eastAsia="MS Mincho" w:cs="Times New Roman"/>
      <w:i/>
      <w:lang w:eastAsia="en-GB"/>
    </w:rPr>
  </w:style>
  <w:style w:type="paragraph" w:customStyle="1" w:styleId="159">
    <w:name w:val="TdocHeader"/>
    <w:basedOn w:val="1"/>
    <w:link w:val="160"/>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2"/>
    </w:pPr>
    <w:rPr>
      <w:rFonts w:ascii="Arial" w:hAnsi="Arial" w:eastAsia="Times New Roman" w:cs="Times New Roman"/>
      <w:szCs w:val="20"/>
    </w:rPr>
  </w:style>
  <w:style w:type="character" w:customStyle="1" w:styleId="160">
    <w:name w:val="TdocHeader Char"/>
    <w:basedOn w:val="53"/>
    <w:link w:val="159"/>
    <w:qFormat/>
    <w:uiPriority w:val="0"/>
    <w:rPr>
      <w:rFonts w:ascii="Arial" w:hAnsi="Arial"/>
      <w:sz w:val="22"/>
      <w:shd w:val="clear" w:color="auto" w:fill="FBE4D5" w:themeFill="accent2" w:themeFillTint="33"/>
      <w:lang w:eastAsia="en-US"/>
    </w:rPr>
  </w:style>
  <w:style w:type="paragraph" w:customStyle="1" w:styleId="161">
    <w:name w:val="ReviewHeading"/>
    <w:basedOn w:val="2"/>
    <w:link w:val="162"/>
    <w:qFormat/>
    <w:uiPriority w:val="0"/>
  </w:style>
  <w:style w:type="character" w:customStyle="1" w:styleId="162">
    <w:name w:val="ReviewHeading Char"/>
    <w:basedOn w:val="68"/>
    <w:link w:val="161"/>
    <w:qFormat/>
    <w:uiPriority w:val="0"/>
    <w:rPr>
      <w:rFonts w:ascii="Arial" w:hAnsi="Arial" w:cs="Arial"/>
      <w:sz w:val="36"/>
      <w:szCs w:val="36"/>
      <w:lang w:eastAsia="zh-CN"/>
    </w:rPr>
  </w:style>
  <w:style w:type="character" w:customStyle="1" w:styleId="163">
    <w:name w:val="apple-tab-span"/>
    <w:basedOn w:val="53"/>
    <w:qFormat/>
    <w:uiPriority w:val="0"/>
  </w:style>
  <w:style w:type="character" w:customStyle="1" w:styleId="164">
    <w:name w:val="TAL Char"/>
    <w:basedOn w:val="53"/>
    <w:qFormat/>
    <w:locked/>
    <w:uiPriority w:val="0"/>
    <w:rPr>
      <w:rFonts w:ascii="Arial" w:hAnsi="Arial" w:cs="Arial"/>
      <w:lang w:eastAsia="ko-KR"/>
    </w:rPr>
  </w:style>
  <w:style w:type="character" w:customStyle="1" w:styleId="165">
    <w:name w:val="TAC Char"/>
    <w:basedOn w:val="53"/>
    <w:link w:val="79"/>
    <w:qFormat/>
    <w:locked/>
    <w:uiPriority w:val="0"/>
    <w:rPr>
      <w:rFonts w:ascii="Arial" w:hAnsi="Arial" w:eastAsiaTheme="minorHAnsi" w:cstheme="minorBidi"/>
      <w:sz w:val="18"/>
      <w:szCs w:val="22"/>
      <w:lang w:val="zh-CN" w:eastAsia="zh-CN"/>
    </w:rPr>
  </w:style>
  <w:style w:type="character" w:customStyle="1" w:styleId="166">
    <w:name w:val="TAH Char"/>
    <w:basedOn w:val="53"/>
    <w:qFormat/>
    <w:locked/>
    <w:uiPriority w:val="0"/>
    <w:rPr>
      <w:rFonts w:ascii="Arial" w:hAnsi="Arial" w:cs="Arial"/>
      <w:b/>
      <w:bCs/>
      <w:lang w:eastAsia="ko-KR"/>
    </w:rPr>
  </w:style>
  <w:style w:type="paragraph" w:customStyle="1" w:styleId="167">
    <w:name w:val="ReviewText"/>
    <w:basedOn w:val="1"/>
    <w:link w:val="168"/>
    <w:qFormat/>
    <w:uiPriority w:val="0"/>
    <w:pPr>
      <w:overflowPunct w:val="0"/>
      <w:adjustRightInd w:val="0"/>
      <w:spacing w:after="80" w:line="240" w:lineRule="auto"/>
      <w:ind w:left="567"/>
      <w:textAlignment w:val="baseline"/>
    </w:pPr>
    <w:rPr>
      <w:rFonts w:ascii="Arial" w:hAnsi="Arial" w:eastAsia="Times New Roman" w:cs="Times New Roman"/>
      <w:szCs w:val="20"/>
      <w:lang w:val="en-GB" w:eastAsia="zh-CN"/>
    </w:rPr>
  </w:style>
  <w:style w:type="character" w:customStyle="1" w:styleId="168">
    <w:name w:val="ReviewText Char"/>
    <w:basedOn w:val="53"/>
    <w:link w:val="167"/>
    <w:qFormat/>
    <w:uiPriority w:val="0"/>
    <w:rPr>
      <w:rFonts w:ascii="Arial" w:hAnsi="Arial"/>
      <w:lang w:eastAsia="zh-CN"/>
    </w:rPr>
  </w:style>
  <w:style w:type="character" w:customStyle="1" w:styleId="169">
    <w:name w:val="B3 Char"/>
    <w:qFormat/>
    <w:uiPriority w:val="0"/>
    <w:rPr>
      <w:rFonts w:ascii="Times New Roman" w:hAnsi="Times New Roman" w:eastAsia="PMingLiU" w:cs="Times New Roman"/>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8029C-A1CC-4F03-9145-C5372E3E36BD}">
  <ds:schemaRefs/>
</ds:datastoreItem>
</file>

<file path=customXml/itemProps3.xml><?xml version="1.0" encoding="utf-8"?>
<ds:datastoreItem xmlns:ds="http://schemas.openxmlformats.org/officeDocument/2006/customXml" ds:itemID="{1D7F2F51-DBDB-41F7-A2ED-72F76ACBCBB4}">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1359</Words>
  <Characters>7749</Characters>
  <Lines>64</Lines>
  <Paragraphs>18</Paragraphs>
  <TotalTime>6</TotalTime>
  <ScaleCrop>false</ScaleCrop>
  <LinksUpToDate>false</LinksUpToDate>
  <CharactersWithSpaces>9090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2022-05-10T05:51:00Z</dcterms:created>
  <dc:creator>Xingqin</dc:creator>
  <cp:keywords>3GPP; Ericsson; TDoc</cp:keywords>
  <cp:lastModifiedBy>ZTE DF</cp:lastModifiedBy>
  <cp:lastPrinted>2008-01-30T20:09:00Z</cp:lastPrinted>
  <dcterms:modified xsi:type="dcterms:W3CDTF">2022-05-10T07:25:06Z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