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SimSun" w:hAnsi="SimSun" w:cs="SimSun"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F3583D">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A11B4A" w:rsidP="003B480A">
            <w:pPr>
              <w:rPr>
                <w:rFonts w:eastAsia="MS Mincho"/>
                <w:lang w:eastAsia="ja-JP"/>
              </w:rPr>
            </w:pPr>
            <w:hyperlink r:id="rId13" w:history="1">
              <w:r w:rsidR="00853A61" w:rsidRPr="00154B2B">
                <w:rPr>
                  <w:rStyle w:val="Hyperlink"/>
                  <w:lang w:val="en-US" w:eastAsia="zh-CN"/>
                </w:rPr>
                <w:t>Jialinzou88@yahoo.com</w:t>
              </w:r>
            </w:hyperlink>
          </w:p>
        </w:tc>
      </w:tr>
      <w:tr w:rsidR="00853A61" w:rsidRPr="00CF2D94" w14:paraId="40E00DB6" w14:textId="77777777" w:rsidTr="00F3583D">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F3583D">
        <w:tc>
          <w:tcPr>
            <w:tcW w:w="4742" w:type="dxa"/>
          </w:tcPr>
          <w:p w14:paraId="6C5CD4E8" w14:textId="50E099B4" w:rsidR="001B0A57" w:rsidRDefault="001B0A57" w:rsidP="001B0A57">
            <w:pPr>
              <w:rPr>
                <w:lang w:eastAsia="zh-CN"/>
              </w:rPr>
            </w:pPr>
            <w:r>
              <w:rPr>
                <w:rFonts w:hint="eastAsia"/>
                <w:lang w:val="en-US" w:eastAsia="zh-CN"/>
              </w:rPr>
              <w:t>Spreadtrum</w:t>
            </w:r>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CF2D94" w14:paraId="5334BD20" w14:textId="77777777" w:rsidTr="00F3583D">
        <w:tc>
          <w:tcPr>
            <w:tcW w:w="4742" w:type="dxa"/>
          </w:tcPr>
          <w:p w14:paraId="6E37A0B2" w14:textId="1BA1D744" w:rsidR="005A4139" w:rsidRDefault="005A4139" w:rsidP="001B0A57">
            <w:pPr>
              <w:rPr>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Default="005A4139" w:rsidP="001B0A57">
            <w:pPr>
              <w:rPr>
                <w:lang w:val="en-US" w:eastAsia="zh-CN"/>
              </w:rPr>
            </w:pPr>
            <w:r>
              <w:rPr>
                <w:rFonts w:hint="eastAsia"/>
                <w:lang w:val="en-US" w:eastAsia="zh-CN"/>
              </w:rPr>
              <w:t>L</w:t>
            </w:r>
            <w:r>
              <w:rPr>
                <w:lang w:val="en-US" w:eastAsia="zh-CN"/>
              </w:rPr>
              <w:t>imei Wei: limei.wei@td-tech.com</w:t>
            </w:r>
          </w:p>
        </w:tc>
      </w:tr>
      <w:tr w:rsidR="00EA1D1A" w:rsidRPr="00CF2D94" w14:paraId="5DE05309" w14:textId="77777777" w:rsidTr="00F3583D">
        <w:tc>
          <w:tcPr>
            <w:tcW w:w="4742" w:type="dxa"/>
          </w:tcPr>
          <w:p w14:paraId="2B66F628" w14:textId="1B5537A3" w:rsidR="00EA1D1A" w:rsidRDefault="00EA1D1A" w:rsidP="00EA1D1A">
            <w:pPr>
              <w:rPr>
                <w:rFonts w:hint="eastAsia"/>
                <w:lang w:val="en-US" w:eastAsia="zh-CN"/>
              </w:rPr>
            </w:pPr>
            <w:r>
              <w:rPr>
                <w:lang w:eastAsia="zh-CN"/>
              </w:rPr>
              <w:t>Intel</w:t>
            </w:r>
          </w:p>
        </w:tc>
        <w:tc>
          <w:tcPr>
            <w:tcW w:w="4881" w:type="dxa"/>
          </w:tcPr>
          <w:p w14:paraId="27FE3267" w14:textId="2F4423B6" w:rsidR="00EA1D1A" w:rsidRDefault="00EA1D1A" w:rsidP="00EA1D1A">
            <w:pPr>
              <w:rPr>
                <w:rFonts w:hint="eastAsia"/>
                <w:lang w:val="en-US" w:eastAsia="zh-CN"/>
              </w:rPr>
            </w:pPr>
            <w:r>
              <w:rPr>
                <w:lang w:eastAsia="zh-CN"/>
              </w:rPr>
              <w:t>Yujian Zhang (yujian.zhang@intel.com)</w:t>
            </w:r>
          </w:p>
        </w:tc>
      </w:tr>
    </w:tbl>
    <w:p w14:paraId="0925FD9C" w14:textId="77777777" w:rsidR="00DA26C5" w:rsidRPr="00F84413" w:rsidRDefault="00DA26C5">
      <w:pPr>
        <w:rPr>
          <w:lang w:val="fi-FI" w:eastAsia="zh-CN"/>
        </w:rPr>
      </w:pPr>
    </w:p>
    <w:p w14:paraId="117F046B" w14:textId="77777777" w:rsidR="00DA26C5" w:rsidRDefault="00977A79">
      <w:pPr>
        <w:pStyle w:val="Heading1"/>
        <w:numPr>
          <w:ilvl w:val="0"/>
          <w:numId w:val="0"/>
        </w:numPr>
        <w:ind w:left="567" w:hanging="567"/>
      </w:pPr>
      <w:r>
        <w:lastRenderedPageBreak/>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r>
              <w:rPr>
                <w:rFonts w:hint="eastAsia"/>
                <w:lang w:eastAsia="zh-CN"/>
              </w:rPr>
              <w:t>Yes,but</w:t>
            </w:r>
            <w:proofErr w:type="spell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F84413">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F84413">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F84413">
        <w:tc>
          <w:tcPr>
            <w:tcW w:w="2313" w:type="dxa"/>
          </w:tcPr>
          <w:p w14:paraId="7288375C" w14:textId="0AE86FAF" w:rsidR="00F11589" w:rsidRDefault="00F11589" w:rsidP="00F11589">
            <w:pPr>
              <w:rPr>
                <w:lang w:val="en-US" w:eastAsia="zh-CN"/>
              </w:rPr>
            </w:pPr>
            <w:r>
              <w:rPr>
                <w:rFonts w:hint="eastAsia"/>
                <w:lang w:eastAsia="zh-CN"/>
              </w:rPr>
              <w:t>S</w:t>
            </w:r>
            <w:r>
              <w:rPr>
                <w:lang w:eastAsia="zh-CN"/>
              </w:rPr>
              <w:t>preadtrum</w:t>
            </w:r>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F84413">
        <w:tc>
          <w:tcPr>
            <w:tcW w:w="2313" w:type="dxa"/>
          </w:tcPr>
          <w:p w14:paraId="36F191B2" w14:textId="4BE85E37" w:rsidR="005A4139" w:rsidRDefault="005A4139" w:rsidP="00F11589">
            <w:pPr>
              <w:rPr>
                <w:lang w:eastAsia="zh-CN"/>
              </w:rPr>
            </w:pPr>
            <w:r>
              <w:rPr>
                <w:rFonts w:hint="eastAsia"/>
                <w:lang w:val="en-US" w:eastAsia="zh-CN"/>
              </w:rPr>
              <w:lastRenderedPageBreak/>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r w:rsidR="00EA1D1A" w14:paraId="41B212CB" w14:textId="77777777" w:rsidTr="00F84413">
        <w:tc>
          <w:tcPr>
            <w:tcW w:w="2313" w:type="dxa"/>
          </w:tcPr>
          <w:p w14:paraId="49ED25C2" w14:textId="30984D0E" w:rsidR="00EA1D1A" w:rsidRDefault="00EA1D1A" w:rsidP="00EA1D1A">
            <w:pPr>
              <w:rPr>
                <w:rFonts w:hint="eastAsia"/>
                <w:lang w:val="en-US" w:eastAsia="zh-CN"/>
              </w:rPr>
            </w:pPr>
            <w:r>
              <w:t>Intel</w:t>
            </w:r>
          </w:p>
        </w:tc>
        <w:tc>
          <w:tcPr>
            <w:tcW w:w="899" w:type="dxa"/>
          </w:tcPr>
          <w:p w14:paraId="29CE6ACE" w14:textId="5DD0CC4E" w:rsidR="00EA1D1A" w:rsidRDefault="00EA1D1A" w:rsidP="00EA1D1A">
            <w:pPr>
              <w:rPr>
                <w:lang w:eastAsia="zh-CN"/>
              </w:rPr>
            </w:pPr>
            <w:r>
              <w:t>No</w:t>
            </w:r>
          </w:p>
        </w:tc>
        <w:tc>
          <w:tcPr>
            <w:tcW w:w="6412" w:type="dxa"/>
          </w:tcPr>
          <w:p w14:paraId="2E3AAB59" w14:textId="77777777" w:rsidR="00EA1D1A" w:rsidRDefault="00EA1D1A" w:rsidP="00EA1D1A">
            <w:r>
              <w:t xml:space="preserve">Agree with setting </w:t>
            </w:r>
            <w:r>
              <w:rPr>
                <w:i/>
                <w:iCs/>
              </w:rPr>
              <w:t xml:space="preserve">t-Reassembly </w:t>
            </w:r>
            <w:r>
              <w:t xml:space="preserve">to 0 </w:t>
            </w:r>
            <w:proofErr w:type="spellStart"/>
            <w:r>
              <w:t>ms</w:t>
            </w:r>
            <w:proofErr w:type="spellEnd"/>
            <w:r>
              <w:t>.</w:t>
            </w:r>
          </w:p>
          <w:p w14:paraId="1BCC3519" w14:textId="77777777" w:rsidR="00EA1D1A" w:rsidRDefault="00EA1D1A" w:rsidP="00EA1D1A"/>
          <w:p w14:paraId="6EE426D1" w14:textId="041DC9AA" w:rsidR="00EA1D1A" w:rsidRDefault="00EA1D1A" w:rsidP="00EA1D1A">
            <w:pPr>
              <w:rPr>
                <w:lang w:val="en-US" w:eastAsia="zh-CN"/>
              </w:rPr>
            </w:pPr>
            <w:r>
              <w:t xml:space="preserve">For RLC </w:t>
            </w:r>
            <w:proofErr w:type="spellStart"/>
            <w:r>
              <w:rPr>
                <w:i/>
                <w:iCs/>
              </w:rPr>
              <w:t>sn-FieldLength</w:t>
            </w:r>
            <w:proofErr w:type="spellEnd"/>
            <w:r>
              <w:t xml:space="preserve">, our preferred value is </w:t>
            </w:r>
            <w:r>
              <w:rPr>
                <w:lang w:eastAsia="zh-CN"/>
              </w:rPr>
              <w:t xml:space="preserve">6 bits (the smaller value of the available sets </w:t>
            </w:r>
            <w:proofErr w:type="gramStart"/>
            <w:r>
              <w:rPr>
                <w:lang w:eastAsia="zh-CN"/>
              </w:rPr>
              <w:t>{ 6</w:t>
            </w:r>
            <w:proofErr w:type="gramEnd"/>
            <w:r>
              <w:rPr>
                <w:lang w:eastAsia="zh-CN"/>
              </w:rPr>
              <w:t xml:space="preserve"> bits, 12 bits}). </w:t>
            </w:r>
            <w:r w:rsidRPr="00622780">
              <w:rPr>
                <w:lang w:eastAsia="zh-CN"/>
              </w:rPr>
              <w:t>MCCH content can only change at modification period boundary, therefore we don’t think larger SN length is needed.</w:t>
            </w: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58"/>
        <w:gridCol w:w="1083"/>
        <w:gridCol w:w="6283"/>
      </w:tblGrid>
      <w:tr w:rsidR="00DA26C5" w14:paraId="24F020AE" w14:textId="77777777" w:rsidTr="003B480A">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3B480A">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3B480A">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3B480A">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3B480A">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3B480A">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3B480A">
        <w:tc>
          <w:tcPr>
            <w:tcW w:w="2258" w:type="dxa"/>
          </w:tcPr>
          <w:p w14:paraId="4EE7E323" w14:textId="77777777" w:rsidR="00977A79" w:rsidRDefault="00977A79">
            <w:pPr>
              <w:rPr>
                <w:lang w:val="en-US" w:eastAsia="zh-CN"/>
              </w:rPr>
            </w:pPr>
            <w:r>
              <w:rPr>
                <w:rFonts w:hint="eastAsia"/>
                <w:lang w:val="en-US" w:eastAsia="zh-CN"/>
              </w:rPr>
              <w:lastRenderedPageBreak/>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ListParagraph"/>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ListParagraph"/>
              <w:numPr>
                <w:ilvl w:val="0"/>
                <w:numId w:val="17"/>
              </w:numPr>
            </w:pPr>
            <w:r>
              <w:t xml:space="preserve">We also think </w:t>
            </w:r>
            <w:r w:rsidR="00977A79">
              <w:t>RLC SN</w:t>
            </w:r>
            <w:r>
              <w:t xml:space="preserve"> is 6bit and it align with MCCH.</w:t>
            </w:r>
          </w:p>
        </w:tc>
      </w:tr>
      <w:tr w:rsidR="00911212" w14:paraId="594C14A2" w14:textId="77777777" w:rsidTr="003B480A">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3B480A">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3B480A">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3B480A">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3B480A">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3B480A">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3B480A">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3B480A">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3B480A">
        <w:tc>
          <w:tcPr>
            <w:tcW w:w="2258" w:type="dxa"/>
          </w:tcPr>
          <w:p w14:paraId="302A0B4E" w14:textId="460ECD1E" w:rsidR="00D44593" w:rsidRDefault="00D44593" w:rsidP="00D44593">
            <w:pPr>
              <w:rPr>
                <w:lang w:val="en-US" w:eastAsia="zh-CN"/>
              </w:rPr>
            </w:pPr>
            <w:r>
              <w:rPr>
                <w:rFonts w:hint="eastAsia"/>
                <w:lang w:eastAsia="zh-CN"/>
              </w:rPr>
              <w:t>S</w:t>
            </w:r>
            <w:r>
              <w:rPr>
                <w:lang w:eastAsia="zh-CN"/>
              </w:rPr>
              <w:t>preadtrum</w:t>
            </w:r>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3B480A">
        <w:tc>
          <w:tcPr>
            <w:tcW w:w="2258" w:type="dxa"/>
          </w:tcPr>
          <w:p w14:paraId="0CE7417B" w14:textId="730A078C" w:rsidR="005A4139" w:rsidRDefault="005A4139" w:rsidP="00D44593">
            <w:pPr>
              <w:rPr>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r w:rsidR="00EA1D1A" w14:paraId="08594D75" w14:textId="77777777" w:rsidTr="003B480A">
        <w:tc>
          <w:tcPr>
            <w:tcW w:w="2258" w:type="dxa"/>
          </w:tcPr>
          <w:p w14:paraId="348A9D4C" w14:textId="54116ECB" w:rsidR="00EA1D1A" w:rsidRDefault="00EA1D1A" w:rsidP="00EA1D1A">
            <w:pPr>
              <w:rPr>
                <w:rFonts w:hint="eastAsia"/>
                <w:lang w:val="en-US" w:eastAsia="zh-CN"/>
              </w:rPr>
            </w:pPr>
            <w:r>
              <w:t>Intel</w:t>
            </w:r>
          </w:p>
        </w:tc>
        <w:tc>
          <w:tcPr>
            <w:tcW w:w="1083" w:type="dxa"/>
          </w:tcPr>
          <w:p w14:paraId="44C14DCB" w14:textId="3BD44A32" w:rsidR="00EA1D1A" w:rsidRDefault="00EA1D1A" w:rsidP="00EA1D1A">
            <w:pPr>
              <w:rPr>
                <w:lang w:eastAsia="zh-CN"/>
              </w:rPr>
            </w:pPr>
            <w:r>
              <w:t>No</w:t>
            </w:r>
          </w:p>
        </w:tc>
        <w:tc>
          <w:tcPr>
            <w:tcW w:w="6283" w:type="dxa"/>
          </w:tcPr>
          <w:p w14:paraId="46D22EC6" w14:textId="5A2F41F2" w:rsidR="00EA1D1A" w:rsidRDefault="00EA1D1A" w:rsidP="00EA1D1A">
            <w:pPr>
              <w:rPr>
                <w:lang w:val="en-US" w:eastAsia="zh-CN"/>
              </w:rPr>
            </w:pPr>
            <w:r>
              <w:t xml:space="preserve">We prefer different default values for RLC and PDCP SN sizes. In NR, PDCP SN length can be 12 or 18 bits, while RLC UM SN length can be 6 or 12 bits. In LTE, </w:t>
            </w:r>
            <w:proofErr w:type="gramStart"/>
            <w:r w:rsidRPr="004443DD">
              <w:t>5 bit</w:t>
            </w:r>
            <w:proofErr w:type="gramEnd"/>
            <w:r w:rsidRPr="004443DD">
              <w:t xml:space="preserve"> RLC SN size </w:t>
            </w:r>
            <w:r>
              <w:t xml:space="preserve">is used for MTCH, </w:t>
            </w:r>
            <w:r w:rsidRPr="004443DD">
              <w:t xml:space="preserve">as in TS 36.331 </w:t>
            </w:r>
            <w:r w:rsidRPr="00866B88">
              <w:t xml:space="preserve">clause 9.1.1.4. </w:t>
            </w:r>
            <w:r>
              <w:t xml:space="preserve">The same principle (smaller value is used for default SN length) can be applicable for NR MTCH. </w:t>
            </w:r>
            <w:r w:rsidRPr="00866B88">
              <w:t>Considering typical MBS service has lower data rate compared with peak unicast data rate, it is proposed that default</w:t>
            </w:r>
            <w:r>
              <w:t xml:space="preserve"> MTCH</w:t>
            </w:r>
            <w:r w:rsidRPr="00866B88">
              <w:t xml:space="preserve"> SN length for PDCP and RLC are 12 bits and 6 bits, respectively</w:t>
            </w:r>
            <w:r>
              <w:t xml:space="preserve">, </w:t>
            </w:r>
            <w:proofErr w:type="gramStart"/>
            <w:r>
              <w:t>i.e.</w:t>
            </w:r>
            <w:proofErr w:type="gramEnd"/>
            <w:r>
              <w:t xml:space="preserve"> </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r>
              <w:rPr>
                <w:iCs/>
                <w:lang w:eastAsia="sv-SE"/>
              </w:rPr>
              <w:t xml:space="preserve"> = 12, </w:t>
            </w:r>
            <w:proofErr w:type="spellStart"/>
            <w:r>
              <w:rPr>
                <w:i/>
                <w:lang w:eastAsia="sv-SE"/>
              </w:rPr>
              <w:t>sn-FieldLength</w:t>
            </w:r>
            <w:proofErr w:type="spellEnd"/>
            <w:r>
              <w:rPr>
                <w:iCs/>
                <w:lang w:eastAsia="sv-SE"/>
              </w:rPr>
              <w:t xml:space="preserve"> = 6.</w:t>
            </w:r>
          </w:p>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lastRenderedPageBreak/>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lang w:val="en-US" w:eastAsia="zh-CN"/>
              </w:rPr>
            </w:pPr>
            <w:r>
              <w:rPr>
                <w:rFonts w:hint="eastAsia"/>
                <w:lang w:eastAsia="zh-CN"/>
              </w:rPr>
              <w:t>S</w:t>
            </w:r>
            <w:r>
              <w:rPr>
                <w:lang w:eastAsia="zh-CN"/>
              </w:rPr>
              <w:t>preadtrum</w:t>
            </w:r>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0E4BDF">
        <w:tc>
          <w:tcPr>
            <w:tcW w:w="2312" w:type="dxa"/>
          </w:tcPr>
          <w:p w14:paraId="73C47924" w14:textId="344CDC77" w:rsidR="005A4139" w:rsidRDefault="005A4139" w:rsidP="00D44593">
            <w:pPr>
              <w:rPr>
                <w:lang w:eastAsia="zh-CN"/>
              </w:rPr>
            </w:pPr>
            <w:r>
              <w:rPr>
                <w:rFonts w:hint="eastAsia"/>
                <w:lang w:val="en-US" w:eastAsia="zh-CN"/>
              </w:rPr>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r w:rsidR="00EA1D1A" w14:paraId="1A909F4A" w14:textId="77777777" w:rsidTr="000E4BDF">
        <w:tc>
          <w:tcPr>
            <w:tcW w:w="2312" w:type="dxa"/>
          </w:tcPr>
          <w:p w14:paraId="63386F5E" w14:textId="2C4E8E04" w:rsidR="00EA1D1A" w:rsidRDefault="00EA1D1A" w:rsidP="00EA1D1A">
            <w:pPr>
              <w:rPr>
                <w:rFonts w:hint="eastAsia"/>
                <w:lang w:val="en-US" w:eastAsia="zh-CN"/>
              </w:rPr>
            </w:pPr>
            <w:r>
              <w:t>Intel</w:t>
            </w:r>
          </w:p>
        </w:tc>
        <w:tc>
          <w:tcPr>
            <w:tcW w:w="899" w:type="dxa"/>
          </w:tcPr>
          <w:p w14:paraId="0715635C" w14:textId="5CAB0612" w:rsidR="00EA1D1A" w:rsidRDefault="00EA1D1A" w:rsidP="00EA1D1A">
            <w:pPr>
              <w:rPr>
                <w:lang w:val="en-US" w:eastAsia="zh-CN"/>
              </w:rPr>
            </w:pPr>
            <w:r>
              <w:t>No</w:t>
            </w:r>
          </w:p>
        </w:tc>
        <w:tc>
          <w:tcPr>
            <w:tcW w:w="6413" w:type="dxa"/>
          </w:tcPr>
          <w:p w14:paraId="5A917DB6" w14:textId="77777777" w:rsidR="00EA1D1A" w:rsidRDefault="00EA1D1A" w:rsidP="00EA1D1A">
            <w:pPr>
              <w:rPr>
                <w:lang w:val="en-US" w:eastAsia="zh-CN"/>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lastRenderedPageBreak/>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63"/>
        <w:gridCol w:w="1083"/>
        <w:gridCol w:w="6278"/>
      </w:tblGrid>
      <w:tr w:rsidR="00DA26C5" w14:paraId="78A943A4" w14:textId="77777777" w:rsidTr="003B480A">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3B480A">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3B480A">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3B480A">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3B480A">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3B480A">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3B480A">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lastRenderedPageBreak/>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3B480A">
        <w:tc>
          <w:tcPr>
            <w:tcW w:w="2263" w:type="dxa"/>
          </w:tcPr>
          <w:p w14:paraId="69910451" w14:textId="77777777" w:rsidR="00516627" w:rsidRDefault="00516627" w:rsidP="00012CEB">
            <w:pPr>
              <w:rPr>
                <w:lang w:val="en-US" w:eastAsia="zh-CN"/>
              </w:rPr>
            </w:pPr>
            <w:r>
              <w:rPr>
                <w:lang w:val="en-US" w:eastAsia="zh-CN"/>
              </w:rPr>
              <w:lastRenderedPageBreak/>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3B480A">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3B480A">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3B480A">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3B480A">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3B480A">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3B480A">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3B480A">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3B480A">
        <w:tc>
          <w:tcPr>
            <w:tcW w:w="2263" w:type="dxa"/>
          </w:tcPr>
          <w:p w14:paraId="660B40F8" w14:textId="3FA868C5" w:rsidR="00EA594F" w:rsidRDefault="00EA594F" w:rsidP="00EA594F">
            <w:pPr>
              <w:rPr>
                <w:lang w:val="en-US" w:eastAsia="zh-CN"/>
              </w:rPr>
            </w:pPr>
            <w:r>
              <w:rPr>
                <w:rFonts w:hint="eastAsia"/>
                <w:lang w:eastAsia="zh-CN"/>
              </w:rPr>
              <w:t>S</w:t>
            </w:r>
            <w:r>
              <w:rPr>
                <w:lang w:eastAsia="zh-CN"/>
              </w:rPr>
              <w:t>preadtrum</w:t>
            </w:r>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3B480A">
        <w:tc>
          <w:tcPr>
            <w:tcW w:w="2263" w:type="dxa"/>
          </w:tcPr>
          <w:p w14:paraId="1CF2A34F" w14:textId="08C2CF8C" w:rsidR="005A4139" w:rsidRDefault="005A4139" w:rsidP="00EA594F">
            <w:pPr>
              <w:rPr>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r w:rsidR="00EA1D1A" w14:paraId="7C849C5F" w14:textId="77777777" w:rsidTr="003B480A">
        <w:tc>
          <w:tcPr>
            <w:tcW w:w="2263" w:type="dxa"/>
          </w:tcPr>
          <w:p w14:paraId="6340E1A2" w14:textId="799F255E" w:rsidR="00EA1D1A" w:rsidRDefault="00EA1D1A" w:rsidP="00EA1D1A">
            <w:pPr>
              <w:rPr>
                <w:rFonts w:hint="eastAsia"/>
                <w:lang w:val="en-US" w:eastAsia="zh-CN"/>
              </w:rPr>
            </w:pPr>
            <w:r>
              <w:lastRenderedPageBreak/>
              <w:t>Intel</w:t>
            </w:r>
          </w:p>
        </w:tc>
        <w:tc>
          <w:tcPr>
            <w:tcW w:w="1083" w:type="dxa"/>
          </w:tcPr>
          <w:p w14:paraId="4B1CF8BD" w14:textId="69696D20" w:rsidR="00EA1D1A" w:rsidRDefault="00EA1D1A" w:rsidP="00EA1D1A">
            <w:pPr>
              <w:rPr>
                <w:rFonts w:hint="eastAsia"/>
                <w:lang w:val="en-US" w:eastAsia="zh-CN"/>
              </w:rPr>
            </w:pPr>
            <w:r>
              <w:t>Option 1</w:t>
            </w:r>
          </w:p>
        </w:tc>
        <w:tc>
          <w:tcPr>
            <w:tcW w:w="6278" w:type="dxa"/>
          </w:tcPr>
          <w:p w14:paraId="317F524A" w14:textId="77777777" w:rsidR="00EA1D1A" w:rsidRDefault="00EA1D1A" w:rsidP="00EA1D1A">
            <w:pPr>
              <w:pStyle w:val="Agreement"/>
              <w:numPr>
                <w:ilvl w:val="0"/>
                <w:numId w:val="0"/>
              </w:numPr>
              <w:rPr>
                <w:rFonts w:eastAsiaTheme="minorEastAsia"/>
                <w:lang w:eastAsia="zh-CN"/>
              </w:rPr>
            </w:pP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646246">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646246">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 xml:space="preserve">It may depends on whether </w:t>
            </w:r>
            <w:proofErr w:type="spellStart"/>
            <w:r>
              <w:rPr>
                <w:lang w:val="en-US" w:eastAsia="zh-CN"/>
              </w:rPr>
              <w:t>SCell</w:t>
            </w:r>
            <w:proofErr w:type="spellEnd"/>
            <w:r>
              <w:rPr>
                <w:lang w:val="en-US" w:eastAsia="zh-CN"/>
              </w:rPr>
              <w:t xml:space="preserve"> for MBS reception includes SCG </w:t>
            </w:r>
            <w:proofErr w:type="spellStart"/>
            <w:r>
              <w:rPr>
                <w:lang w:val="en-US" w:eastAsia="zh-CN"/>
              </w:rPr>
              <w:t>SCell</w:t>
            </w:r>
            <w:proofErr w:type="spellEnd"/>
            <w:r>
              <w:rPr>
                <w:lang w:val="en-US" w:eastAsia="zh-CN"/>
              </w:rPr>
              <w:t>.</w:t>
            </w:r>
          </w:p>
        </w:tc>
      </w:tr>
      <w:tr w:rsidR="009604BD" w14:paraId="3CA2492C" w14:textId="77777777" w:rsidTr="00646246">
        <w:tc>
          <w:tcPr>
            <w:tcW w:w="2313" w:type="dxa"/>
          </w:tcPr>
          <w:p w14:paraId="5CF73021" w14:textId="06A9F1CD" w:rsidR="009604BD" w:rsidRDefault="009604BD" w:rsidP="009604BD">
            <w:pPr>
              <w:rPr>
                <w:lang w:val="en-US" w:eastAsia="zh-CN"/>
              </w:rPr>
            </w:pPr>
            <w:r>
              <w:rPr>
                <w:rFonts w:hint="eastAsia"/>
                <w:lang w:eastAsia="zh-CN"/>
              </w:rPr>
              <w:t>S</w:t>
            </w:r>
            <w:r>
              <w:rPr>
                <w:lang w:eastAsia="zh-CN"/>
              </w:rPr>
              <w:t>preadtrum</w:t>
            </w:r>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646246">
        <w:tc>
          <w:tcPr>
            <w:tcW w:w="2313" w:type="dxa"/>
          </w:tcPr>
          <w:p w14:paraId="2C37CFDE" w14:textId="66C9552D" w:rsidR="005A4139" w:rsidRDefault="005A4139" w:rsidP="009604BD">
            <w:pPr>
              <w:rPr>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lang w:val="en-US" w:eastAsia="zh-CN"/>
              </w:rPr>
            </w:pPr>
            <w:r>
              <w:rPr>
                <w:lang w:val="en-US" w:eastAsia="zh-CN"/>
              </w:rPr>
              <w:t>Same view as Qualcomm</w:t>
            </w:r>
          </w:p>
        </w:tc>
      </w:tr>
      <w:tr w:rsidR="00EA1D1A" w14:paraId="064FB310" w14:textId="77777777" w:rsidTr="00646246">
        <w:tc>
          <w:tcPr>
            <w:tcW w:w="2313" w:type="dxa"/>
          </w:tcPr>
          <w:p w14:paraId="2096E24E" w14:textId="1B0CE4A4" w:rsidR="00EA1D1A" w:rsidRDefault="00EA1D1A" w:rsidP="00EA1D1A">
            <w:pPr>
              <w:rPr>
                <w:rFonts w:hint="eastAsia"/>
                <w:lang w:val="en-US" w:eastAsia="zh-CN"/>
              </w:rPr>
            </w:pPr>
            <w:r>
              <w:t>Intel</w:t>
            </w:r>
          </w:p>
        </w:tc>
        <w:tc>
          <w:tcPr>
            <w:tcW w:w="899" w:type="dxa"/>
          </w:tcPr>
          <w:p w14:paraId="5774994F" w14:textId="58AC1AFB" w:rsidR="00EA1D1A" w:rsidRDefault="00EA1D1A" w:rsidP="00EA1D1A">
            <w:pPr>
              <w:rPr>
                <w:rFonts w:hint="eastAsia"/>
                <w:lang w:val="en-US" w:eastAsia="zh-CN"/>
              </w:rPr>
            </w:pPr>
            <w:r>
              <w:t>No</w:t>
            </w:r>
          </w:p>
        </w:tc>
        <w:tc>
          <w:tcPr>
            <w:tcW w:w="6412" w:type="dxa"/>
          </w:tcPr>
          <w:p w14:paraId="2F2A56C6" w14:textId="77777777" w:rsidR="00EA1D1A" w:rsidRDefault="00EA1D1A" w:rsidP="00EA1D1A">
            <w:pPr>
              <w:rPr>
                <w:lang w:val="en-US" w:eastAsia="zh-CN"/>
              </w:rPr>
            </w:pP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lastRenderedPageBreak/>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6F2D5B">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6F2D5B">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6F2D5B">
        <w:tc>
          <w:tcPr>
            <w:tcW w:w="2313" w:type="dxa"/>
          </w:tcPr>
          <w:p w14:paraId="4553F619" w14:textId="6C825864" w:rsidR="00525F64" w:rsidRDefault="00525F64" w:rsidP="00525F64">
            <w:pPr>
              <w:ind w:firstLine="284"/>
              <w:rPr>
                <w:lang w:val="en-US" w:eastAsia="zh-CN"/>
              </w:rPr>
            </w:pPr>
            <w:r>
              <w:rPr>
                <w:rFonts w:hint="eastAsia"/>
                <w:lang w:eastAsia="zh-CN"/>
              </w:rPr>
              <w:t>S</w:t>
            </w:r>
            <w:r>
              <w:rPr>
                <w:lang w:eastAsia="zh-CN"/>
              </w:rPr>
              <w:t>preadtrum</w:t>
            </w:r>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6F2D5B">
        <w:tc>
          <w:tcPr>
            <w:tcW w:w="2313" w:type="dxa"/>
          </w:tcPr>
          <w:p w14:paraId="058EB1F3" w14:textId="4E8B70D1" w:rsidR="005A4139" w:rsidRDefault="005A4139" w:rsidP="00525F64">
            <w:pPr>
              <w:ind w:firstLine="284"/>
              <w:rPr>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r w:rsidR="00EA1D1A" w14:paraId="05EB083D" w14:textId="77777777" w:rsidTr="006F2D5B">
        <w:tc>
          <w:tcPr>
            <w:tcW w:w="2313" w:type="dxa"/>
          </w:tcPr>
          <w:p w14:paraId="6F1456B0" w14:textId="2DD3DAA6" w:rsidR="00EA1D1A" w:rsidRDefault="00EA1D1A" w:rsidP="00EA1D1A">
            <w:pPr>
              <w:ind w:firstLine="284"/>
              <w:rPr>
                <w:rFonts w:hint="eastAsia"/>
                <w:lang w:val="en-US" w:eastAsia="zh-CN"/>
              </w:rPr>
            </w:pPr>
            <w:r>
              <w:t>Intel</w:t>
            </w:r>
          </w:p>
        </w:tc>
        <w:tc>
          <w:tcPr>
            <w:tcW w:w="899" w:type="dxa"/>
          </w:tcPr>
          <w:p w14:paraId="7A4E8CE7" w14:textId="3377E15B" w:rsidR="00EA1D1A" w:rsidRDefault="00EA1D1A" w:rsidP="00EA1D1A">
            <w:pPr>
              <w:rPr>
                <w:rFonts w:hint="eastAsia"/>
                <w:lang w:val="en-US" w:eastAsia="zh-CN"/>
              </w:rPr>
            </w:pPr>
            <w:r>
              <w:t>No</w:t>
            </w:r>
          </w:p>
        </w:tc>
        <w:tc>
          <w:tcPr>
            <w:tcW w:w="6412" w:type="dxa"/>
          </w:tcPr>
          <w:p w14:paraId="32807A92" w14:textId="77777777" w:rsidR="00EA1D1A" w:rsidRDefault="00EA1D1A" w:rsidP="00EA1D1A">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0" w:type="auto"/>
        <w:tblInd w:w="323" w:type="dxa"/>
        <w:tblLook w:val="04A0" w:firstRow="1" w:lastRow="0" w:firstColumn="1" w:lastColumn="0" w:noHBand="0" w:noVBand="1"/>
      </w:tblPr>
      <w:tblGrid>
        <w:gridCol w:w="1104"/>
        <w:gridCol w:w="798"/>
        <w:gridCol w:w="7404"/>
      </w:tblGrid>
      <w:tr w:rsidR="00DA26C5" w14:paraId="18DDEE83" w14:textId="77777777" w:rsidTr="00EA1D1A">
        <w:tc>
          <w:tcPr>
            <w:tcW w:w="1104" w:type="dxa"/>
          </w:tcPr>
          <w:p w14:paraId="59A2A894" w14:textId="77777777" w:rsidR="00DA26C5" w:rsidRDefault="00977A79">
            <w:pPr>
              <w:jc w:val="center"/>
              <w:rPr>
                <w:b/>
              </w:rPr>
            </w:pPr>
            <w:r>
              <w:rPr>
                <w:b/>
              </w:rPr>
              <w:t>Company</w:t>
            </w:r>
          </w:p>
        </w:tc>
        <w:tc>
          <w:tcPr>
            <w:tcW w:w="798" w:type="dxa"/>
          </w:tcPr>
          <w:p w14:paraId="502A2DCD" w14:textId="77777777" w:rsidR="00DA26C5" w:rsidRDefault="00977A79">
            <w:pPr>
              <w:jc w:val="center"/>
              <w:rPr>
                <w:b/>
              </w:rPr>
            </w:pPr>
            <w:r>
              <w:rPr>
                <w:b/>
              </w:rPr>
              <w:t>Yes/No</w:t>
            </w:r>
          </w:p>
        </w:tc>
        <w:tc>
          <w:tcPr>
            <w:tcW w:w="7404" w:type="dxa"/>
          </w:tcPr>
          <w:p w14:paraId="7D2BEADC" w14:textId="77777777" w:rsidR="00DA26C5" w:rsidRDefault="00977A79">
            <w:pPr>
              <w:jc w:val="center"/>
              <w:rPr>
                <w:b/>
              </w:rPr>
            </w:pPr>
            <w:r>
              <w:rPr>
                <w:b/>
              </w:rPr>
              <w:t>Justification / comments</w:t>
            </w:r>
          </w:p>
        </w:tc>
      </w:tr>
      <w:tr w:rsidR="00DA26C5" w14:paraId="0DCDFCA2" w14:textId="77777777" w:rsidTr="00EA1D1A">
        <w:tc>
          <w:tcPr>
            <w:tcW w:w="1104" w:type="dxa"/>
          </w:tcPr>
          <w:p w14:paraId="1513E358" w14:textId="77777777" w:rsidR="00DA26C5" w:rsidRDefault="00977A79">
            <w:r>
              <w:t>Qualcomm</w:t>
            </w:r>
          </w:p>
        </w:tc>
        <w:tc>
          <w:tcPr>
            <w:tcW w:w="798" w:type="dxa"/>
          </w:tcPr>
          <w:p w14:paraId="370572F2" w14:textId="77777777" w:rsidR="00DA26C5" w:rsidRDefault="00977A79">
            <w:r>
              <w:t>Yes</w:t>
            </w:r>
          </w:p>
        </w:tc>
        <w:tc>
          <w:tcPr>
            <w:tcW w:w="7404" w:type="dxa"/>
          </w:tcPr>
          <w:p w14:paraId="67178ECB" w14:textId="77777777" w:rsidR="00DA26C5" w:rsidRDefault="00DA26C5"/>
        </w:tc>
      </w:tr>
      <w:tr w:rsidR="00DA26C5" w14:paraId="7190EFE2" w14:textId="77777777" w:rsidTr="00EA1D1A">
        <w:tc>
          <w:tcPr>
            <w:tcW w:w="1104" w:type="dxa"/>
          </w:tcPr>
          <w:p w14:paraId="32618222" w14:textId="77777777" w:rsidR="00DA26C5" w:rsidRDefault="00977A79">
            <w:r>
              <w:t>MediaTek</w:t>
            </w:r>
          </w:p>
        </w:tc>
        <w:tc>
          <w:tcPr>
            <w:tcW w:w="798" w:type="dxa"/>
          </w:tcPr>
          <w:p w14:paraId="61CA1D6E" w14:textId="77777777" w:rsidR="00DA26C5" w:rsidRDefault="00977A79">
            <w:pPr>
              <w:rPr>
                <w:lang w:eastAsia="zh-CN"/>
              </w:rPr>
            </w:pPr>
            <w:r>
              <w:rPr>
                <w:rFonts w:hint="eastAsia"/>
                <w:lang w:eastAsia="zh-CN"/>
              </w:rPr>
              <w:t>Y</w:t>
            </w:r>
            <w:r>
              <w:rPr>
                <w:lang w:eastAsia="zh-CN"/>
              </w:rPr>
              <w:t>es</w:t>
            </w:r>
          </w:p>
        </w:tc>
        <w:tc>
          <w:tcPr>
            <w:tcW w:w="7404" w:type="dxa"/>
          </w:tcPr>
          <w:p w14:paraId="21D7DEF4" w14:textId="77777777" w:rsidR="00DA26C5" w:rsidRDefault="00DA26C5"/>
        </w:tc>
      </w:tr>
      <w:tr w:rsidR="00DA26C5" w14:paraId="353CB4A5" w14:textId="77777777" w:rsidTr="00EA1D1A">
        <w:tc>
          <w:tcPr>
            <w:tcW w:w="1104" w:type="dxa"/>
          </w:tcPr>
          <w:p w14:paraId="604FA89C" w14:textId="77777777" w:rsidR="00DA26C5" w:rsidRDefault="00977A79">
            <w:r>
              <w:t>Samsung</w:t>
            </w:r>
          </w:p>
        </w:tc>
        <w:tc>
          <w:tcPr>
            <w:tcW w:w="798" w:type="dxa"/>
          </w:tcPr>
          <w:p w14:paraId="6B045E15" w14:textId="77777777" w:rsidR="00DA26C5" w:rsidRDefault="00977A79">
            <w:r>
              <w:t>Yes</w:t>
            </w:r>
          </w:p>
        </w:tc>
        <w:tc>
          <w:tcPr>
            <w:tcW w:w="7404" w:type="dxa"/>
          </w:tcPr>
          <w:p w14:paraId="219A3DAC" w14:textId="77777777" w:rsidR="00DA26C5" w:rsidRDefault="00DA26C5"/>
        </w:tc>
      </w:tr>
      <w:tr w:rsidR="00DA26C5" w14:paraId="026FBE91" w14:textId="77777777" w:rsidTr="00EA1D1A">
        <w:tc>
          <w:tcPr>
            <w:tcW w:w="1104" w:type="dxa"/>
          </w:tcPr>
          <w:p w14:paraId="74EAEA84" w14:textId="77777777" w:rsidR="00DA26C5" w:rsidRDefault="00977A79">
            <w:r>
              <w:rPr>
                <w:rFonts w:hint="eastAsia"/>
                <w:lang w:eastAsia="zh-CN"/>
              </w:rPr>
              <w:t>CATT</w:t>
            </w:r>
          </w:p>
        </w:tc>
        <w:tc>
          <w:tcPr>
            <w:tcW w:w="798" w:type="dxa"/>
          </w:tcPr>
          <w:p w14:paraId="7333BC37" w14:textId="77777777" w:rsidR="00DA26C5" w:rsidRDefault="00977A79">
            <w:r>
              <w:rPr>
                <w:rFonts w:hint="eastAsia"/>
                <w:lang w:eastAsia="zh-CN"/>
              </w:rPr>
              <w:t>Yes</w:t>
            </w:r>
          </w:p>
        </w:tc>
        <w:tc>
          <w:tcPr>
            <w:tcW w:w="7404"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EA1D1A">
        <w:tc>
          <w:tcPr>
            <w:tcW w:w="1104" w:type="dxa"/>
          </w:tcPr>
          <w:p w14:paraId="13EE726E" w14:textId="77777777" w:rsidR="00DA26C5" w:rsidRDefault="00977A79">
            <w:pPr>
              <w:rPr>
                <w:lang w:val="en-US" w:eastAsia="zh-CN"/>
              </w:rPr>
            </w:pPr>
            <w:r>
              <w:rPr>
                <w:rFonts w:hint="eastAsia"/>
                <w:lang w:val="en-US" w:eastAsia="zh-CN"/>
              </w:rPr>
              <w:t>ZTE</w:t>
            </w:r>
          </w:p>
        </w:tc>
        <w:tc>
          <w:tcPr>
            <w:tcW w:w="798" w:type="dxa"/>
          </w:tcPr>
          <w:p w14:paraId="3DA8B0D1" w14:textId="77777777" w:rsidR="00DA26C5" w:rsidRDefault="00977A79">
            <w:pPr>
              <w:rPr>
                <w:lang w:val="en-US" w:eastAsia="zh-CN"/>
              </w:rPr>
            </w:pPr>
            <w:r>
              <w:rPr>
                <w:rFonts w:hint="eastAsia"/>
                <w:lang w:val="en-US" w:eastAsia="zh-CN"/>
              </w:rPr>
              <w:t>Yes</w:t>
            </w:r>
          </w:p>
        </w:tc>
        <w:tc>
          <w:tcPr>
            <w:tcW w:w="7404" w:type="dxa"/>
          </w:tcPr>
          <w:p w14:paraId="0B941E04" w14:textId="77777777" w:rsidR="00DA26C5" w:rsidRDefault="00DA26C5">
            <w:pPr>
              <w:rPr>
                <w:lang w:eastAsia="zh-CN"/>
              </w:rPr>
            </w:pPr>
          </w:p>
        </w:tc>
      </w:tr>
      <w:tr w:rsidR="00AF761C" w14:paraId="2D1B8305" w14:textId="77777777" w:rsidTr="00EA1D1A">
        <w:tc>
          <w:tcPr>
            <w:tcW w:w="1104"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798" w:type="dxa"/>
          </w:tcPr>
          <w:p w14:paraId="3B404C83" w14:textId="77777777" w:rsidR="00AF761C" w:rsidRDefault="00310B9E">
            <w:pPr>
              <w:rPr>
                <w:lang w:val="en-US" w:eastAsia="zh-CN"/>
              </w:rPr>
            </w:pPr>
            <w:r>
              <w:rPr>
                <w:rFonts w:hint="eastAsia"/>
                <w:lang w:val="en-US" w:eastAsia="zh-CN"/>
              </w:rPr>
              <w:t>No</w:t>
            </w:r>
          </w:p>
        </w:tc>
        <w:tc>
          <w:tcPr>
            <w:tcW w:w="7404"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lastRenderedPageBreak/>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5456" cy="2105347"/>
                          </a:xfrm>
                          <a:prstGeom prst="rect">
                            <a:avLst/>
                          </a:prstGeom>
                        </pic:spPr>
                      </pic:pic>
                    </a:graphicData>
                  </a:graphic>
                </wp:inline>
              </w:drawing>
            </w:r>
          </w:p>
        </w:tc>
      </w:tr>
      <w:tr w:rsidR="00EF09E3" w14:paraId="60F176C5" w14:textId="77777777" w:rsidTr="00EA1D1A">
        <w:tc>
          <w:tcPr>
            <w:tcW w:w="1104" w:type="dxa"/>
          </w:tcPr>
          <w:p w14:paraId="20A44C88" w14:textId="77777777" w:rsidR="00EF09E3" w:rsidRDefault="00EF09E3" w:rsidP="00012CEB">
            <w:pPr>
              <w:rPr>
                <w:lang w:val="en-US" w:eastAsia="zh-CN"/>
              </w:rPr>
            </w:pPr>
            <w:r>
              <w:rPr>
                <w:lang w:val="en-US" w:eastAsia="zh-CN"/>
              </w:rPr>
              <w:lastRenderedPageBreak/>
              <w:t>Apple</w:t>
            </w:r>
          </w:p>
        </w:tc>
        <w:tc>
          <w:tcPr>
            <w:tcW w:w="798" w:type="dxa"/>
          </w:tcPr>
          <w:p w14:paraId="5A18CD5A" w14:textId="77777777" w:rsidR="00EF09E3" w:rsidRDefault="00EF09E3" w:rsidP="00012CEB">
            <w:pPr>
              <w:rPr>
                <w:lang w:val="en-US" w:eastAsia="zh-CN"/>
              </w:rPr>
            </w:pPr>
            <w:r>
              <w:rPr>
                <w:lang w:val="en-US" w:eastAsia="zh-CN"/>
              </w:rPr>
              <w:t>No</w:t>
            </w:r>
          </w:p>
        </w:tc>
        <w:tc>
          <w:tcPr>
            <w:tcW w:w="7404" w:type="dxa"/>
          </w:tcPr>
          <w:p w14:paraId="048AEEA2" w14:textId="77777777" w:rsidR="00EF09E3" w:rsidRDefault="00EF09E3" w:rsidP="00012CEB">
            <w:pPr>
              <w:rPr>
                <w:lang w:eastAsia="zh-CN"/>
              </w:rPr>
            </w:pPr>
          </w:p>
        </w:tc>
      </w:tr>
      <w:tr w:rsidR="00C538B1" w14:paraId="57F0CDE2" w14:textId="77777777" w:rsidTr="00EA1D1A">
        <w:tc>
          <w:tcPr>
            <w:tcW w:w="1104" w:type="dxa"/>
          </w:tcPr>
          <w:p w14:paraId="32446839" w14:textId="6B14085E" w:rsidR="00C538B1" w:rsidRDefault="00C538B1" w:rsidP="00012CEB">
            <w:pPr>
              <w:rPr>
                <w:lang w:val="en-US" w:eastAsia="zh-CN"/>
              </w:rPr>
            </w:pPr>
            <w:r>
              <w:rPr>
                <w:lang w:val="en-US" w:eastAsia="zh-CN"/>
              </w:rPr>
              <w:t>Xiaomi</w:t>
            </w:r>
          </w:p>
        </w:tc>
        <w:tc>
          <w:tcPr>
            <w:tcW w:w="798" w:type="dxa"/>
          </w:tcPr>
          <w:p w14:paraId="055F2236" w14:textId="77777777" w:rsidR="00C538B1" w:rsidRDefault="00C538B1" w:rsidP="00012CEB">
            <w:pPr>
              <w:rPr>
                <w:lang w:val="en-US" w:eastAsia="zh-CN"/>
              </w:rPr>
            </w:pPr>
          </w:p>
        </w:tc>
        <w:tc>
          <w:tcPr>
            <w:tcW w:w="7404"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EA1D1A">
        <w:tc>
          <w:tcPr>
            <w:tcW w:w="1104" w:type="dxa"/>
          </w:tcPr>
          <w:p w14:paraId="2286A09B" w14:textId="77777777" w:rsidR="00F84413" w:rsidRPr="007B70F8" w:rsidRDefault="00F84413" w:rsidP="00012CEB">
            <w:r>
              <w:t>Nokia</w:t>
            </w:r>
          </w:p>
        </w:tc>
        <w:tc>
          <w:tcPr>
            <w:tcW w:w="798" w:type="dxa"/>
          </w:tcPr>
          <w:p w14:paraId="21CC10C9" w14:textId="77777777" w:rsidR="00F84413" w:rsidRPr="007B70F8" w:rsidRDefault="00F84413" w:rsidP="00012CEB">
            <w:r>
              <w:t>No</w:t>
            </w:r>
          </w:p>
        </w:tc>
        <w:tc>
          <w:tcPr>
            <w:tcW w:w="7404" w:type="dxa"/>
          </w:tcPr>
          <w:p w14:paraId="3A29506B" w14:textId="77777777" w:rsidR="00F84413" w:rsidRDefault="00F84413" w:rsidP="00012CEB">
            <w:r>
              <w:t xml:space="preserve">If the reason for access is something else than priority access reason there is no need to utilize those access </w:t>
            </w:r>
            <w:proofErr w:type="gramStart"/>
            <w:r>
              <w:t>causes.</w:t>
            </w:r>
            <w:r w:rsidR="00863854">
              <w:t>+</w:t>
            </w:r>
            <w:proofErr w:type="gramEnd"/>
          </w:p>
          <w:p w14:paraId="2CACA485" w14:textId="3F1F987A" w:rsidR="00863854" w:rsidRPr="007B70F8" w:rsidRDefault="00863854" w:rsidP="00012CEB"/>
        </w:tc>
      </w:tr>
      <w:tr w:rsidR="00F37D43" w:rsidRPr="007B70F8" w14:paraId="5BB468E8" w14:textId="77777777" w:rsidTr="00EA1D1A">
        <w:tc>
          <w:tcPr>
            <w:tcW w:w="1104"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798"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404" w:type="dxa"/>
          </w:tcPr>
          <w:p w14:paraId="584149AD" w14:textId="77777777" w:rsidR="00F37D43" w:rsidRDefault="00F37D43" w:rsidP="00F37D43"/>
        </w:tc>
      </w:tr>
      <w:tr w:rsidR="002132D7" w:rsidRPr="007B70F8" w14:paraId="1233C198" w14:textId="77777777" w:rsidTr="00EA1D1A">
        <w:tc>
          <w:tcPr>
            <w:tcW w:w="1104" w:type="dxa"/>
          </w:tcPr>
          <w:p w14:paraId="059D6F1B" w14:textId="692D96A4" w:rsidR="002132D7" w:rsidRDefault="002132D7" w:rsidP="002132D7">
            <w:pPr>
              <w:rPr>
                <w:rFonts w:eastAsia="MS Mincho"/>
                <w:lang w:eastAsia="ja-JP"/>
              </w:rPr>
            </w:pPr>
            <w:r>
              <w:rPr>
                <w:rFonts w:eastAsia="MS Mincho"/>
                <w:lang w:eastAsia="ja-JP"/>
              </w:rPr>
              <w:t>Ericsson</w:t>
            </w:r>
          </w:p>
        </w:tc>
        <w:tc>
          <w:tcPr>
            <w:tcW w:w="798" w:type="dxa"/>
          </w:tcPr>
          <w:p w14:paraId="03BC070D" w14:textId="14F8FA68" w:rsidR="002132D7" w:rsidRDefault="002132D7" w:rsidP="002132D7">
            <w:pPr>
              <w:rPr>
                <w:rFonts w:eastAsia="MS Mincho"/>
                <w:lang w:eastAsia="ja-JP"/>
              </w:rPr>
            </w:pPr>
            <w:r>
              <w:rPr>
                <w:rFonts w:eastAsia="MS Mincho"/>
                <w:lang w:eastAsia="ja-JP"/>
              </w:rPr>
              <w:t>No</w:t>
            </w:r>
          </w:p>
        </w:tc>
        <w:tc>
          <w:tcPr>
            <w:tcW w:w="7404" w:type="dxa"/>
          </w:tcPr>
          <w:p w14:paraId="5F671F97" w14:textId="77777777" w:rsidR="002132D7" w:rsidRDefault="002132D7" w:rsidP="002132D7"/>
        </w:tc>
      </w:tr>
      <w:tr w:rsidR="002132D7" w:rsidRPr="007B70F8" w14:paraId="5FC09ACD" w14:textId="77777777" w:rsidTr="00EA1D1A">
        <w:tc>
          <w:tcPr>
            <w:tcW w:w="1104"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798"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404"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EA1D1A">
        <w:tc>
          <w:tcPr>
            <w:tcW w:w="1104" w:type="dxa"/>
          </w:tcPr>
          <w:p w14:paraId="51BC6203" w14:textId="53D71A5F" w:rsidR="003B480A" w:rsidRDefault="003B480A" w:rsidP="003B480A">
            <w:pPr>
              <w:rPr>
                <w:rFonts w:eastAsia="MS Mincho"/>
                <w:lang w:eastAsia="ja-JP"/>
              </w:rPr>
            </w:pPr>
            <w:r>
              <w:rPr>
                <w:lang w:val="en-US" w:eastAsia="zh-CN"/>
              </w:rPr>
              <w:t>Futurewei</w:t>
            </w:r>
          </w:p>
        </w:tc>
        <w:tc>
          <w:tcPr>
            <w:tcW w:w="798" w:type="dxa"/>
          </w:tcPr>
          <w:p w14:paraId="4308DB64" w14:textId="7E1B9B74" w:rsidR="003B480A" w:rsidRDefault="003B480A" w:rsidP="003B480A">
            <w:pPr>
              <w:rPr>
                <w:rFonts w:eastAsia="MS Mincho"/>
                <w:lang w:eastAsia="ja-JP"/>
              </w:rPr>
            </w:pPr>
            <w:r>
              <w:rPr>
                <w:lang w:val="en-US" w:eastAsia="zh-CN"/>
              </w:rPr>
              <w:t>No</w:t>
            </w:r>
          </w:p>
        </w:tc>
        <w:tc>
          <w:tcPr>
            <w:tcW w:w="7404"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EA1D1A">
        <w:tc>
          <w:tcPr>
            <w:tcW w:w="1104"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798"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404" w:type="dxa"/>
          </w:tcPr>
          <w:p w14:paraId="48ECAFC5" w14:textId="77777777" w:rsidR="00BD250B" w:rsidRDefault="00BD250B" w:rsidP="003B480A">
            <w:pPr>
              <w:rPr>
                <w:lang w:eastAsia="zh-CN"/>
              </w:rPr>
            </w:pPr>
          </w:p>
        </w:tc>
      </w:tr>
      <w:tr w:rsidR="00993C41" w:rsidRPr="007B70F8" w14:paraId="0D7A3FF8" w14:textId="77777777" w:rsidTr="00EA1D1A">
        <w:tc>
          <w:tcPr>
            <w:tcW w:w="1104" w:type="dxa"/>
          </w:tcPr>
          <w:p w14:paraId="47665168" w14:textId="7F90D917" w:rsidR="00993C41" w:rsidRDefault="00993C41" w:rsidP="00993C41">
            <w:pPr>
              <w:rPr>
                <w:lang w:val="en-US" w:eastAsia="zh-CN"/>
              </w:rPr>
            </w:pPr>
            <w:r>
              <w:rPr>
                <w:rFonts w:hint="eastAsia"/>
                <w:lang w:val="en-US" w:eastAsia="zh-CN"/>
              </w:rPr>
              <w:t>S</w:t>
            </w:r>
            <w:r>
              <w:rPr>
                <w:lang w:val="en-US" w:eastAsia="zh-CN"/>
              </w:rPr>
              <w:t>preadtrum</w:t>
            </w:r>
          </w:p>
        </w:tc>
        <w:tc>
          <w:tcPr>
            <w:tcW w:w="798"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404" w:type="dxa"/>
          </w:tcPr>
          <w:p w14:paraId="35FB8717" w14:textId="77777777" w:rsidR="00993C41" w:rsidRDefault="00993C41" w:rsidP="00993C41">
            <w:pPr>
              <w:rPr>
                <w:lang w:eastAsia="zh-CN"/>
              </w:rPr>
            </w:pPr>
          </w:p>
        </w:tc>
      </w:tr>
      <w:tr w:rsidR="005A4139" w:rsidRPr="007B70F8" w14:paraId="3033BDEB" w14:textId="77777777" w:rsidTr="00EA1D1A">
        <w:tc>
          <w:tcPr>
            <w:tcW w:w="1104" w:type="dxa"/>
          </w:tcPr>
          <w:p w14:paraId="4F7C659E" w14:textId="4C09BC9B" w:rsidR="005A4139" w:rsidRDefault="005A4139" w:rsidP="00993C41">
            <w:pPr>
              <w:rPr>
                <w:lang w:val="en-US" w:eastAsia="zh-CN"/>
              </w:rPr>
            </w:pPr>
            <w:r>
              <w:rPr>
                <w:rFonts w:hint="eastAsia"/>
                <w:lang w:val="en-US" w:eastAsia="zh-CN"/>
              </w:rPr>
              <w:t>T</w:t>
            </w:r>
            <w:r>
              <w:rPr>
                <w:lang w:val="en-US" w:eastAsia="zh-CN"/>
              </w:rPr>
              <w:t>D Tech, Chengdu TD Tech</w:t>
            </w:r>
          </w:p>
        </w:tc>
        <w:tc>
          <w:tcPr>
            <w:tcW w:w="798" w:type="dxa"/>
          </w:tcPr>
          <w:p w14:paraId="7253383C" w14:textId="77777777" w:rsidR="005A4139" w:rsidRDefault="005A4139" w:rsidP="00993C41">
            <w:pPr>
              <w:rPr>
                <w:lang w:val="en-US" w:eastAsia="zh-CN"/>
              </w:rPr>
            </w:pPr>
          </w:p>
        </w:tc>
        <w:tc>
          <w:tcPr>
            <w:tcW w:w="7404" w:type="dxa"/>
          </w:tcPr>
          <w:p w14:paraId="7DA14DD4" w14:textId="77777777" w:rsidR="005A4139" w:rsidRDefault="005A4139" w:rsidP="00993C41">
            <w:pPr>
              <w:rPr>
                <w:lang w:eastAsia="zh-CN"/>
              </w:rPr>
            </w:pPr>
          </w:p>
        </w:tc>
      </w:tr>
      <w:tr w:rsidR="00EA1D1A" w:rsidRPr="007B70F8" w14:paraId="5B54B283" w14:textId="77777777" w:rsidTr="00EA1D1A">
        <w:tc>
          <w:tcPr>
            <w:tcW w:w="1104" w:type="dxa"/>
          </w:tcPr>
          <w:p w14:paraId="39E5D6C5" w14:textId="53121FB7" w:rsidR="00EA1D1A" w:rsidRDefault="00EA1D1A" w:rsidP="00EA1D1A">
            <w:pPr>
              <w:rPr>
                <w:rFonts w:hint="eastAsia"/>
                <w:lang w:val="en-US" w:eastAsia="zh-CN"/>
              </w:rPr>
            </w:pPr>
            <w:r>
              <w:t>Intel</w:t>
            </w:r>
          </w:p>
        </w:tc>
        <w:tc>
          <w:tcPr>
            <w:tcW w:w="798" w:type="dxa"/>
          </w:tcPr>
          <w:p w14:paraId="416D1CBB" w14:textId="795788DE" w:rsidR="00EA1D1A" w:rsidRDefault="00EA1D1A" w:rsidP="00EA1D1A">
            <w:pPr>
              <w:rPr>
                <w:lang w:val="en-US" w:eastAsia="zh-CN"/>
              </w:rPr>
            </w:pPr>
            <w:r>
              <w:t>Yes</w:t>
            </w:r>
          </w:p>
        </w:tc>
        <w:tc>
          <w:tcPr>
            <w:tcW w:w="7404" w:type="dxa"/>
          </w:tcPr>
          <w:p w14:paraId="11F4119F" w14:textId="77777777" w:rsidR="00EA1D1A" w:rsidRDefault="00EA1D1A" w:rsidP="00EA1D1A">
            <w:pPr>
              <w:rPr>
                <w:lang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lastRenderedPageBreak/>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2D3B24">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2D3B24">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2D3B24">
        <w:tc>
          <w:tcPr>
            <w:tcW w:w="2313" w:type="dxa"/>
          </w:tcPr>
          <w:p w14:paraId="12570398" w14:textId="0E1F5B7B" w:rsidR="00A05B43" w:rsidRDefault="00A05B43" w:rsidP="00A05B43">
            <w:pPr>
              <w:rPr>
                <w:lang w:val="en-US" w:eastAsia="zh-CN"/>
              </w:rPr>
            </w:pPr>
            <w:r>
              <w:rPr>
                <w:rFonts w:hint="eastAsia"/>
                <w:lang w:eastAsia="zh-CN"/>
              </w:rPr>
              <w:t>S</w:t>
            </w:r>
            <w:r>
              <w:rPr>
                <w:lang w:eastAsia="zh-CN"/>
              </w:rPr>
              <w:t>preadtrum</w:t>
            </w:r>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2D3B24">
        <w:tc>
          <w:tcPr>
            <w:tcW w:w="2313" w:type="dxa"/>
          </w:tcPr>
          <w:p w14:paraId="640BFA97" w14:textId="47A929EA" w:rsidR="005A4139" w:rsidRDefault="005A4139" w:rsidP="00A05B43">
            <w:pPr>
              <w:rPr>
                <w:lang w:eastAsia="zh-CN"/>
              </w:rPr>
            </w:pPr>
            <w:r>
              <w:rPr>
                <w:rFonts w:hint="eastAsia"/>
                <w:lang w:val="en-US" w:eastAsia="zh-CN"/>
              </w:rPr>
              <w:t>T</w:t>
            </w:r>
            <w:r>
              <w:rPr>
                <w:lang w:val="en-US" w:eastAsia="zh-CN"/>
              </w:rPr>
              <w:t>D Tech, Chengdu TD Tech</w:t>
            </w:r>
          </w:p>
        </w:tc>
        <w:tc>
          <w:tcPr>
            <w:tcW w:w="899" w:type="dxa"/>
          </w:tcPr>
          <w:p w14:paraId="3A995E01" w14:textId="69B169C4" w:rsidR="005A4139" w:rsidRDefault="00863854" w:rsidP="00A05B43">
            <w:pPr>
              <w:rPr>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r w:rsidR="00EA1D1A" w14:paraId="5A20B1AB" w14:textId="77777777" w:rsidTr="002D3B24">
        <w:tc>
          <w:tcPr>
            <w:tcW w:w="2313" w:type="dxa"/>
          </w:tcPr>
          <w:p w14:paraId="44865C6E" w14:textId="4E3C386F" w:rsidR="00EA1D1A" w:rsidRDefault="00EA1D1A" w:rsidP="00EA1D1A">
            <w:pPr>
              <w:rPr>
                <w:rFonts w:hint="eastAsia"/>
                <w:lang w:val="en-US" w:eastAsia="zh-CN"/>
              </w:rPr>
            </w:pPr>
            <w:r>
              <w:t>Intel</w:t>
            </w:r>
          </w:p>
        </w:tc>
        <w:tc>
          <w:tcPr>
            <w:tcW w:w="899" w:type="dxa"/>
          </w:tcPr>
          <w:p w14:paraId="7194BC7A" w14:textId="774DC852" w:rsidR="00EA1D1A" w:rsidRDefault="00EA1D1A" w:rsidP="00EA1D1A">
            <w:pPr>
              <w:rPr>
                <w:lang w:val="en-US" w:eastAsia="zh-CN"/>
              </w:rPr>
            </w:pPr>
            <w:r>
              <w:t>Yes</w:t>
            </w:r>
          </w:p>
        </w:tc>
        <w:tc>
          <w:tcPr>
            <w:tcW w:w="6412" w:type="dxa"/>
          </w:tcPr>
          <w:p w14:paraId="720F9053" w14:textId="77777777" w:rsidR="00EA1D1A" w:rsidRDefault="00EA1D1A" w:rsidP="00EA1D1A">
            <w:pPr>
              <w:rPr>
                <w:lang w:val="en-US" w:eastAsia="zh-CN"/>
              </w:rPr>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w:t>
            </w:r>
            <w:r>
              <w:rPr>
                <w:lang w:eastAsia="zh-CN"/>
              </w:rPr>
              <w:lastRenderedPageBreak/>
              <w:t xml:space="preserve">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lastRenderedPageBreak/>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CommentText"/>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CommentText"/>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18183B">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18183B">
        <w:tc>
          <w:tcPr>
            <w:tcW w:w="2311" w:type="dxa"/>
          </w:tcPr>
          <w:p w14:paraId="488270D3" w14:textId="2DBF8C62" w:rsidR="00BD37C1" w:rsidRDefault="00BD37C1" w:rsidP="00BD37C1">
            <w:pPr>
              <w:rPr>
                <w:rFonts w:eastAsiaTheme="minorEastAsia"/>
                <w:lang w:eastAsia="zh-CN"/>
              </w:rPr>
            </w:pPr>
            <w:r>
              <w:rPr>
                <w:rFonts w:hint="eastAsia"/>
                <w:lang w:eastAsia="zh-CN"/>
              </w:rPr>
              <w:t>S</w:t>
            </w:r>
            <w:r>
              <w:rPr>
                <w:lang w:eastAsia="zh-CN"/>
              </w:rPr>
              <w:t>preadtrum</w:t>
            </w:r>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18183B">
        <w:tc>
          <w:tcPr>
            <w:tcW w:w="2311" w:type="dxa"/>
          </w:tcPr>
          <w:p w14:paraId="0D536F3F" w14:textId="4F3B1F5E" w:rsidR="005A4139" w:rsidRDefault="005A4139" w:rsidP="00BD37C1">
            <w:pPr>
              <w:rPr>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r w:rsidR="00EA1D1A" w14:paraId="29BFA85F" w14:textId="77777777" w:rsidTr="0018183B">
        <w:tc>
          <w:tcPr>
            <w:tcW w:w="2311" w:type="dxa"/>
          </w:tcPr>
          <w:p w14:paraId="4A395E8E" w14:textId="0A85A630" w:rsidR="00EA1D1A" w:rsidRDefault="00EA1D1A" w:rsidP="00EA1D1A">
            <w:pPr>
              <w:rPr>
                <w:rFonts w:hint="eastAsia"/>
                <w:lang w:val="en-US" w:eastAsia="zh-CN"/>
              </w:rPr>
            </w:pPr>
            <w:r>
              <w:t>Intel</w:t>
            </w:r>
          </w:p>
        </w:tc>
        <w:tc>
          <w:tcPr>
            <w:tcW w:w="899" w:type="dxa"/>
          </w:tcPr>
          <w:p w14:paraId="15ED5690" w14:textId="444535E9" w:rsidR="00EA1D1A" w:rsidRDefault="00EA1D1A" w:rsidP="00EA1D1A">
            <w:pPr>
              <w:rPr>
                <w:lang w:val="en-US" w:eastAsia="zh-CN"/>
              </w:rPr>
            </w:pPr>
            <w:r>
              <w:t>Yes</w:t>
            </w:r>
          </w:p>
        </w:tc>
        <w:tc>
          <w:tcPr>
            <w:tcW w:w="6414" w:type="dxa"/>
          </w:tcPr>
          <w:p w14:paraId="4D1E9825" w14:textId="77777777" w:rsidR="00EA1D1A" w:rsidRDefault="00EA1D1A" w:rsidP="00EA1D1A">
            <w:pPr>
              <w:rPr>
                <w:lang w:val="en-US" w:eastAsia="zh-CN"/>
              </w:rPr>
            </w:pPr>
          </w:p>
        </w:tc>
      </w:tr>
    </w:tbl>
    <w:p w14:paraId="56E602F4" w14:textId="77777777"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285"/>
        <w:gridCol w:w="1039"/>
        <w:gridCol w:w="6300"/>
      </w:tblGrid>
      <w:tr w:rsidR="00DA26C5" w14:paraId="28B76104" w14:textId="77777777" w:rsidTr="00EA1D1A">
        <w:tc>
          <w:tcPr>
            <w:tcW w:w="2285" w:type="dxa"/>
          </w:tcPr>
          <w:p w14:paraId="571F26A7" w14:textId="77777777" w:rsidR="00DA26C5" w:rsidRDefault="00977A79">
            <w:pPr>
              <w:jc w:val="center"/>
              <w:rPr>
                <w:b/>
              </w:rPr>
            </w:pPr>
            <w:r>
              <w:rPr>
                <w:b/>
              </w:rPr>
              <w:t>Company</w:t>
            </w:r>
          </w:p>
        </w:tc>
        <w:tc>
          <w:tcPr>
            <w:tcW w:w="1039" w:type="dxa"/>
          </w:tcPr>
          <w:p w14:paraId="611ABACB" w14:textId="77777777" w:rsidR="00DA26C5" w:rsidRDefault="00977A79">
            <w:pPr>
              <w:jc w:val="center"/>
              <w:rPr>
                <w:b/>
              </w:rPr>
            </w:pPr>
            <w:r>
              <w:rPr>
                <w:b/>
              </w:rPr>
              <w:t>Yes/No</w:t>
            </w:r>
          </w:p>
        </w:tc>
        <w:tc>
          <w:tcPr>
            <w:tcW w:w="6300" w:type="dxa"/>
          </w:tcPr>
          <w:p w14:paraId="597CEDB0" w14:textId="77777777" w:rsidR="00DA26C5" w:rsidRDefault="00977A79">
            <w:pPr>
              <w:jc w:val="center"/>
              <w:rPr>
                <w:b/>
              </w:rPr>
            </w:pPr>
            <w:r>
              <w:rPr>
                <w:b/>
              </w:rPr>
              <w:t>Justification / comments</w:t>
            </w:r>
          </w:p>
        </w:tc>
      </w:tr>
      <w:tr w:rsidR="00DA26C5" w14:paraId="700CCC45" w14:textId="77777777" w:rsidTr="00EA1D1A">
        <w:tc>
          <w:tcPr>
            <w:tcW w:w="2285" w:type="dxa"/>
          </w:tcPr>
          <w:p w14:paraId="1E119565" w14:textId="77777777" w:rsidR="00DA26C5" w:rsidRDefault="00977A79">
            <w:r>
              <w:lastRenderedPageBreak/>
              <w:t>Qualcomm</w:t>
            </w:r>
          </w:p>
        </w:tc>
        <w:tc>
          <w:tcPr>
            <w:tcW w:w="1039" w:type="dxa"/>
          </w:tcPr>
          <w:p w14:paraId="239D0D59" w14:textId="77777777" w:rsidR="00DA26C5" w:rsidRDefault="00977A79">
            <w:r>
              <w:t>Yes but</w:t>
            </w:r>
          </w:p>
        </w:tc>
        <w:tc>
          <w:tcPr>
            <w:tcW w:w="6300"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EA1D1A">
        <w:tc>
          <w:tcPr>
            <w:tcW w:w="2285" w:type="dxa"/>
          </w:tcPr>
          <w:p w14:paraId="36056376" w14:textId="77777777" w:rsidR="00DA26C5" w:rsidRDefault="00977A79">
            <w:r>
              <w:t>MediaTek</w:t>
            </w:r>
          </w:p>
        </w:tc>
        <w:tc>
          <w:tcPr>
            <w:tcW w:w="1039" w:type="dxa"/>
          </w:tcPr>
          <w:p w14:paraId="07C56B08" w14:textId="77777777" w:rsidR="00DA26C5" w:rsidRDefault="00977A79">
            <w:r>
              <w:rPr>
                <w:rFonts w:hint="eastAsia"/>
                <w:lang w:eastAsia="zh-CN"/>
              </w:rPr>
              <w:t>Y</w:t>
            </w:r>
            <w:r>
              <w:rPr>
                <w:lang w:eastAsia="zh-CN"/>
              </w:rPr>
              <w:t>es</w:t>
            </w:r>
          </w:p>
        </w:tc>
        <w:tc>
          <w:tcPr>
            <w:tcW w:w="6300" w:type="dxa"/>
          </w:tcPr>
          <w:p w14:paraId="3BA7B81F" w14:textId="77777777" w:rsidR="00DA26C5" w:rsidRDefault="00DA26C5"/>
        </w:tc>
      </w:tr>
      <w:tr w:rsidR="00DA26C5" w14:paraId="488C4629" w14:textId="77777777" w:rsidTr="00EA1D1A">
        <w:tc>
          <w:tcPr>
            <w:tcW w:w="2285" w:type="dxa"/>
          </w:tcPr>
          <w:p w14:paraId="78B6AA2B" w14:textId="77777777" w:rsidR="00DA26C5" w:rsidRDefault="00977A79">
            <w:r>
              <w:t>Samsung</w:t>
            </w:r>
          </w:p>
        </w:tc>
        <w:tc>
          <w:tcPr>
            <w:tcW w:w="1039" w:type="dxa"/>
          </w:tcPr>
          <w:p w14:paraId="12AB32A1" w14:textId="77777777" w:rsidR="00DA26C5" w:rsidRDefault="00977A79">
            <w:r>
              <w:t>Yes</w:t>
            </w:r>
          </w:p>
        </w:tc>
        <w:tc>
          <w:tcPr>
            <w:tcW w:w="6300" w:type="dxa"/>
          </w:tcPr>
          <w:p w14:paraId="4CC1F978" w14:textId="77777777" w:rsidR="00DA26C5" w:rsidRDefault="00977A79">
            <w:r>
              <w:t>We are ok to support PTM only to AM MRB lossless handover</w:t>
            </w:r>
          </w:p>
        </w:tc>
      </w:tr>
      <w:tr w:rsidR="00DA26C5" w14:paraId="405FC849" w14:textId="77777777" w:rsidTr="00EA1D1A">
        <w:tc>
          <w:tcPr>
            <w:tcW w:w="2285" w:type="dxa"/>
          </w:tcPr>
          <w:p w14:paraId="486C7D5E" w14:textId="77777777" w:rsidR="00DA26C5" w:rsidRDefault="00977A79">
            <w:r>
              <w:rPr>
                <w:rFonts w:hint="eastAsia"/>
                <w:lang w:eastAsia="zh-CN"/>
              </w:rPr>
              <w:t>CATT</w:t>
            </w:r>
          </w:p>
        </w:tc>
        <w:tc>
          <w:tcPr>
            <w:tcW w:w="1039" w:type="dxa"/>
          </w:tcPr>
          <w:p w14:paraId="05125D43" w14:textId="77777777" w:rsidR="00DA26C5" w:rsidRDefault="00977A79">
            <w:r>
              <w:rPr>
                <w:rFonts w:hint="eastAsia"/>
                <w:lang w:eastAsia="zh-CN"/>
              </w:rPr>
              <w:t>Yes</w:t>
            </w:r>
          </w:p>
        </w:tc>
        <w:tc>
          <w:tcPr>
            <w:tcW w:w="6300"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EA1D1A">
        <w:tc>
          <w:tcPr>
            <w:tcW w:w="2285" w:type="dxa"/>
          </w:tcPr>
          <w:p w14:paraId="35937C1A" w14:textId="77777777" w:rsidR="00DA26C5" w:rsidRDefault="00977A79">
            <w:pPr>
              <w:rPr>
                <w:lang w:val="en-US" w:eastAsia="zh-CN"/>
              </w:rPr>
            </w:pPr>
            <w:r>
              <w:rPr>
                <w:rFonts w:hint="eastAsia"/>
                <w:lang w:val="en-US" w:eastAsia="zh-CN"/>
              </w:rPr>
              <w:t>ZTE</w:t>
            </w:r>
          </w:p>
        </w:tc>
        <w:tc>
          <w:tcPr>
            <w:tcW w:w="1039" w:type="dxa"/>
          </w:tcPr>
          <w:p w14:paraId="760CB447" w14:textId="77777777" w:rsidR="00DA26C5" w:rsidRDefault="00977A79">
            <w:pPr>
              <w:rPr>
                <w:lang w:val="en-US" w:eastAsia="zh-CN"/>
              </w:rPr>
            </w:pPr>
            <w:r>
              <w:rPr>
                <w:rFonts w:hint="eastAsia"/>
                <w:lang w:val="en-US" w:eastAsia="zh-CN"/>
              </w:rPr>
              <w:t>No</w:t>
            </w:r>
          </w:p>
        </w:tc>
        <w:tc>
          <w:tcPr>
            <w:tcW w:w="6300"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EA1D1A">
        <w:tc>
          <w:tcPr>
            <w:tcW w:w="2285"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1039" w:type="dxa"/>
          </w:tcPr>
          <w:p w14:paraId="71C5D782" w14:textId="77777777" w:rsidR="00AF761C" w:rsidRDefault="00AF761C">
            <w:pPr>
              <w:rPr>
                <w:lang w:val="en-US" w:eastAsia="zh-CN"/>
              </w:rPr>
            </w:pPr>
            <w:r>
              <w:rPr>
                <w:lang w:val="en-US" w:eastAsia="zh-CN"/>
              </w:rPr>
              <w:t xml:space="preserve">Yes </w:t>
            </w:r>
          </w:p>
        </w:tc>
        <w:tc>
          <w:tcPr>
            <w:tcW w:w="6300" w:type="dxa"/>
          </w:tcPr>
          <w:p w14:paraId="4DE99A53" w14:textId="77777777" w:rsidR="00AF761C" w:rsidRDefault="00AF761C">
            <w:pPr>
              <w:rPr>
                <w:lang w:val="en-US" w:eastAsia="zh-CN"/>
              </w:rPr>
            </w:pPr>
          </w:p>
        </w:tc>
      </w:tr>
      <w:tr w:rsidR="00544628" w14:paraId="60EDD853" w14:textId="77777777" w:rsidTr="00EA1D1A">
        <w:tc>
          <w:tcPr>
            <w:tcW w:w="2285" w:type="dxa"/>
          </w:tcPr>
          <w:p w14:paraId="7949FB67" w14:textId="77777777" w:rsidR="00544628" w:rsidRDefault="00544628" w:rsidP="00012CEB">
            <w:pPr>
              <w:rPr>
                <w:lang w:val="en-US" w:eastAsia="zh-CN"/>
              </w:rPr>
            </w:pPr>
            <w:r>
              <w:rPr>
                <w:lang w:val="en-US" w:eastAsia="zh-CN"/>
              </w:rPr>
              <w:t>Apple</w:t>
            </w:r>
          </w:p>
        </w:tc>
        <w:tc>
          <w:tcPr>
            <w:tcW w:w="1039" w:type="dxa"/>
          </w:tcPr>
          <w:p w14:paraId="263E8A3E" w14:textId="77777777" w:rsidR="00544628" w:rsidRDefault="00544628" w:rsidP="00012CEB">
            <w:pPr>
              <w:rPr>
                <w:lang w:val="en-US" w:eastAsia="zh-CN"/>
              </w:rPr>
            </w:pPr>
            <w:r>
              <w:rPr>
                <w:lang w:val="en-US" w:eastAsia="zh-CN"/>
              </w:rPr>
              <w:t>Yes</w:t>
            </w:r>
          </w:p>
        </w:tc>
        <w:tc>
          <w:tcPr>
            <w:tcW w:w="6300"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EA1D1A">
        <w:tc>
          <w:tcPr>
            <w:tcW w:w="2285" w:type="dxa"/>
          </w:tcPr>
          <w:p w14:paraId="27D1B528" w14:textId="06C2FB4D" w:rsidR="00B3076C" w:rsidRDefault="00B3076C" w:rsidP="00012CEB">
            <w:pPr>
              <w:rPr>
                <w:lang w:val="en-US" w:eastAsia="zh-CN"/>
              </w:rPr>
            </w:pPr>
            <w:r>
              <w:rPr>
                <w:lang w:val="en-US" w:eastAsia="zh-CN"/>
              </w:rPr>
              <w:t>Xiaomi</w:t>
            </w:r>
          </w:p>
        </w:tc>
        <w:tc>
          <w:tcPr>
            <w:tcW w:w="1039" w:type="dxa"/>
          </w:tcPr>
          <w:p w14:paraId="331F7974" w14:textId="373249ED" w:rsidR="00B3076C" w:rsidRDefault="00B3076C" w:rsidP="00012CEB">
            <w:pPr>
              <w:rPr>
                <w:lang w:val="en-US" w:eastAsia="zh-CN"/>
              </w:rPr>
            </w:pPr>
            <w:r>
              <w:rPr>
                <w:lang w:val="en-US" w:eastAsia="zh-CN"/>
              </w:rPr>
              <w:t>Yes</w:t>
            </w:r>
          </w:p>
        </w:tc>
        <w:tc>
          <w:tcPr>
            <w:tcW w:w="6300" w:type="dxa"/>
          </w:tcPr>
          <w:p w14:paraId="59831A46" w14:textId="77777777" w:rsidR="00B3076C" w:rsidRDefault="00B3076C" w:rsidP="00012CEB">
            <w:pPr>
              <w:rPr>
                <w:lang w:val="en-US" w:eastAsia="zh-CN"/>
              </w:rPr>
            </w:pPr>
          </w:p>
        </w:tc>
      </w:tr>
      <w:tr w:rsidR="00F84413" w:rsidRPr="00722C0C" w14:paraId="3D7D1A5E" w14:textId="77777777" w:rsidTr="00EA1D1A">
        <w:tc>
          <w:tcPr>
            <w:tcW w:w="2285"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103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300"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EA1D1A">
        <w:tc>
          <w:tcPr>
            <w:tcW w:w="2285"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103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300"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EA1D1A">
        <w:tc>
          <w:tcPr>
            <w:tcW w:w="2285" w:type="dxa"/>
          </w:tcPr>
          <w:p w14:paraId="27F0495C" w14:textId="21A1B7E0" w:rsidR="00342222" w:rsidRDefault="00677F62" w:rsidP="00F37D43">
            <w:pPr>
              <w:rPr>
                <w:rFonts w:eastAsia="MS Mincho"/>
                <w:lang w:eastAsia="ja-JP"/>
              </w:rPr>
            </w:pPr>
            <w:r>
              <w:rPr>
                <w:rFonts w:eastAsia="MS Mincho"/>
                <w:lang w:eastAsia="ja-JP"/>
              </w:rPr>
              <w:t>Ericsson</w:t>
            </w:r>
          </w:p>
        </w:tc>
        <w:tc>
          <w:tcPr>
            <w:tcW w:w="1039" w:type="dxa"/>
          </w:tcPr>
          <w:p w14:paraId="483B06FE" w14:textId="5417CF96" w:rsidR="00342222" w:rsidRDefault="004F5F3C" w:rsidP="00F37D43">
            <w:pPr>
              <w:rPr>
                <w:rFonts w:eastAsia="MS Mincho"/>
                <w:lang w:eastAsia="ja-JP"/>
              </w:rPr>
            </w:pPr>
            <w:r>
              <w:rPr>
                <w:rFonts w:eastAsia="MS Mincho"/>
                <w:lang w:eastAsia="ja-JP"/>
              </w:rPr>
              <w:t>No</w:t>
            </w:r>
          </w:p>
        </w:tc>
        <w:tc>
          <w:tcPr>
            <w:tcW w:w="6300"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EA1D1A">
        <w:tc>
          <w:tcPr>
            <w:tcW w:w="2285"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103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300"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EA1D1A">
        <w:tc>
          <w:tcPr>
            <w:tcW w:w="2285" w:type="dxa"/>
          </w:tcPr>
          <w:p w14:paraId="353C767B" w14:textId="2526BE44" w:rsidR="00687ED5" w:rsidRDefault="00687ED5" w:rsidP="00687ED5">
            <w:pPr>
              <w:rPr>
                <w:rFonts w:eastAsia="MS Mincho"/>
                <w:lang w:eastAsia="ja-JP"/>
              </w:rPr>
            </w:pPr>
            <w:r>
              <w:rPr>
                <w:lang w:val="en-US" w:eastAsia="zh-CN"/>
              </w:rPr>
              <w:t>Futurewei</w:t>
            </w:r>
          </w:p>
        </w:tc>
        <w:tc>
          <w:tcPr>
            <w:tcW w:w="1039" w:type="dxa"/>
          </w:tcPr>
          <w:p w14:paraId="6B9A22D9" w14:textId="5A5DF69E" w:rsidR="00687ED5" w:rsidRDefault="00687ED5" w:rsidP="00687ED5">
            <w:pPr>
              <w:rPr>
                <w:rFonts w:eastAsia="MS Mincho"/>
                <w:lang w:eastAsia="ja-JP"/>
              </w:rPr>
            </w:pPr>
            <w:r>
              <w:rPr>
                <w:lang w:val="en-US" w:eastAsia="zh-CN"/>
              </w:rPr>
              <w:t>Yes</w:t>
            </w:r>
          </w:p>
        </w:tc>
        <w:tc>
          <w:tcPr>
            <w:tcW w:w="6300" w:type="dxa"/>
          </w:tcPr>
          <w:p w14:paraId="1337DAB1" w14:textId="77777777" w:rsidR="00687ED5" w:rsidRDefault="00687ED5" w:rsidP="00687ED5">
            <w:pPr>
              <w:rPr>
                <w:rFonts w:eastAsia="MS Mincho"/>
                <w:lang w:eastAsia="ja-JP"/>
              </w:rPr>
            </w:pPr>
          </w:p>
        </w:tc>
      </w:tr>
      <w:tr w:rsidR="00BD250B" w:rsidRPr="00722C0C" w14:paraId="20C8AFA5" w14:textId="77777777" w:rsidTr="00EA1D1A">
        <w:tc>
          <w:tcPr>
            <w:tcW w:w="2285"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103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300"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EA1D1A">
        <w:tc>
          <w:tcPr>
            <w:tcW w:w="2285" w:type="dxa"/>
          </w:tcPr>
          <w:p w14:paraId="6F8F9258" w14:textId="0BED73C6" w:rsidR="00327C6A" w:rsidRDefault="00327C6A" w:rsidP="00327C6A">
            <w:pPr>
              <w:rPr>
                <w:lang w:val="en-US" w:eastAsia="zh-CN"/>
              </w:rPr>
            </w:pPr>
            <w:r>
              <w:rPr>
                <w:rFonts w:hint="eastAsia"/>
                <w:lang w:eastAsia="zh-CN"/>
              </w:rPr>
              <w:t>S</w:t>
            </w:r>
            <w:r>
              <w:rPr>
                <w:lang w:eastAsia="zh-CN"/>
              </w:rPr>
              <w:t>preadtrum</w:t>
            </w:r>
          </w:p>
        </w:tc>
        <w:tc>
          <w:tcPr>
            <w:tcW w:w="103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300"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r w:rsidR="005A4139" w:rsidRPr="00722C0C" w14:paraId="1272298A" w14:textId="77777777" w:rsidTr="00EA1D1A">
        <w:tc>
          <w:tcPr>
            <w:tcW w:w="2285" w:type="dxa"/>
          </w:tcPr>
          <w:p w14:paraId="4F32B932" w14:textId="40B04FFA" w:rsidR="005A4139" w:rsidRDefault="005A4139" w:rsidP="00327C6A">
            <w:pPr>
              <w:rPr>
                <w:lang w:eastAsia="zh-CN"/>
              </w:rPr>
            </w:pPr>
            <w:r>
              <w:rPr>
                <w:rFonts w:hint="eastAsia"/>
                <w:lang w:val="en-US" w:eastAsia="zh-CN"/>
              </w:rPr>
              <w:t>T</w:t>
            </w:r>
            <w:r>
              <w:rPr>
                <w:lang w:val="en-US" w:eastAsia="zh-CN"/>
              </w:rPr>
              <w:t>D Tech, Chengdu TD Tech</w:t>
            </w:r>
          </w:p>
        </w:tc>
        <w:tc>
          <w:tcPr>
            <w:tcW w:w="1039" w:type="dxa"/>
          </w:tcPr>
          <w:p w14:paraId="67F79132" w14:textId="3EC91BED" w:rsidR="005A4139" w:rsidRDefault="00C95067" w:rsidP="00327C6A">
            <w:pPr>
              <w:rPr>
                <w:lang w:val="en-US" w:eastAsia="zh-CN"/>
              </w:rPr>
            </w:pPr>
            <w:r>
              <w:rPr>
                <w:lang w:val="en-US" w:eastAsia="zh-CN"/>
              </w:rPr>
              <w:t>Yes</w:t>
            </w:r>
            <w:r w:rsidR="00FF0806">
              <w:rPr>
                <w:lang w:val="en-US" w:eastAsia="zh-CN"/>
              </w:rPr>
              <w:t xml:space="preserve"> with comments</w:t>
            </w:r>
          </w:p>
        </w:tc>
        <w:tc>
          <w:tcPr>
            <w:tcW w:w="6300" w:type="dxa"/>
          </w:tcPr>
          <w:p w14:paraId="1F8A29CC" w14:textId="2206B25F" w:rsidR="005A4139" w:rsidRDefault="00FF0806" w:rsidP="00FF0806">
            <w:pPr>
              <w:rPr>
                <w:lang w:val="en-US" w:eastAsia="zh-CN"/>
              </w:rPr>
            </w:pPr>
            <w:r>
              <w:rPr>
                <w:rFonts w:hint="eastAsia"/>
                <w:lang w:val="en-US" w:eastAsia="zh-CN"/>
              </w:rPr>
              <w:t>A</w:t>
            </w:r>
            <w:r>
              <w:rPr>
                <w:lang w:val="en-US" w:eastAsia="zh-CN"/>
              </w:rPr>
              <w:t xml:space="preserve">lthough such procession can make no loss during handover. It can reduce the loss as soon as possible. A missed packets can be provided to UE if it’s transmitted to UE by the target cell. But if the source cell transmits slower than the target cell, the packets not transmitted by the target cell are lost for </w:t>
            </w:r>
            <w:proofErr w:type="gramStart"/>
            <w:r>
              <w:rPr>
                <w:lang w:val="en-US" w:eastAsia="zh-CN"/>
              </w:rPr>
              <w:t>UE .</w:t>
            </w:r>
            <w:proofErr w:type="gramEnd"/>
          </w:p>
        </w:tc>
      </w:tr>
      <w:tr w:rsidR="00EA1D1A" w:rsidRPr="00722C0C" w14:paraId="77CC5543" w14:textId="77777777" w:rsidTr="00EA1D1A">
        <w:tc>
          <w:tcPr>
            <w:tcW w:w="2285" w:type="dxa"/>
          </w:tcPr>
          <w:p w14:paraId="7FB0AC7E" w14:textId="11D7A03E" w:rsidR="00EA1D1A" w:rsidRDefault="00EA1D1A" w:rsidP="00EA1D1A">
            <w:pPr>
              <w:rPr>
                <w:rFonts w:hint="eastAsia"/>
                <w:lang w:val="en-US" w:eastAsia="zh-CN"/>
              </w:rPr>
            </w:pPr>
            <w:r>
              <w:lastRenderedPageBreak/>
              <w:t>Intel</w:t>
            </w:r>
          </w:p>
        </w:tc>
        <w:tc>
          <w:tcPr>
            <w:tcW w:w="1039" w:type="dxa"/>
          </w:tcPr>
          <w:p w14:paraId="37D663E5" w14:textId="182B233F" w:rsidR="00EA1D1A" w:rsidRDefault="00EA1D1A" w:rsidP="00EA1D1A">
            <w:pPr>
              <w:rPr>
                <w:lang w:val="en-US" w:eastAsia="zh-CN"/>
              </w:rPr>
            </w:pPr>
            <w:r>
              <w:t>Yes</w:t>
            </w:r>
          </w:p>
        </w:tc>
        <w:tc>
          <w:tcPr>
            <w:tcW w:w="6300" w:type="dxa"/>
          </w:tcPr>
          <w:p w14:paraId="36C3276D" w14:textId="77777777" w:rsidR="00EA1D1A" w:rsidRDefault="00EA1D1A" w:rsidP="00EA1D1A">
            <w:pPr>
              <w:rPr>
                <w:rFonts w:hint="eastAsia"/>
                <w:lang w:val="en-US" w:eastAsia="zh-CN"/>
              </w:rPr>
            </w:pP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w:t>
            </w:r>
            <w:r>
              <w:rPr>
                <w:rFonts w:eastAsiaTheme="minorEastAsia"/>
                <w:lang w:val="en-US" w:eastAsia="zh-CN"/>
              </w:rPr>
              <w:lastRenderedPageBreak/>
              <w:t xml:space="preserve">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lastRenderedPageBreak/>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F84413">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F84413">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F84413">
        <w:tc>
          <w:tcPr>
            <w:tcW w:w="2312" w:type="dxa"/>
          </w:tcPr>
          <w:p w14:paraId="2306C369" w14:textId="696FB767" w:rsidR="0034629A" w:rsidRDefault="0034629A" w:rsidP="0034629A">
            <w:pPr>
              <w:rPr>
                <w:rFonts w:eastAsiaTheme="minorEastAsia"/>
                <w:lang w:val="en-US" w:eastAsia="zh-CN"/>
              </w:rPr>
            </w:pPr>
            <w:r>
              <w:rPr>
                <w:rFonts w:hint="eastAsia"/>
                <w:lang w:eastAsia="zh-CN"/>
              </w:rPr>
              <w:t>S</w:t>
            </w:r>
            <w:r>
              <w:rPr>
                <w:lang w:eastAsia="zh-CN"/>
              </w:rPr>
              <w:t>preadtrum</w:t>
            </w:r>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F84413">
        <w:tc>
          <w:tcPr>
            <w:tcW w:w="2312" w:type="dxa"/>
          </w:tcPr>
          <w:p w14:paraId="5AAFE12E" w14:textId="2E130143" w:rsidR="005A4139" w:rsidRDefault="005A4139" w:rsidP="0034629A">
            <w:pPr>
              <w:rPr>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r w:rsidR="00EA1D1A" w:rsidRPr="00722C0C" w14:paraId="2A04EC06" w14:textId="77777777" w:rsidTr="00F84413">
        <w:tc>
          <w:tcPr>
            <w:tcW w:w="2312" w:type="dxa"/>
          </w:tcPr>
          <w:p w14:paraId="4494B087" w14:textId="75E9EB58" w:rsidR="00EA1D1A" w:rsidRDefault="00EA1D1A" w:rsidP="00EA1D1A">
            <w:pPr>
              <w:rPr>
                <w:rFonts w:hint="eastAsia"/>
                <w:lang w:val="en-US" w:eastAsia="zh-CN"/>
              </w:rPr>
            </w:pPr>
            <w:r>
              <w:rPr>
                <w:rFonts w:eastAsiaTheme="minorEastAsia"/>
                <w:lang w:val="en-US" w:eastAsia="zh-CN"/>
              </w:rPr>
              <w:t>Intel</w:t>
            </w:r>
          </w:p>
        </w:tc>
        <w:tc>
          <w:tcPr>
            <w:tcW w:w="899" w:type="dxa"/>
          </w:tcPr>
          <w:p w14:paraId="17450675" w14:textId="29F68595" w:rsidR="00EA1D1A" w:rsidRDefault="00EA1D1A" w:rsidP="00EA1D1A">
            <w:pPr>
              <w:rPr>
                <w:lang w:val="en-US" w:eastAsia="zh-CN"/>
              </w:rPr>
            </w:pPr>
            <w:r>
              <w:rPr>
                <w:rFonts w:eastAsiaTheme="minorEastAsia"/>
                <w:lang w:val="en-US" w:eastAsia="zh-CN"/>
              </w:rPr>
              <w:t>Yes</w:t>
            </w:r>
          </w:p>
        </w:tc>
        <w:tc>
          <w:tcPr>
            <w:tcW w:w="6413" w:type="dxa"/>
          </w:tcPr>
          <w:p w14:paraId="4E15810F" w14:textId="77777777" w:rsidR="00EA1D1A" w:rsidRDefault="00EA1D1A" w:rsidP="00EA1D1A">
            <w:pPr>
              <w:rPr>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lastRenderedPageBreak/>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So we prefer Option 1</w:t>
            </w:r>
            <w:r w:rsidR="00CD6C3B">
              <w:rPr>
                <w:rFonts w:eastAsiaTheme="minorEastAsia"/>
                <w:lang w:eastAsia="zh-CN"/>
              </w:rPr>
              <w:t>.</w:t>
            </w:r>
          </w:p>
        </w:tc>
      </w:tr>
      <w:tr w:rsidR="00687ED5" w:rsidRPr="007B70F8" w14:paraId="12EDE173" w14:textId="77777777" w:rsidTr="00F84413">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F84413">
        <w:tc>
          <w:tcPr>
            <w:tcW w:w="2284" w:type="dxa"/>
          </w:tcPr>
          <w:p w14:paraId="2F5C52AB" w14:textId="029F6B5C" w:rsidR="008A0A63" w:rsidRDefault="008A0A63" w:rsidP="008A0A63">
            <w:pPr>
              <w:rPr>
                <w:lang w:val="en-US" w:eastAsia="zh-CN"/>
              </w:rPr>
            </w:pPr>
            <w:r>
              <w:rPr>
                <w:rFonts w:hint="eastAsia"/>
                <w:lang w:eastAsia="zh-CN"/>
              </w:rPr>
              <w:t>S</w:t>
            </w:r>
            <w:r>
              <w:rPr>
                <w:lang w:eastAsia="zh-CN"/>
              </w:rPr>
              <w:t>preadtrum</w:t>
            </w:r>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F84413">
        <w:tc>
          <w:tcPr>
            <w:tcW w:w="2284" w:type="dxa"/>
          </w:tcPr>
          <w:p w14:paraId="3CFDBF4A" w14:textId="22A48342" w:rsidR="005A4139" w:rsidRDefault="005A4139" w:rsidP="008A0A63">
            <w:pPr>
              <w:rPr>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r w:rsidR="00EA1D1A" w:rsidRPr="007B70F8" w14:paraId="03D878C1" w14:textId="77777777" w:rsidTr="00F84413">
        <w:tc>
          <w:tcPr>
            <w:tcW w:w="2284" w:type="dxa"/>
          </w:tcPr>
          <w:p w14:paraId="64A04655" w14:textId="666DCE3C" w:rsidR="00EA1D1A" w:rsidRDefault="00EA1D1A" w:rsidP="00EA1D1A">
            <w:pPr>
              <w:rPr>
                <w:rFonts w:hint="eastAsia"/>
                <w:lang w:val="en-US" w:eastAsia="zh-CN"/>
              </w:rPr>
            </w:pPr>
            <w:r>
              <w:t>Intel</w:t>
            </w:r>
          </w:p>
        </w:tc>
        <w:tc>
          <w:tcPr>
            <w:tcW w:w="1049" w:type="dxa"/>
          </w:tcPr>
          <w:p w14:paraId="73B707DD" w14:textId="1D8DBD13" w:rsidR="00EA1D1A" w:rsidRDefault="00EA1D1A" w:rsidP="00EA1D1A">
            <w:pPr>
              <w:rPr>
                <w:lang w:val="en-US" w:eastAsia="zh-CN"/>
              </w:rPr>
            </w:pPr>
            <w:r>
              <w:t>Option 1</w:t>
            </w:r>
          </w:p>
        </w:tc>
        <w:tc>
          <w:tcPr>
            <w:tcW w:w="6291" w:type="dxa"/>
          </w:tcPr>
          <w:p w14:paraId="4FB59315" w14:textId="77777777" w:rsidR="00EA1D1A" w:rsidRDefault="00EA1D1A" w:rsidP="00EA1D1A">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lastRenderedPageBreak/>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F84413">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F84413">
        <w:tc>
          <w:tcPr>
            <w:tcW w:w="1868" w:type="dxa"/>
          </w:tcPr>
          <w:p w14:paraId="08841424" w14:textId="4B8A066E" w:rsidR="003F24A6" w:rsidRDefault="003F24A6" w:rsidP="003F24A6">
            <w:pPr>
              <w:rPr>
                <w:lang w:val="en-US" w:eastAsia="zh-CN"/>
              </w:rPr>
            </w:pPr>
            <w:r>
              <w:rPr>
                <w:rFonts w:hint="eastAsia"/>
                <w:lang w:eastAsia="zh-CN"/>
              </w:rPr>
              <w:t>S</w:t>
            </w:r>
            <w:r>
              <w:rPr>
                <w:lang w:eastAsia="zh-CN"/>
              </w:rPr>
              <w:t>preadtrum</w:t>
            </w:r>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F84413">
        <w:tc>
          <w:tcPr>
            <w:tcW w:w="1868" w:type="dxa"/>
          </w:tcPr>
          <w:p w14:paraId="767D9265" w14:textId="2F999BA8" w:rsidR="005A4139" w:rsidRDefault="005A4139" w:rsidP="003F24A6">
            <w:pPr>
              <w:rPr>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r w:rsidR="00EA1D1A" w:rsidRPr="007B70F8" w14:paraId="6295713B" w14:textId="77777777" w:rsidTr="00F84413">
        <w:tc>
          <w:tcPr>
            <w:tcW w:w="1868" w:type="dxa"/>
          </w:tcPr>
          <w:p w14:paraId="6F1D3FA2" w14:textId="51E7A2C6" w:rsidR="00EA1D1A" w:rsidRDefault="00EA1D1A" w:rsidP="00EA1D1A">
            <w:pPr>
              <w:rPr>
                <w:rFonts w:hint="eastAsia"/>
                <w:lang w:val="en-US" w:eastAsia="zh-CN"/>
              </w:rPr>
            </w:pPr>
            <w:r>
              <w:t>Intel</w:t>
            </w:r>
          </w:p>
        </w:tc>
        <w:tc>
          <w:tcPr>
            <w:tcW w:w="1605" w:type="dxa"/>
          </w:tcPr>
          <w:p w14:paraId="501F23FC" w14:textId="3E5C6DA2" w:rsidR="00EA1D1A" w:rsidRDefault="00EA1D1A" w:rsidP="00EA1D1A">
            <w:pPr>
              <w:rPr>
                <w:rFonts w:eastAsiaTheme="minorEastAsia"/>
                <w:lang w:eastAsia="zh-CN"/>
              </w:rPr>
            </w:pPr>
            <w:r>
              <w:t>15</w:t>
            </w:r>
          </w:p>
        </w:tc>
        <w:tc>
          <w:tcPr>
            <w:tcW w:w="1519" w:type="dxa"/>
          </w:tcPr>
          <w:p w14:paraId="55B45762" w14:textId="7AE6A24F" w:rsidR="00EA1D1A" w:rsidRDefault="00EA1D1A" w:rsidP="00EA1D1A">
            <w:r>
              <w:t>Except profile 0x0006</w:t>
            </w:r>
          </w:p>
        </w:tc>
        <w:tc>
          <w:tcPr>
            <w:tcW w:w="4632" w:type="dxa"/>
          </w:tcPr>
          <w:p w14:paraId="02892678" w14:textId="77777777" w:rsidR="00EA1D1A" w:rsidRDefault="00EA1D1A" w:rsidP="00EA1D1A"/>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lastRenderedPageBreak/>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lastRenderedPageBreak/>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F84413">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F84413">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F84413">
        <w:tc>
          <w:tcPr>
            <w:tcW w:w="2313" w:type="dxa"/>
          </w:tcPr>
          <w:p w14:paraId="34DA587E" w14:textId="0C2E2A08" w:rsidR="004B7EB7" w:rsidRDefault="004B7EB7" w:rsidP="004B7EB7">
            <w:pPr>
              <w:rPr>
                <w:lang w:val="en-US" w:eastAsia="zh-CN"/>
              </w:rPr>
            </w:pPr>
            <w:r>
              <w:rPr>
                <w:rFonts w:hint="eastAsia"/>
                <w:lang w:eastAsia="zh-CN"/>
              </w:rPr>
              <w:t>S</w:t>
            </w:r>
            <w:r>
              <w:rPr>
                <w:lang w:eastAsia="zh-CN"/>
              </w:rPr>
              <w:t>preadtrum</w:t>
            </w:r>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F84413">
        <w:tc>
          <w:tcPr>
            <w:tcW w:w="2313" w:type="dxa"/>
          </w:tcPr>
          <w:p w14:paraId="0A02A5D3" w14:textId="6D883FED" w:rsidR="005A4139" w:rsidRDefault="005A4139" w:rsidP="004B7EB7">
            <w:pPr>
              <w:rPr>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lang w:eastAsia="zh-CN"/>
              </w:rPr>
            </w:pPr>
            <w:r>
              <w:rPr>
                <w:rFonts w:eastAsiaTheme="minorEastAsia"/>
                <w:lang w:eastAsia="zh-CN"/>
              </w:rPr>
              <w:t>Yes</w:t>
            </w:r>
          </w:p>
        </w:tc>
        <w:tc>
          <w:tcPr>
            <w:tcW w:w="6417" w:type="dxa"/>
          </w:tcPr>
          <w:p w14:paraId="7BB47E35" w14:textId="77777777" w:rsidR="005A4139" w:rsidRDefault="005A4139" w:rsidP="004B7EB7">
            <w:pPr>
              <w:rPr>
                <w:rFonts w:eastAsia="MS Mincho"/>
                <w:lang w:eastAsia="ja-JP"/>
              </w:rPr>
            </w:pPr>
          </w:p>
        </w:tc>
      </w:tr>
      <w:tr w:rsidR="00EA1D1A" w:rsidRPr="007B70F8" w14:paraId="6FFDA519" w14:textId="77777777" w:rsidTr="00F84413">
        <w:tc>
          <w:tcPr>
            <w:tcW w:w="2313" w:type="dxa"/>
          </w:tcPr>
          <w:p w14:paraId="3A9157BA" w14:textId="38E0CC5E" w:rsidR="00EA1D1A" w:rsidRDefault="00EA1D1A" w:rsidP="00EA1D1A">
            <w:pPr>
              <w:rPr>
                <w:rFonts w:hint="eastAsia"/>
                <w:lang w:val="en-US" w:eastAsia="zh-CN"/>
              </w:rPr>
            </w:pPr>
            <w:r>
              <w:t>Intel</w:t>
            </w:r>
          </w:p>
        </w:tc>
        <w:tc>
          <w:tcPr>
            <w:tcW w:w="893" w:type="dxa"/>
          </w:tcPr>
          <w:p w14:paraId="74DF595A" w14:textId="230D0B3E" w:rsidR="00EA1D1A" w:rsidRDefault="00EA1D1A" w:rsidP="00EA1D1A">
            <w:pPr>
              <w:rPr>
                <w:rFonts w:eastAsiaTheme="minorEastAsia"/>
                <w:lang w:eastAsia="zh-CN"/>
              </w:rPr>
            </w:pPr>
            <w:r>
              <w:t>Yes</w:t>
            </w:r>
          </w:p>
        </w:tc>
        <w:tc>
          <w:tcPr>
            <w:tcW w:w="6417" w:type="dxa"/>
          </w:tcPr>
          <w:p w14:paraId="3773C948" w14:textId="4674FBE0" w:rsidR="00EA1D1A" w:rsidRDefault="00EA1D1A" w:rsidP="00EA1D1A">
            <w:pPr>
              <w:rPr>
                <w:rFonts w:eastAsia="MS Mincho"/>
                <w:lang w:eastAsia="ja-JP"/>
              </w:rPr>
            </w:pPr>
            <w:r>
              <w:t xml:space="preserve">Our understanding is that the only standardization efforts to support broadcast reception in </w:t>
            </w:r>
            <w:proofErr w:type="spellStart"/>
            <w:r>
              <w:t>SCell</w:t>
            </w:r>
            <w:proofErr w:type="spellEnd"/>
            <w:r>
              <w:t xml:space="preserve"> and non-serving cell is to define the related UE capabilities. This is </w:t>
            </w:r>
            <w:proofErr w:type="gramStart"/>
            <w:r>
              <w:t>similar to</w:t>
            </w:r>
            <w:proofErr w:type="gramEnd"/>
            <w:r>
              <w:t xml:space="preserve"> LTE MBSFN and SC-PTM, where capabilities for </w:t>
            </w:r>
            <w:proofErr w:type="spellStart"/>
            <w:r>
              <w:t>SCell</w:t>
            </w:r>
            <w:proofErr w:type="spellEnd"/>
            <w:r>
              <w:t xml:space="preserve"> and non-serving cell MBMS reception is related to the MBMS interest indication.</w:t>
            </w: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lastRenderedPageBreak/>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F37D43">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F37D43">
        <w:trPr>
          <w:trHeight w:val="299"/>
        </w:trPr>
        <w:tc>
          <w:tcPr>
            <w:tcW w:w="2312" w:type="dxa"/>
          </w:tcPr>
          <w:p w14:paraId="1C20FE03" w14:textId="275AB154" w:rsidR="00D0699B" w:rsidRDefault="00D0699B" w:rsidP="00D0699B">
            <w:pPr>
              <w:rPr>
                <w:lang w:val="en-US" w:eastAsia="zh-CN"/>
              </w:rPr>
            </w:pPr>
            <w:r>
              <w:rPr>
                <w:rFonts w:hint="eastAsia"/>
                <w:lang w:eastAsia="zh-CN"/>
              </w:rPr>
              <w:t>S</w:t>
            </w:r>
            <w:r>
              <w:rPr>
                <w:lang w:eastAsia="zh-CN"/>
              </w:rPr>
              <w:t>preadtrum</w:t>
            </w:r>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F37D43">
        <w:trPr>
          <w:trHeight w:val="299"/>
        </w:trPr>
        <w:tc>
          <w:tcPr>
            <w:tcW w:w="2312" w:type="dxa"/>
          </w:tcPr>
          <w:p w14:paraId="07665092" w14:textId="1B289197" w:rsidR="005A4139" w:rsidRDefault="005A4139" w:rsidP="00D0699B">
            <w:pPr>
              <w:rPr>
                <w:lang w:eastAsia="zh-CN"/>
              </w:rPr>
            </w:pPr>
            <w:r>
              <w:rPr>
                <w:rFonts w:hint="eastAsia"/>
                <w:lang w:val="en-US" w:eastAsia="zh-CN"/>
              </w:rPr>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r w:rsidR="00EA1D1A" w:rsidRPr="007B70F8" w14:paraId="55B3AC6E" w14:textId="77777777" w:rsidTr="00F37D43">
        <w:trPr>
          <w:trHeight w:val="299"/>
        </w:trPr>
        <w:tc>
          <w:tcPr>
            <w:tcW w:w="2312" w:type="dxa"/>
          </w:tcPr>
          <w:p w14:paraId="74353D29" w14:textId="3C7D969C" w:rsidR="00EA1D1A" w:rsidRDefault="00EA1D1A" w:rsidP="00EA1D1A">
            <w:pPr>
              <w:rPr>
                <w:rFonts w:hint="eastAsia"/>
                <w:lang w:val="en-US" w:eastAsia="zh-CN"/>
              </w:rPr>
            </w:pPr>
            <w:r>
              <w:t>Intel</w:t>
            </w:r>
          </w:p>
        </w:tc>
        <w:tc>
          <w:tcPr>
            <w:tcW w:w="1693" w:type="dxa"/>
          </w:tcPr>
          <w:p w14:paraId="39784269" w14:textId="3907A914" w:rsidR="00EA1D1A" w:rsidRDefault="00EA1D1A" w:rsidP="00EA1D1A">
            <w:pPr>
              <w:rPr>
                <w:bCs/>
                <w:lang w:eastAsia="zh-CN"/>
              </w:rPr>
            </w:pPr>
            <w:r>
              <w:t>Per UE</w:t>
            </w:r>
          </w:p>
        </w:tc>
        <w:tc>
          <w:tcPr>
            <w:tcW w:w="5619" w:type="dxa"/>
          </w:tcPr>
          <w:p w14:paraId="55987B01" w14:textId="75EE25E6" w:rsidR="00EA1D1A" w:rsidRDefault="00EA1D1A" w:rsidP="00EA1D1A">
            <w:pPr>
              <w:rPr>
                <w:rFonts w:eastAsia="MS Mincho"/>
                <w:lang w:eastAsia="ja-JP"/>
              </w:rPr>
            </w:pPr>
            <w:r>
              <w:t>As in LTE.</w:t>
            </w: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two-step based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lastRenderedPageBreak/>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F84413">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F84413">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F84413">
        <w:tc>
          <w:tcPr>
            <w:tcW w:w="2313" w:type="dxa"/>
          </w:tcPr>
          <w:p w14:paraId="0D95D75E" w14:textId="61D0DCD5" w:rsidR="003B358C" w:rsidRDefault="003B358C" w:rsidP="003B358C">
            <w:pPr>
              <w:rPr>
                <w:lang w:val="en-US" w:eastAsia="zh-CN"/>
              </w:rPr>
            </w:pPr>
            <w:r>
              <w:rPr>
                <w:rFonts w:hint="eastAsia"/>
                <w:lang w:val="en-US" w:eastAsia="zh-CN"/>
              </w:rPr>
              <w:t>S</w:t>
            </w:r>
            <w:r>
              <w:rPr>
                <w:lang w:val="en-US" w:eastAsia="zh-CN"/>
              </w:rPr>
              <w:t>preadtrum</w:t>
            </w:r>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tr w:rsidR="005A4139" w:rsidRPr="007B70F8" w14:paraId="3F51DE4F" w14:textId="77777777" w:rsidTr="00F84413">
        <w:tc>
          <w:tcPr>
            <w:tcW w:w="2313" w:type="dxa"/>
          </w:tcPr>
          <w:p w14:paraId="25373A85" w14:textId="42CA4814" w:rsidR="005A4139" w:rsidRDefault="005A4139" w:rsidP="003B358C">
            <w:pPr>
              <w:rPr>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lang w:val="en-US" w:eastAsia="zh-CN"/>
              </w:rPr>
            </w:pPr>
          </w:p>
        </w:tc>
        <w:tc>
          <w:tcPr>
            <w:tcW w:w="6417" w:type="dxa"/>
          </w:tcPr>
          <w:p w14:paraId="169DD06F" w14:textId="77777777" w:rsidR="005A4139" w:rsidRDefault="005A4139" w:rsidP="003B358C">
            <w:pPr>
              <w:rPr>
                <w:rFonts w:eastAsiaTheme="minorEastAsia"/>
                <w:lang w:eastAsia="zh-CN"/>
              </w:rPr>
            </w:pPr>
          </w:p>
        </w:tc>
      </w:tr>
      <w:tr w:rsidR="00EA1D1A" w:rsidRPr="007B70F8" w14:paraId="7FC4AF5C" w14:textId="77777777" w:rsidTr="00F84413">
        <w:tc>
          <w:tcPr>
            <w:tcW w:w="2313" w:type="dxa"/>
          </w:tcPr>
          <w:p w14:paraId="2D088D73" w14:textId="0B1136EE" w:rsidR="00EA1D1A" w:rsidRDefault="00EA1D1A" w:rsidP="00EA1D1A">
            <w:pPr>
              <w:rPr>
                <w:rFonts w:hint="eastAsia"/>
                <w:lang w:val="en-US" w:eastAsia="zh-CN"/>
              </w:rPr>
            </w:pPr>
            <w:r>
              <w:t>Intel</w:t>
            </w:r>
          </w:p>
        </w:tc>
        <w:tc>
          <w:tcPr>
            <w:tcW w:w="893" w:type="dxa"/>
          </w:tcPr>
          <w:p w14:paraId="3C272D6C" w14:textId="17C51E1E" w:rsidR="00EA1D1A" w:rsidRDefault="00EA1D1A" w:rsidP="00EA1D1A">
            <w:pPr>
              <w:rPr>
                <w:lang w:val="en-US" w:eastAsia="zh-CN"/>
              </w:rPr>
            </w:pPr>
            <w:r>
              <w:t>No</w:t>
            </w:r>
          </w:p>
        </w:tc>
        <w:tc>
          <w:tcPr>
            <w:tcW w:w="6417" w:type="dxa"/>
          </w:tcPr>
          <w:p w14:paraId="46066E5D" w14:textId="72197D51" w:rsidR="00EA1D1A" w:rsidRDefault="00EA1D1A" w:rsidP="00EA1D1A">
            <w:pPr>
              <w:rPr>
                <w:rFonts w:eastAsiaTheme="minorEastAsia"/>
                <w:lang w:eastAsia="zh-CN"/>
              </w:rPr>
            </w:pPr>
            <w:r>
              <w:t>Agree with Xiaomi.</w:t>
            </w:r>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ListParagraph"/>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ListParagraph"/>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ListParagraph"/>
        <w:numPr>
          <w:ilvl w:val="0"/>
          <w:numId w:val="16"/>
        </w:numPr>
      </w:pPr>
      <w:r>
        <w:t xml:space="preserve"> R2-2201880, Report of [AT116bis-e][019][MBS] Multicast Handover and related reconfigurations (QC), Qualcomm</w:t>
      </w:r>
    </w:p>
    <w:sectPr w:rsidR="00DA26C5">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13C7" w14:textId="77777777" w:rsidR="00A11B4A" w:rsidRDefault="00A11B4A">
      <w:pPr>
        <w:spacing w:after="0"/>
      </w:pPr>
      <w:r>
        <w:separator/>
      </w:r>
    </w:p>
  </w:endnote>
  <w:endnote w:type="continuationSeparator" w:id="0">
    <w:p w14:paraId="65AED8C8" w14:textId="77777777" w:rsidR="00A11B4A" w:rsidRDefault="00A11B4A">
      <w:pPr>
        <w:spacing w:after="0"/>
      </w:pPr>
      <w:r>
        <w:continuationSeparator/>
      </w:r>
    </w:p>
  </w:endnote>
  <w:endnote w:type="continuationNotice" w:id="1">
    <w:p w14:paraId="6B1D9ED6" w14:textId="77777777" w:rsidR="00A11B4A" w:rsidRDefault="00A11B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E1CB" w14:textId="77777777" w:rsidR="00A11B4A" w:rsidRDefault="00A11B4A">
      <w:pPr>
        <w:spacing w:after="0"/>
      </w:pPr>
      <w:r>
        <w:separator/>
      </w:r>
    </w:p>
  </w:footnote>
  <w:footnote w:type="continuationSeparator" w:id="0">
    <w:p w14:paraId="4E1A5C26" w14:textId="77777777" w:rsidR="00A11B4A" w:rsidRDefault="00A11B4A">
      <w:pPr>
        <w:spacing w:after="0"/>
      </w:pPr>
      <w:r>
        <w:continuationSeparator/>
      </w:r>
    </w:p>
  </w:footnote>
  <w:footnote w:type="continuationNotice" w:id="1">
    <w:p w14:paraId="1F923610" w14:textId="77777777" w:rsidR="00A11B4A" w:rsidRDefault="00A11B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E81352" w:rsidRDefault="00E8135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6CDA"/>
    <w:rsid w:val="00466EFF"/>
    <w:rsid w:val="004724B1"/>
    <w:rsid w:val="004724CD"/>
    <w:rsid w:val="00472631"/>
    <w:rsid w:val="004726D4"/>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6A82"/>
    <w:rsid w:val="00616F39"/>
    <w:rsid w:val="006175B8"/>
    <w:rsid w:val="00617EDA"/>
    <w:rsid w:val="00620E32"/>
    <w:rsid w:val="00621188"/>
    <w:rsid w:val="00621B23"/>
    <w:rsid w:val="006220D0"/>
    <w:rsid w:val="006224CB"/>
    <w:rsid w:val="00622914"/>
    <w:rsid w:val="0062315F"/>
    <w:rsid w:val="006233A3"/>
    <w:rsid w:val="006243B1"/>
    <w:rsid w:val="006257ED"/>
    <w:rsid w:val="00626B06"/>
    <w:rsid w:val="00626BE2"/>
    <w:rsid w:val="0062733D"/>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2925"/>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B4A"/>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1D1A"/>
    <w:rsid w:val="00EA326C"/>
    <w:rsid w:val="00EA4ABC"/>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73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5D31AD-C126-474A-B217-32AF422A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23</Pages>
  <Words>7407</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NR_IIOT_URLLC_enh-Core</cp:lastModifiedBy>
  <cp:revision>29</cp:revision>
  <cp:lastPrinted>1900-12-31T16:00:00Z</cp:lastPrinted>
  <dcterms:created xsi:type="dcterms:W3CDTF">2022-02-12T04:04:00Z</dcterms:created>
  <dcterms:modified xsi:type="dcterms:W3CDTF">2022-02-13T14:53:00Z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