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sz w:val="24"/>
          <w:szCs w:val="24"/>
        </w:rPr>
      </w:pPr>
      <w:r>
        <w:rPr>
          <w:bCs/>
          <w:sz w:val="24"/>
          <w:szCs w:val="24"/>
        </w:rPr>
        <w:t>3GPP TSG-RAN WG2 Meeting #117 Electronic</w:t>
      </w:r>
      <w:r>
        <w:rPr>
          <w:bCs/>
          <w:sz w:val="24"/>
          <w:szCs w:val="24"/>
        </w:rPr>
        <w:tab/>
      </w:r>
      <w:r>
        <w:rPr>
          <w:bCs/>
          <w:sz w:val="24"/>
          <w:szCs w:val="24"/>
        </w:rPr>
        <w:t>R2-2203534</w:t>
      </w:r>
    </w:p>
    <w:p>
      <w:pPr>
        <w:pStyle w:val="26"/>
        <w:tabs>
          <w:tab w:val="right" w:pos="9639"/>
        </w:tabs>
        <w:rPr>
          <w:bCs/>
          <w:sz w:val="24"/>
          <w:szCs w:val="24"/>
          <w:lang w:eastAsia="zh-CN"/>
        </w:rPr>
      </w:pPr>
      <w:r>
        <w:rPr>
          <w:bCs/>
          <w:sz w:val="24"/>
          <w:szCs w:val="24"/>
          <w:lang w:eastAsia="zh-CN"/>
        </w:rPr>
        <w:t xml:space="preserve">Elbonia, </w:t>
      </w:r>
      <w:r>
        <w:rPr>
          <w:sz w:val="24"/>
        </w:rPr>
        <w:t>February 2022</w:t>
      </w:r>
    </w:p>
    <w:p>
      <w:pPr>
        <w:pStyle w:val="26"/>
        <w:rPr>
          <w:bCs/>
          <w:sz w:val="24"/>
        </w:rPr>
      </w:pPr>
    </w:p>
    <w:p>
      <w:pPr>
        <w:pStyle w:val="26"/>
        <w:rPr>
          <w:bCs/>
          <w:sz w:val="24"/>
        </w:rPr>
      </w:pPr>
    </w:p>
    <w:p>
      <w:pPr>
        <w:pStyle w:val="75"/>
        <w:tabs>
          <w:tab w:val="left" w:pos="1985"/>
        </w:tabs>
        <w:rPr>
          <w:rFonts w:cs="Arial"/>
          <w:b/>
          <w:bCs/>
          <w:sz w:val="24"/>
          <w:lang w:eastAsia="ja-JP"/>
        </w:rPr>
      </w:pPr>
      <w:r>
        <w:rPr>
          <w:rFonts w:cs="Arial"/>
          <w:b/>
          <w:bCs/>
          <w:sz w:val="24"/>
        </w:rPr>
        <w:t>Agenda item:</w:t>
      </w:r>
      <w:r>
        <w:rPr>
          <w:rFonts w:cs="Arial"/>
          <w:b/>
          <w:bCs/>
          <w:sz w:val="24"/>
        </w:rPr>
        <w:tab/>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Ericsson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NR_NTN_solutions_Core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numPr>
          <w:ilvl w:val="0"/>
          <w:numId w:val="6"/>
        </w:numPr>
      </w:pPr>
      <w:r>
        <w:t>Introduction</w:t>
      </w:r>
    </w:p>
    <w:p>
      <w:pPr>
        <w:pStyle w:val="28"/>
        <w:rPr>
          <w:sz w:val="22"/>
          <w:szCs w:val="22"/>
          <w:lang w:val="fi-FI" w:eastAsia="fi-FI"/>
        </w:rPr>
      </w:pPr>
      <w:r>
        <w:t> </w:t>
      </w:r>
      <w:r>
        <w:rPr>
          <w:rStyle w:val="33"/>
          <w:rFonts w:ascii="Wingdings" w:hAnsi="Wingdings"/>
        </w:rPr>
        <w:t xml:space="preserve">* </w:t>
      </w:r>
      <w:r>
        <w:rPr>
          <w:rStyle w:val="33"/>
        </w:rPr>
        <w:t>[AT117-e][101][NTN] RRC open issues (Ericsson)</w:t>
      </w:r>
    </w:p>
    <w:p>
      <w:pPr>
        <w:pStyle w:val="28"/>
        <w:ind w:left="1620"/>
      </w:pPr>
      <w:r>
        <w:t>Initial scope:</w:t>
      </w:r>
      <w:r>
        <w:rPr>
          <w:shd w:val="clear" w:color="auto" w:fill="FFFFFF"/>
        </w:rPr>
        <w:t xml:space="preserve"> Discuss RRC open issues based on the report in </w:t>
      </w:r>
      <w:r>
        <w:fldChar w:fldCharType="begin"/>
      </w:r>
      <w:r>
        <w:instrText xml:space="preserve"> HYPERLINK "file:///C:\\Data\\3GPP\\Extracts\\R2-2203154%20Report%20NTN%20open%20issues%20RRC_Rapp.docx" \o "C:Data3GPPExtractsR2-2203154 Report NTN open issues RRC_Rapp.docx" </w:instrText>
      </w:r>
      <w:r>
        <w:fldChar w:fldCharType="separate"/>
      </w:r>
      <w:r>
        <w:rPr>
          <w:rStyle w:val="36"/>
        </w:rPr>
        <w:t>R2-2203154</w:t>
      </w:r>
      <w:r>
        <w:rPr>
          <w:rStyle w:val="36"/>
        </w:rPr>
        <w:fldChar w:fldCharType="end"/>
      </w:r>
    </w:p>
    <w:p>
      <w:pPr>
        <w:pStyle w:val="28"/>
        <w:ind w:left="1620"/>
      </w:pPr>
      <w:r>
        <w:t>Initial intended outcome: Summary of the offline discussion with e.g.:</w:t>
      </w:r>
    </w:p>
    <w:p>
      <w:pPr>
        <w:pStyle w:val="28"/>
        <w:ind w:left="1980"/>
      </w:pPr>
      <w:r>
        <w:rPr>
          <w:rFonts w:ascii="Wingdings" w:hAnsi="Wingdings"/>
        </w:rPr>
        <w:t>§</w:t>
      </w:r>
      <w:r>
        <w:rPr>
          <w:rFonts w:ascii="Times New Roman" w:hAnsi="Times New Roman" w:cs="Times New Roman"/>
          <w:sz w:val="14"/>
          <w:szCs w:val="14"/>
        </w:rPr>
        <w:t xml:space="preserve">  </w:t>
      </w:r>
      <w:r>
        <w:t>List of proposals for agreement (if any)</w:t>
      </w:r>
    </w:p>
    <w:p>
      <w:pPr>
        <w:pStyle w:val="28"/>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pPr>
        <w:pStyle w:val="28"/>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pPr>
        <w:pStyle w:val="28"/>
        <w:ind w:left="1620"/>
      </w:pPr>
      <w:r>
        <w:t>Initial deadline (for companies' feedback): Monday 2022-02-21 1700 UTC</w:t>
      </w:r>
    </w:p>
    <w:p>
      <w:pPr>
        <w:pStyle w:val="28"/>
        <w:ind w:left="1620"/>
      </w:pPr>
      <w:r>
        <w:t>Initial deadline (for rapporteur's summary in R2-2203534): Monday 2022-02-21 2000 UTC</w:t>
      </w:r>
    </w:p>
    <w:p>
      <w:pPr>
        <w:pStyle w:val="28"/>
        <w:ind w:left="1620"/>
      </w:pPr>
      <w:r>
        <w:rPr>
          <w:u w:val="single"/>
        </w:rPr>
        <w:t>Proposals marked "for agreement" in R2-2203534 not challenged until Tuesday 2022-02-22 1000 UTC will be declared as agreed via email by the session chair (for the rest the discussion will continue during the GTW session on Tuesday).</w:t>
      </w:r>
    </w:p>
    <w:p>
      <w:pPr>
        <w:pStyle w:val="28"/>
        <w:rPr>
          <w:sz w:val="22"/>
          <w:szCs w:val="22"/>
          <w:lang w:eastAsia="fi-FI"/>
        </w:rPr>
      </w:pPr>
    </w:p>
    <w:p>
      <w:pPr>
        <w:pStyle w:val="28"/>
        <w:rPr>
          <w:sz w:val="22"/>
          <w:szCs w:val="22"/>
          <w:lang w:eastAsia="fi-FI"/>
        </w:rPr>
      </w:pPr>
      <w:r>
        <w:rPr>
          <w:sz w:val="22"/>
          <w:szCs w:val="22"/>
          <w:lang w:eastAsia="fi-FI"/>
        </w:rPr>
        <w:t>Based on the outcome of [Pre117-e][NTN][101] RRC open issues, this short offline discussion aims for email agreement or further discussion on those conclusions.</w:t>
      </w:r>
    </w:p>
    <w:p>
      <w:pPr>
        <w:pStyle w:val="2"/>
      </w:pPr>
      <w:r>
        <w:t>2</w:t>
      </w:r>
      <w:r>
        <w:tab/>
      </w:r>
      <w:r>
        <w:t>Contact Points</w:t>
      </w:r>
    </w:p>
    <w:p>
      <w:r>
        <w:t>Respondents to the email discussion are kindly asked to fill in the following table.</w:t>
      </w:r>
    </w:p>
    <w:tbl>
      <w:tblPr>
        <w:tblStyle w:val="30"/>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MediaTek</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Abhishek Roy</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abhishek.roy@mediatek.com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Qiu Zhihong</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lang w:eastAsia="zh-CN"/>
        </w:rPr>
      </w:pPr>
      <w:r>
        <w:br w:type="page"/>
      </w:r>
    </w:p>
    <w:p/>
    <w:p/>
    <w:p>
      <w:pPr>
        <w:pStyle w:val="2"/>
      </w:pPr>
      <w:r>
        <w:t>3</w:t>
      </w:r>
      <w:r>
        <w:tab/>
      </w:r>
      <w:r>
        <w:t>Connected mode</w:t>
      </w:r>
    </w:p>
    <w:p/>
    <w:p>
      <w:pPr>
        <w:pStyle w:val="3"/>
      </w:pPr>
      <w:r>
        <w:t>3.1</w:t>
      </w:r>
      <w:r>
        <w:tab/>
      </w:r>
      <w:r>
        <w:t>Location reporting during connected mode(not in initial access)</w:t>
      </w:r>
    </w:p>
    <w:p>
      <w:pPr>
        <w:rPr>
          <w:lang w:val="en-GB" w:eastAsia="en-US"/>
        </w:rPr>
      </w:pPr>
    </w:p>
    <w:p>
      <w:r>
        <w:rPr>
          <w:lang w:val="en-GB" w:eastAsia="en-US"/>
        </w:rPr>
        <w:t>Location reporting event is captured in the running RRC CR:</w:t>
      </w:r>
    </w:p>
    <w:p>
      <w:pPr>
        <w:pStyle w:val="5"/>
        <w:ind w:left="1986"/>
      </w:pPr>
      <w:bookmarkStart w:id="0" w:name="_Hlk82781674"/>
      <w:r>
        <w:t>5.</w:t>
      </w:r>
      <w:bookmarkStart w:id="1" w:name="_Hlk87814599"/>
      <w:r>
        <w:t xml:space="preserve">5.4.xx Event D1 </w:t>
      </w:r>
      <w:bookmarkEnd w:id="1"/>
      <w:r>
        <w:t>(</w:t>
      </w:r>
      <w:r>
        <w:rPr>
          <w:highlight w:val="yellow"/>
        </w:rPr>
        <w:t>FFS</w:t>
      </w:r>
      <w:r>
        <w:t>)</w:t>
      </w:r>
    </w:p>
    <w:p>
      <w:pPr>
        <w:ind w:left="568"/>
      </w:pPr>
      <w:r>
        <w:t>The UE shall:</w:t>
      </w:r>
    </w:p>
    <w:p>
      <w:pPr>
        <w:pStyle w:val="55"/>
        <w:ind w:left="1136"/>
      </w:pPr>
      <w:r>
        <w:t>1&gt;</w:t>
      </w:r>
      <w:r>
        <w:tab/>
      </w:r>
      <w:r>
        <w:t>consider the entering condition for this event to be satisfied when both condition D1-1 and conditionD1-2, as specified below, is fulfilled;</w:t>
      </w:r>
    </w:p>
    <w:p>
      <w:pPr>
        <w:ind w:left="568"/>
      </w:pPr>
      <w:r>
        <w:t>Inequality D1-1 (Entering condition 1)</w:t>
      </w:r>
    </w:p>
    <w:p>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pPr>
        <w:ind w:left="568"/>
      </w:pPr>
      <w:r>
        <w:t>Inequality D1-2 (Entering condition 2)</w:t>
      </w:r>
    </w:p>
    <w:p>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pPr>
        <w:ind w:left="568"/>
      </w:pPr>
    </w:p>
    <w:p>
      <w:pPr>
        <w:ind w:left="568"/>
      </w:pPr>
      <w:r>
        <w:t>The variables in the formula are defined as follows:</w:t>
      </w:r>
    </w:p>
    <w:p>
      <w:pPr>
        <w:pStyle w:val="55"/>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pPr>
        <w:pStyle w:val="55"/>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pPr>
        <w:pStyle w:val="55"/>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pPr>
        <w:pStyle w:val="55"/>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pPr>
        <w:pStyle w:val="55"/>
        <w:ind w:left="1136"/>
      </w:pPr>
      <w:r>
        <w:rPr>
          <w:b/>
          <w:i/>
        </w:rPr>
        <w:t xml:space="preserve">Ml2 </w:t>
      </w:r>
      <w:r>
        <w:t>is expressed in FFS.</w:t>
      </w:r>
    </w:p>
    <w:p>
      <w:pPr>
        <w:pStyle w:val="55"/>
        <w:ind w:left="1136"/>
      </w:pPr>
      <w:r>
        <w:rPr>
          <w:b/>
          <w:i/>
        </w:rPr>
        <w:t>Hys</w:t>
      </w:r>
      <w:r>
        <w:t xml:space="preserve"> is expressed in the same unit as </w:t>
      </w:r>
      <w:r>
        <w:rPr>
          <w:b/>
          <w:i/>
        </w:rPr>
        <w:t>Ml1.</w:t>
      </w:r>
    </w:p>
    <w:p>
      <w:pPr>
        <w:pStyle w:val="55"/>
        <w:ind w:left="1136"/>
      </w:pPr>
      <w:r>
        <w:rPr>
          <w:b/>
          <w:i/>
        </w:rPr>
        <w:t xml:space="preserve">Thresh </w:t>
      </w:r>
      <w:r>
        <w:t xml:space="preserve">is expressed in the same unit as </w:t>
      </w:r>
      <w:r>
        <w:rPr>
          <w:b/>
          <w:i/>
        </w:rPr>
        <w:t>Ml1</w:t>
      </w:r>
      <w:r>
        <w:t>.</w:t>
      </w:r>
    </w:p>
    <w:bookmarkEnd w:id="0"/>
    <w:p>
      <w:pPr>
        <w:ind w:left="568"/>
      </w:pPr>
      <w:bookmarkStart w:id="2" w:name="_Hlk93999928"/>
    </w:p>
    <w:p>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pPr>
        <w:keepLines/>
        <w:ind w:left="1703" w:hanging="851"/>
        <w:rPr>
          <w:rFonts w:eastAsia="宋体"/>
          <w:lang w:eastAsia="en-US"/>
        </w:rPr>
      </w:pPr>
      <w:r>
        <w:rPr>
          <w:rFonts w:eastAsia="宋体"/>
          <w:color w:val="FF0000"/>
          <w:highlight w:val="yellow"/>
          <w:lang w:eastAsia="zh-CN"/>
        </w:rPr>
        <w:t>Editor’s note</w:t>
      </w:r>
      <w:r>
        <w:rPr>
          <w:rFonts w:eastAsia="宋体"/>
          <w:color w:val="FF0000"/>
          <w:lang w:eastAsia="zh-CN"/>
        </w:rPr>
        <w:t xml:space="preserve">: Need of user consent for 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pPr>
        <w:pStyle w:val="44"/>
        <w:ind w:left="1703"/>
      </w:pPr>
    </w:p>
    <w:p>
      <w:pPr>
        <w:pStyle w:val="44"/>
        <w:ind w:left="1703"/>
      </w:pPr>
      <w:r>
        <w:t>NOTE:</w:t>
      </w:r>
      <w:r>
        <w:tab/>
      </w:r>
      <w:r>
        <w:t>The definition of Event D1 also applies to CondEvent D1.</w:t>
      </w:r>
    </w:p>
    <w:p>
      <w:pPr>
        <w:rPr>
          <w:lang w:val="en-GB" w:eastAsia="en-US"/>
        </w:rPr>
      </w:pPr>
    </w:p>
    <w:p>
      <w:pPr>
        <w:rPr>
          <w:lang w:val="en-GB" w:eastAsia="en-US"/>
        </w:rPr>
      </w:pPr>
    </w:p>
    <w:p>
      <w:pPr>
        <w:rPr>
          <w:lang w:val="en-GB" w:eastAsia="en-US"/>
        </w:rPr>
      </w:pPr>
    </w:p>
    <w:p>
      <w:pPr>
        <w:keepLines/>
        <w:rPr>
          <w:rFonts w:eastAsia="宋体"/>
          <w:sz w:val="24"/>
          <w:szCs w:val="24"/>
          <w:lang w:eastAsia="zh-CN"/>
        </w:rPr>
      </w:pPr>
      <w:r>
        <w:rPr>
          <w:rFonts w:eastAsia="宋体"/>
          <w:b/>
          <w:bCs/>
          <w:sz w:val="24"/>
          <w:szCs w:val="24"/>
          <w:lang w:eastAsia="zh-CN"/>
        </w:rPr>
        <w:t>Open issue 1:</w:t>
      </w:r>
      <w:r>
        <w:rPr>
          <w:rFonts w:eastAsia="宋体"/>
          <w:sz w:val="24"/>
          <w:szCs w:val="24"/>
          <w:lang w:eastAsia="zh-CN"/>
        </w:rPr>
        <w:t xml:space="preserve"> The report content of location reporting is open and not implemented in RRC</w:t>
      </w:r>
    </w:p>
    <w:p>
      <w:pPr>
        <w:keepLines/>
        <w:rPr>
          <w:rFonts w:eastAsia="宋体"/>
          <w:sz w:val="24"/>
          <w:szCs w:val="24"/>
          <w:lang w:eastAsia="zh-CN"/>
        </w:rPr>
      </w:pPr>
    </w:p>
    <w:p>
      <w:pPr>
        <w:keepLines/>
        <w:rPr>
          <w:rFonts w:eastAsia="宋体"/>
          <w:sz w:val="24"/>
          <w:szCs w:val="24"/>
          <w:lang w:eastAsia="zh-CN"/>
        </w:rPr>
      </w:pPr>
      <w:r>
        <w:rPr>
          <w:rFonts w:eastAsia="宋体"/>
          <w:sz w:val="24"/>
          <w:szCs w:val="24"/>
          <w:lang w:eastAsia="zh-CN"/>
        </w:rPr>
        <w:t>A related agreement is:</w:t>
      </w:r>
    </w:p>
    <w:p>
      <w:pPr>
        <w:keepLines/>
        <w:rPr>
          <w:rFonts w:eastAsia="宋体"/>
          <w:sz w:val="24"/>
          <w:szCs w:val="24"/>
          <w:lang w:eastAsia="zh-CN"/>
        </w:rPr>
      </w:pPr>
    </w:p>
    <w:p>
      <w:pPr>
        <w:pStyle w:val="82"/>
        <w:numPr>
          <w:ilvl w:val="0"/>
          <w:numId w:val="7"/>
        </w:numPr>
        <w:pBdr>
          <w:top w:val="single" w:color="auto" w:sz="4" w:space="1"/>
          <w:left w:val="single" w:color="auto" w:sz="4" w:space="4"/>
          <w:bottom w:val="single" w:color="auto" w:sz="4" w:space="1"/>
          <w:right w:val="single" w:color="auto" w:sz="4" w:space="4"/>
        </w:pBdr>
        <w:spacing w:line="254" w:lineRule="auto"/>
      </w:pPr>
      <w:r>
        <w:t>Specify that measurement reports can be configured to be piggybacked with location report when location based event triggers it</w:t>
      </w:r>
    </w:p>
    <w:p>
      <w:pPr>
        <w:keepLines/>
        <w:rPr>
          <w:rFonts w:eastAsia="宋体"/>
          <w:sz w:val="24"/>
          <w:szCs w:val="24"/>
          <w:lang w:eastAsia="zh-CN"/>
        </w:rPr>
      </w:pPr>
    </w:p>
    <w:p>
      <w:pPr>
        <w:keepLines/>
        <w:rPr>
          <w:rFonts w:eastAsia="宋体"/>
          <w:sz w:val="24"/>
          <w:szCs w:val="24"/>
          <w:lang w:eastAsia="zh-CN"/>
        </w:rPr>
      </w:pPr>
    </w:p>
    <w:p>
      <w:pPr>
        <w:pStyle w:val="49"/>
        <w:spacing w:before="20" w:after="20"/>
        <w:ind w:left="57" w:right="57"/>
        <w:jc w:val="left"/>
        <w:rPr>
          <w:rFonts w:eastAsia="宋体"/>
          <w:lang w:eastAsia="zh-CN"/>
        </w:rPr>
      </w:pPr>
      <w:r>
        <w:rPr>
          <w:rFonts w:eastAsia="宋体"/>
          <w:lang w:eastAsia="zh-CN"/>
        </w:rPr>
        <w:t xml:space="preserve">IE </w:t>
      </w:r>
      <w:r>
        <w:rPr>
          <w:rFonts w:eastAsia="宋体"/>
          <w:i/>
          <w:lang w:eastAsia="zh-CN"/>
        </w:rPr>
        <w:t>LocationInfo</w:t>
      </w:r>
      <w:r>
        <w:rPr>
          <w:rFonts w:eastAsia="宋体"/>
          <w:lang w:eastAsia="zh-CN"/>
        </w:rPr>
        <w:t xml:space="preserve"> in 38.331 contains </w:t>
      </w:r>
      <w:r>
        <w:rPr>
          <w:rFonts w:eastAsia="宋体"/>
          <w:i/>
          <w:lang w:eastAsia="zh-CN"/>
        </w:rPr>
        <w:t>CommonLocationInfo</w:t>
      </w:r>
      <w:r>
        <w:rPr>
          <w:rFonts w:eastAsia="宋体"/>
          <w:lang w:eastAsia="zh-CN"/>
        </w:rPr>
        <w:t xml:space="preserve"> as below:</w:t>
      </w:r>
    </w:p>
    <w:p>
      <w:pPr>
        <w:pStyle w:val="49"/>
        <w:spacing w:before="20" w:after="20"/>
        <w:ind w:left="57" w:right="57"/>
        <w:jc w:val="left"/>
        <w:rPr>
          <w:rFonts w:eastAsia="宋体"/>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CommonLocationInfo-r16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gnss-TOD-msec-r16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locationTimestamp-r16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locationCoordinate-r16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locationError-r16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locationSource-r16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velocityEstimate-r16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Calibri" w:cs="Times New Roman"/>
          <w:sz w:val="16"/>
          <w:szCs w:val="20"/>
          <w:lang w:val="en-GB" w:eastAsia="en-GB"/>
        </w:rPr>
      </w:pPr>
      <w:r>
        <w:rPr>
          <w:rFonts w:ascii="Courier New" w:hAnsi="Courier New" w:eastAsia="Times New Roman" w:cs="Times New Roman"/>
          <w:sz w:val="16"/>
          <w:szCs w:val="20"/>
          <w:lang w:val="en-GB" w:eastAsia="en-GB"/>
        </w:rPr>
        <w:t>}</w:t>
      </w:r>
    </w:p>
    <w:p>
      <w:pPr>
        <w:pStyle w:val="49"/>
        <w:spacing w:before="20" w:after="20"/>
        <w:ind w:left="57" w:right="57"/>
        <w:jc w:val="left"/>
        <w:rPr>
          <w:rFonts w:eastAsia="宋体"/>
          <w:lang w:eastAsia="zh-CN"/>
        </w:rPr>
      </w:pPr>
    </w:p>
    <w:p>
      <w:pPr>
        <w:pStyle w:val="49"/>
        <w:spacing w:before="20" w:after="20"/>
        <w:ind w:right="57"/>
        <w:jc w:val="left"/>
        <w:rPr>
          <w:rFonts w:eastAsia="宋体"/>
          <w:lang w:eastAsia="zh-CN"/>
        </w:rPr>
      </w:pPr>
      <w:r>
        <w:rPr>
          <w:rFonts w:hint="eastAsia" w:eastAsia="宋体"/>
          <w:lang w:eastAsia="zh-CN"/>
        </w:rPr>
        <w:t>D</w:t>
      </w:r>
      <w:r>
        <w:rPr>
          <w:rFonts w:eastAsia="宋体"/>
          <w:lang w:eastAsia="zh-CN"/>
        </w:rPr>
        <w:t>etailed parameters are defined in TS 37.355.</w:t>
      </w:r>
    </w:p>
    <w:p>
      <w:pPr>
        <w:tabs>
          <w:tab w:val="left" w:pos="1701"/>
        </w:tabs>
        <w:spacing w:after="120"/>
        <w:ind w:left="1701" w:hanging="1701"/>
        <w:jc w:val="both"/>
        <w:rPr>
          <w:rFonts w:eastAsia="宋体"/>
          <w:lang w:eastAsia="zh-CN"/>
        </w:rPr>
      </w:pPr>
    </w:p>
    <w:p>
      <w:pPr>
        <w:tabs>
          <w:tab w:val="left" w:pos="1701"/>
        </w:tabs>
        <w:spacing w:after="120"/>
        <w:ind w:left="1701" w:hanging="1701"/>
        <w:jc w:val="both"/>
        <w:rPr>
          <w:rFonts w:eastAsia="宋体"/>
          <w:lang w:eastAsia="zh-CN"/>
        </w:rPr>
      </w:pPr>
    </w:p>
    <w:p>
      <w:pPr>
        <w:rPr>
          <w:b/>
          <w:bCs/>
        </w:rPr>
      </w:pPr>
      <w:r>
        <w:rPr>
          <w:b/>
          <w:bCs/>
        </w:rPr>
        <w:t xml:space="preserve">Proposal 1 use </w:t>
      </w:r>
      <w:r>
        <w:rPr>
          <w:rFonts w:eastAsia="宋体"/>
          <w:b/>
          <w:bCs/>
          <w:i/>
          <w:lang w:eastAsia="zh-CN"/>
        </w:rPr>
        <w:t>CommonLocationInfo</w:t>
      </w:r>
      <w:r>
        <w:rPr>
          <w:rFonts w:eastAsia="宋体"/>
          <w:b/>
          <w:bCs/>
          <w:lang w:eastAsia="zh-CN"/>
        </w:rPr>
        <w:t xml:space="preserve"> from 38.331 for NTN location reporting</w:t>
      </w:r>
    </w:p>
    <w:p>
      <w:pPr>
        <w:keepLines/>
        <w:rPr>
          <w:rFonts w:eastAsia="宋体"/>
          <w:sz w:val="24"/>
          <w:szCs w:val="24"/>
          <w:lang w:eastAsia="zh-CN"/>
        </w:rPr>
      </w:pPr>
    </w:p>
    <w:p>
      <w:pPr>
        <w:keepLines/>
        <w:rPr>
          <w:rFonts w:eastAsia="宋体"/>
          <w:sz w:val="24"/>
          <w:szCs w:val="24"/>
          <w:lang w:eastAsia="zh-CN"/>
        </w:rPr>
      </w:pPr>
    </w:p>
    <w:p>
      <w:pPr>
        <w:rPr>
          <w:b/>
          <w:bCs/>
          <w:sz w:val="24"/>
          <w:szCs w:val="24"/>
        </w:rPr>
      </w:pPr>
      <w:r>
        <w:rPr>
          <w:b/>
          <w:bCs/>
          <w:sz w:val="24"/>
          <w:szCs w:val="24"/>
        </w:rPr>
        <w:t xml:space="preserve">Q1: Please indicate whether your company agrees with proposal 1.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MediaTek</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iCs/>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cs="Arial"/>
                <w:szCs w:val="18"/>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cs="Arial"/>
                <w:szCs w:val="18"/>
                <w:lang w:val="en-GB"/>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cs="Arial"/>
                <w:szCs w:val="1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b/>
          <w:bCs/>
          <w:sz w:val="24"/>
          <w:szCs w:val="24"/>
        </w:rPr>
      </w:pPr>
    </w:p>
    <w:p>
      <w:pPr>
        <w:keepLines/>
        <w:rPr>
          <w:rFonts w:eastAsia="宋体"/>
          <w:sz w:val="24"/>
          <w:szCs w:val="24"/>
          <w:lang w:eastAsia="zh-CN"/>
        </w:rPr>
      </w:pPr>
    </w:p>
    <w:p>
      <w:pPr>
        <w:keepLines/>
        <w:rPr>
          <w:rFonts w:eastAsia="宋体"/>
          <w:sz w:val="24"/>
          <w:szCs w:val="24"/>
          <w:lang w:eastAsia="zh-CN"/>
        </w:rPr>
      </w:pPr>
    </w:p>
    <w:p>
      <w:pPr>
        <w:keepLines/>
        <w:rPr>
          <w:rFonts w:eastAsia="宋体"/>
          <w:sz w:val="24"/>
          <w:szCs w:val="24"/>
          <w:lang w:eastAsia="zh-CN"/>
        </w:rPr>
      </w:pPr>
    </w:p>
    <w:p>
      <w:pPr>
        <w:keepLines/>
        <w:rPr>
          <w:rFonts w:eastAsia="宋体"/>
          <w:sz w:val="24"/>
          <w:szCs w:val="24"/>
          <w:lang w:eastAsia="zh-CN"/>
        </w:rPr>
      </w:pPr>
      <w:r>
        <w:rPr>
          <w:rFonts w:eastAsia="宋体"/>
          <w:b/>
          <w:bCs/>
          <w:sz w:val="24"/>
          <w:szCs w:val="24"/>
          <w:lang w:eastAsia="zh-CN"/>
        </w:rPr>
        <w:t>Open issue 2:</w:t>
      </w:r>
      <w:r>
        <w:rPr>
          <w:rFonts w:eastAsia="宋体"/>
          <w:sz w:val="24"/>
          <w:szCs w:val="24"/>
          <w:lang w:eastAsia="zh-CN"/>
        </w:rPr>
        <w:t xml:space="preserve"> The definition of the reference location is FFS in in IE ReportConfigNR:</w:t>
      </w:r>
    </w:p>
    <w:p>
      <w:pPr>
        <w:keepLines/>
        <w:ind w:left="1135" w:hanging="851"/>
        <w:rPr>
          <w:rFonts w:eastAsia="宋体"/>
          <w:color w:val="FF0000"/>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ReferenceLocation-r17        ::=             </w:t>
      </w:r>
      <w:r>
        <w:rPr>
          <w:rFonts w:ascii="Courier New" w:hAnsi="Courier New" w:eastAsia="Times New Roman" w:cs="Courier New"/>
          <w:sz w:val="16"/>
          <w:szCs w:val="20"/>
          <w:highlight w:val="yellow"/>
          <w:lang w:val="en-GB" w:eastAsia="en-GB"/>
        </w:rPr>
        <w:t>TypeFFS</w:t>
      </w:r>
    </w:p>
    <w:p>
      <w:pPr>
        <w:keepLines/>
        <w:rPr>
          <w:rFonts w:eastAsia="宋体"/>
          <w:sz w:val="24"/>
          <w:szCs w:val="24"/>
          <w:lang w:eastAsia="zh-CN"/>
        </w:rPr>
      </w:pPr>
    </w:p>
    <w:p>
      <w:pPr>
        <w:keepLines/>
        <w:spacing w:after="240"/>
        <w:rPr>
          <w:rFonts w:eastAsia="宋体" w:cs="Arial"/>
          <w:sz w:val="24"/>
          <w:szCs w:val="24"/>
          <w:lang w:eastAsia="zh-CN"/>
        </w:rPr>
      </w:pPr>
      <w:r>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rPr>
      </w:pPr>
      <w:r>
        <w:rPr>
          <w:rFonts w:ascii="Courier New" w:hAnsi="Courier New" w:eastAsia="Batang" w:cs="Times New Roman"/>
          <w:snapToGrid w:val="0"/>
          <w:sz w:val="16"/>
          <w:szCs w:val="20"/>
          <w:lang w:val="en-GB"/>
        </w:rPr>
        <w:t>Ellipsoid-Point</w:t>
      </w:r>
      <w:r>
        <w:rPr>
          <w:rFonts w:ascii="Courier New" w:hAnsi="Courier New" w:eastAsia="Batang" w:cs="Times New Roman"/>
          <w:sz w:val="16"/>
          <w:szCs w:val="20"/>
          <w:lang w:val="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rPr>
      </w:pP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latitudeSign</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ENUMERATED {north, south},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rPr>
      </w:pP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degreesLatitude</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INTEGER (0..8388607),</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-- 23 bit field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rPr>
      </w:pP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degreesLongitude</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INTEGER (-8388608..8388607)</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-- 24 bit field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宋体" w:cs="Times New Roman"/>
          <w:sz w:val="24"/>
          <w:szCs w:val="24"/>
          <w:lang w:val="en-GB" w:eastAsia="zh-CN"/>
        </w:rPr>
      </w:pPr>
      <w:r>
        <w:rPr>
          <w:rFonts w:ascii="Courier New" w:hAnsi="Courier New" w:eastAsia="Batang" w:cs="Times New Roman"/>
          <w:sz w:val="16"/>
          <w:szCs w:val="20"/>
          <w:lang w:val="en-GB"/>
        </w:rPr>
        <w:t>}</w:t>
      </w:r>
    </w:p>
    <w:p>
      <w:pPr>
        <w:keepLines/>
        <w:spacing w:before="240" w:after="240"/>
        <w:rPr>
          <w:rFonts w:eastAsia="宋体" w:cs="Arial"/>
          <w:sz w:val="24"/>
          <w:szCs w:val="24"/>
          <w:lang w:eastAsia="zh-CN"/>
        </w:rPr>
      </w:pPr>
      <w:r>
        <w:rPr>
          <w:rFonts w:eastAsia="宋体" w:cs="Arial"/>
          <w:sz w:val="24"/>
          <w:szCs w:val="24"/>
          <w:lang w:eastAsia="zh-CN"/>
        </w:rPr>
        <w:t>In the RRC specification for LTE, TS 36.331, this is captured as an 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LocationInfo-r10 ::=</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locationCoordinates-r10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highlight w:val="yellow"/>
          <w:lang w:val="en-GB" w:eastAsia="sv-SE"/>
        </w:rPr>
        <w:t>ellipsoid-Point-r10</w:t>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ellipsoidPointWithAltitude-r10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ellipsoidPointWithUncertaintyCircle-r11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ellipsoidPointWithUncertaintyEllipse-r11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ellipsoidPointWithAltitudeAndUncertaintyEllipsoid-r11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sv-SE"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sv-SE" w:eastAsia="sv-SE"/>
        </w:rPr>
        <w:t>ellipsoidArc-r11</w:t>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sv-SE" w:eastAsia="sv-SE"/>
        </w:rPr>
      </w:pP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polygon-r11</w:t>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sv-SE"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horizontalVelocity-r10</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z w:val="16"/>
          <w:szCs w:val="20"/>
          <w:lang w:val="en-GB" w:eastAsia="sv-SE"/>
        </w:rPr>
        <w:t>OCTET STRING</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gnss-TOD-msec-r10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verticalVelocityInfo-r15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verticalVelocityAndUncertainty-r15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w:t>
      </w:r>
    </w:p>
    <w:p>
      <w:pPr>
        <w:keepLines/>
        <w:spacing w:before="240"/>
        <w:rPr>
          <w:rFonts w:eastAsia="宋体" w:cs="Arial"/>
          <w:sz w:val="24"/>
          <w:szCs w:val="24"/>
          <w:lang w:eastAsia="zh-CN"/>
        </w:rPr>
      </w:pPr>
      <w:r>
        <w:rPr>
          <w:rFonts w:eastAsia="宋体" w:cs="Arial"/>
          <w:sz w:val="24"/>
          <w:szCs w:val="24"/>
          <w:lang w:eastAsia="zh-CN"/>
        </w:rPr>
        <w:t xml:space="preserve">The </w:t>
      </w:r>
      <w:r>
        <w:rPr>
          <w:rFonts w:eastAsia="宋体" w:cs="Arial"/>
          <w:i/>
          <w:iCs/>
          <w:sz w:val="24"/>
          <w:szCs w:val="24"/>
          <w:lang w:eastAsia="zh-CN"/>
        </w:rPr>
        <w:t>ellipsoid-Point</w:t>
      </w:r>
      <w:r>
        <w:rPr>
          <w:rFonts w:eastAsia="宋体" w:cs="Arial"/>
          <w:sz w:val="24"/>
          <w:szCs w:val="24"/>
          <w:lang w:eastAsia="zh-CN"/>
        </w:rPr>
        <w:t xml:space="preserve"> IE may advantageously be reused for definitions of reference locations in NR NTN. </w:t>
      </w:r>
    </w:p>
    <w:p>
      <w:pPr>
        <w:keepLines/>
        <w:spacing w:before="240"/>
        <w:rPr>
          <w:rFonts w:eastAsia="宋体" w:cs="Arial"/>
          <w:sz w:val="24"/>
          <w:szCs w:val="24"/>
          <w:lang w:eastAsia="zh-CN"/>
        </w:rPr>
      </w:pPr>
    </w:p>
    <w:p>
      <w:pPr>
        <w:rPr>
          <w:b/>
          <w:bCs/>
        </w:rPr>
      </w:pPr>
      <w:r>
        <w:rPr>
          <w:b/>
          <w:bCs/>
        </w:rPr>
        <w:t xml:space="preserve">Proposal 2 </w:t>
      </w:r>
      <w:r>
        <w:rPr>
          <w:rFonts w:ascii="Arial" w:hAnsi="Arial" w:eastAsia="Calibri" w:cs="Arial"/>
          <w:b/>
          <w:bCs/>
          <w:lang w:val="en-GB" w:eastAsia="zh-CN"/>
        </w:rPr>
        <w:t xml:space="preserve">The </w:t>
      </w:r>
      <w:r>
        <w:rPr>
          <w:rFonts w:ascii="Arial" w:hAnsi="Arial" w:eastAsia="Calibri" w:cs="Arial"/>
          <w:b/>
          <w:bCs/>
          <w:i/>
          <w:iCs/>
          <w:lang w:val="en-GB" w:eastAsia="zh-CN"/>
        </w:rPr>
        <w:t>ellipsoid-Point</w:t>
      </w:r>
      <w:r>
        <w:rPr>
          <w:rFonts w:ascii="Arial" w:hAnsi="Arial" w:eastAsia="Calibri" w:cs="Arial"/>
          <w:b/>
          <w:bCs/>
          <w:lang w:val="en-GB" w:eastAsia="zh-CN"/>
        </w:rPr>
        <w:t xml:space="preserve"> IE specified in TS 36.331, TS 37.355 (and TS 23.032) is reused for definitions of reference locations in NR NTN. FFS if ellipsoidPointWithAltitude-r10</w:t>
      </w:r>
    </w:p>
    <w:p>
      <w:pPr>
        <w:keepLines/>
        <w:rPr>
          <w:rFonts w:eastAsia="宋体"/>
          <w:sz w:val="24"/>
          <w:szCs w:val="24"/>
          <w:lang w:eastAsia="zh-CN"/>
        </w:rPr>
      </w:pPr>
    </w:p>
    <w:p>
      <w:pPr>
        <w:keepLines/>
        <w:rPr>
          <w:rFonts w:eastAsia="宋体"/>
          <w:sz w:val="24"/>
          <w:szCs w:val="24"/>
          <w:lang w:eastAsia="zh-CN"/>
        </w:rPr>
      </w:pPr>
    </w:p>
    <w:p>
      <w:pPr>
        <w:rPr>
          <w:b/>
          <w:bCs/>
          <w:sz w:val="24"/>
          <w:szCs w:val="24"/>
        </w:rPr>
      </w:pPr>
      <w:r>
        <w:rPr>
          <w:b/>
          <w:bCs/>
          <w:sz w:val="24"/>
          <w:szCs w:val="24"/>
        </w:rPr>
        <w:t xml:space="preserve">Q2: Please indicate whether your company agrees with proposal 2.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Ericsson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MediaTek</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val="en-GB"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szCs w:val="18"/>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tabs>
                <w:tab w:val="left" w:pos="675"/>
              </w:tabs>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u w:val="single"/>
        </w:rPr>
      </w:pPr>
    </w:p>
    <w:p>
      <w:pPr>
        <w:keepLines/>
        <w:rPr>
          <w:rFonts w:eastAsia="宋体"/>
          <w:sz w:val="24"/>
          <w:szCs w:val="24"/>
          <w:lang w:eastAsia="zh-CN"/>
        </w:rPr>
      </w:pPr>
    </w:p>
    <w:p>
      <w:pPr>
        <w:keepLines/>
        <w:rPr>
          <w:rFonts w:eastAsia="宋体"/>
          <w:sz w:val="24"/>
          <w:szCs w:val="24"/>
          <w:lang w:eastAsia="zh-CN"/>
        </w:rPr>
      </w:pPr>
    </w:p>
    <w:p>
      <w:pPr>
        <w:keepLines/>
        <w:rPr>
          <w:rFonts w:eastAsia="宋体"/>
          <w:sz w:val="24"/>
          <w:szCs w:val="24"/>
          <w:lang w:eastAsia="zh-CN"/>
        </w:rPr>
      </w:pPr>
      <w:r>
        <w:rPr>
          <w:rFonts w:eastAsia="宋体"/>
          <w:b/>
          <w:bCs/>
          <w:sz w:val="24"/>
          <w:szCs w:val="24"/>
          <w:lang w:eastAsia="zh-CN"/>
        </w:rPr>
        <w:t>Open issue 3:</w:t>
      </w:r>
      <w:r>
        <w:rPr>
          <w:rFonts w:eastAsia="宋体"/>
          <w:sz w:val="24"/>
          <w:szCs w:val="24"/>
          <w:lang w:eastAsia="zh-CN"/>
        </w:rPr>
        <w:t xml:space="preserve"> distanceThresFromReference in the location event is not defined</w:t>
      </w:r>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distanceThresFromReference1-r17                          </w:t>
      </w:r>
      <w:r>
        <w:rPr>
          <w:rFonts w:ascii="Courier New" w:hAnsi="Courier New" w:eastAsia="Times New Roman" w:cs="Courier New"/>
          <w:sz w:val="16"/>
          <w:szCs w:val="20"/>
          <w:highlight w:val="yellow"/>
          <w:lang w:val="en-GB" w:eastAsia="en-GB"/>
        </w:rPr>
        <w:t>TypeFFS</w:t>
      </w:r>
      <w:r>
        <w:rPr>
          <w:rFonts w:ascii="Courier New" w:hAnsi="Courier New" w:eastAsia="Times New Roman"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distanceThresFromReference2-r17                          </w:t>
      </w:r>
      <w:r>
        <w:rPr>
          <w:rFonts w:ascii="Courier New" w:hAnsi="Courier New" w:eastAsia="Times New Roman" w:cs="Courier New"/>
          <w:sz w:val="16"/>
          <w:szCs w:val="20"/>
          <w:highlight w:val="yellow"/>
          <w:lang w:val="en-GB" w:eastAsia="en-GB"/>
        </w:rPr>
        <w:t>TypeFFS</w:t>
      </w:r>
      <w:r>
        <w:rPr>
          <w:rFonts w:ascii="Courier New" w:hAnsi="Courier New" w:eastAsia="Times New Roman" w:cs="Courier New"/>
          <w:sz w:val="16"/>
          <w:szCs w:val="20"/>
          <w:lang w:val="en-GB" w:eastAsia="en-GB"/>
        </w:rPr>
        <w:t>,                                 OPTIONAL,  --Need R</w:t>
      </w:r>
    </w:p>
    <w:p/>
    <w:p>
      <w:r>
        <w:t xml:space="preserve">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Pr>
          <w:i/>
          <w:iCs/>
        </w:rPr>
        <w:t>K</w:t>
      </w:r>
      <w:r>
        <w:t xml:space="preserve"> in the following formula:</w:t>
      </w:r>
    </w:p>
    <w:p>
      <w:r>
        <w:rPr>
          <w:position w:val="-10"/>
        </w:rPr>
        <w:object>
          <v:shape id="_x0000_i1025" o:spt="75" type="#_x0000_t75" style="height:21.75pt;width:86.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t xml:space="preserve"> where </w:t>
      </w:r>
      <w:r>
        <w:rPr>
          <w:i/>
          <w:iCs/>
        </w:rPr>
        <w:t>r</w:t>
      </w:r>
      <w:r>
        <w:t xml:space="preserve"> is the distance and</w:t>
      </w:r>
      <w:r>
        <w:rPr>
          <w:i/>
          <w:iCs/>
        </w:rPr>
        <w:t xml:space="preserve"> C</w:t>
      </w:r>
      <w:r>
        <w:t xml:space="preserve"> and </w:t>
      </w:r>
      <w:r>
        <w:rPr>
          <w:i/>
          <w:iCs/>
        </w:rPr>
        <w:t>x</w:t>
      </w:r>
      <w:r>
        <w:t xml:space="preserve"> are constants respectively specified to </w:t>
      </w:r>
      <w:r>
        <w:rPr>
          <w:i/>
          <w:iCs/>
        </w:rPr>
        <w:t>C</w:t>
      </w:r>
      <w:r>
        <w:t xml:space="preserve"> = 100 and </w:t>
      </w:r>
      <w:r>
        <w:rPr>
          <w:i/>
          <w:iCs/>
        </w:rPr>
        <w:t>x</w:t>
      </w:r>
      <w:r>
        <w:t xml:space="preserve"> = 0.1. This definition allows a very large range (maximum ), while still allowing a distance as small as 10 meters to be configured.</w:t>
      </w:r>
    </w:p>
    <w:p/>
    <w:p>
      <w:r>
        <w:t xml:space="preserve">Other suggestion raised in premeeting discussion was to have e.g. </w:t>
      </w:r>
      <w:r>
        <w:rPr>
          <w:rFonts w:eastAsia="宋体"/>
          <w:lang w:eastAsia="zh-CN"/>
        </w:rPr>
        <w:t>14 bits to cover (0, 16384km) with linear granularity.</w:t>
      </w:r>
    </w:p>
    <w:p>
      <w:pPr>
        <w:rPr>
          <w:b/>
          <w:bCs/>
        </w:rPr>
      </w:pPr>
      <w:r>
        <w:rPr>
          <w:b/>
          <w:bCs/>
        </w:rPr>
        <w:t>Proposal 3 RAN2 to discuss further about options</w:t>
      </w:r>
    </w:p>
    <w:p>
      <w:pPr>
        <w:tabs>
          <w:tab w:val="left" w:pos="1701"/>
        </w:tabs>
        <w:spacing w:after="120"/>
        <w:ind w:left="1985" w:hanging="1701"/>
        <w:jc w:val="both"/>
        <w:rPr>
          <w:rFonts w:ascii="Arial" w:hAnsi="Arial" w:eastAsia="Calibri" w:cs="Arial"/>
          <w:b/>
          <w:bCs/>
          <w:lang w:val="en-GB" w:eastAsia="zh-CN"/>
        </w:rPr>
      </w:pPr>
      <w:r>
        <w:rPr>
          <w:rFonts w:ascii="Arial" w:hAnsi="Arial" w:eastAsia="Calibri" w:cs="Arial"/>
          <w:b/>
          <w:bCs/>
          <w:lang w:val="en-GB" w:eastAsia="zh-CN"/>
        </w:rPr>
        <w:t xml:space="preserve">Option 1 The distanceFromReference1-r17 and distanceFromReference2-r17 fields are defined as “INTEGER (0..127)”, where the value maps to the parameter K in the formula </w:t>
      </w:r>
      <w:r>
        <w:rPr>
          <w:rFonts w:ascii="Arial" w:hAnsi="Arial" w:eastAsia="Calibri" w:cs="Arial"/>
          <w:b/>
          <w:bCs/>
          <w:lang w:val="en-GB" w:eastAsia="zh-CN"/>
        </w:rPr>
        <w:object>
          <v:shape id="_x0000_i1026" o:spt="75" type="#_x0000_t75" style="height:21.75pt;width:86.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r>
        <w:rPr>
          <w:rFonts w:ascii="Arial" w:hAnsi="Arial" w:eastAsia="Calibri" w:cs="Arial"/>
          <w:b/>
          <w:bCs/>
          <w:lang w:val="en-GB" w:eastAsia="zh-CN"/>
        </w:rPr>
        <w:t>, where r is the distance and C and x are constants respectively specified to C = 100 and x = 0.1.</w:t>
      </w:r>
    </w:p>
    <w:p>
      <w:pPr>
        <w:tabs>
          <w:tab w:val="left" w:pos="1701"/>
        </w:tabs>
        <w:spacing w:after="120"/>
        <w:ind w:left="1985" w:hanging="1701"/>
        <w:jc w:val="both"/>
        <w:rPr>
          <w:rFonts w:ascii="Arial" w:hAnsi="Arial" w:eastAsia="Calibri" w:cs="Arial"/>
          <w:b/>
          <w:bCs/>
          <w:lang w:val="en-GB" w:eastAsia="zh-CN"/>
        </w:rPr>
      </w:pPr>
      <w:r>
        <w:rPr>
          <w:rFonts w:ascii="Arial" w:hAnsi="Arial" w:eastAsia="Calibri" w:cs="Arial"/>
          <w:b/>
          <w:bCs/>
          <w:lang w:val="en-GB" w:eastAsia="zh-CN"/>
        </w:rPr>
        <w:t>Option 2 X bits to cover (0, z km) with linear granularity.</w:t>
      </w:r>
    </w:p>
    <w:p/>
    <w:p/>
    <w:p>
      <w:pPr>
        <w:rPr>
          <w:b/>
          <w:bCs/>
          <w:sz w:val="24"/>
          <w:szCs w:val="24"/>
        </w:rPr>
      </w:pPr>
    </w:p>
    <w:p>
      <w:pPr>
        <w:rPr>
          <w:b/>
          <w:bCs/>
          <w:sz w:val="24"/>
          <w:szCs w:val="24"/>
        </w:rPr>
      </w:pPr>
    </w:p>
    <w:p>
      <w:pPr>
        <w:rPr>
          <w:b/>
          <w:bCs/>
          <w:sz w:val="24"/>
          <w:szCs w:val="24"/>
        </w:rPr>
      </w:pPr>
    </w:p>
    <w:p>
      <w:pPr>
        <w:rPr>
          <w:b/>
          <w:bCs/>
          <w:sz w:val="24"/>
          <w:szCs w:val="24"/>
        </w:rPr>
      </w:pPr>
      <w:r>
        <w:rPr>
          <w:b/>
          <w:bCs/>
          <w:sz w:val="24"/>
          <w:szCs w:val="24"/>
        </w:rPr>
        <w:t xml:space="preserve">Q3: Please indicate whether your company supports Option 1 or Option 2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Option 1 or 2</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Ericsson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1</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MediaTek</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Simpler (finer granularity not needed to warrant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0089" w:type="dxa"/>
            <w:tcBorders>
              <w:top w:val="single" w:color="auto" w:sz="4" w:space="0"/>
              <w:left w:val="single" w:color="auto" w:sz="4" w:space="0"/>
              <w:bottom w:val="single" w:color="auto" w:sz="4" w:space="0"/>
              <w:right w:val="single" w:color="auto" w:sz="4" w:space="0"/>
            </w:tcBorders>
          </w:tcPr>
          <w:p>
            <w:pPr>
              <w:numPr>
                <w:ilvl w:val="0"/>
                <w:numId w:val="8"/>
              </w:numPr>
              <w:shd w:val="clear" w:color="auto" w:fill="FFFFFF"/>
              <w:ind w:left="0" w:right="-15"/>
              <w:textAlignment w:val="baseline"/>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bl>
    <w:p>
      <w:pPr>
        <w:rPr>
          <w:u w:val="single"/>
        </w:rPr>
      </w:pPr>
    </w:p>
    <w:p>
      <w:pPr>
        <w:rPr>
          <w:b/>
          <w:bCs/>
        </w:rPr>
      </w:pPr>
    </w:p>
    <w:p>
      <w:pPr>
        <w:rPr>
          <w:rFonts w:eastAsia="宋体"/>
          <w:sz w:val="24"/>
          <w:szCs w:val="24"/>
          <w:lang w:eastAsia="zh-CN"/>
        </w:rPr>
      </w:pPr>
    </w:p>
    <w:p>
      <w:r>
        <w:rPr>
          <w:rFonts w:eastAsia="宋体"/>
          <w:b/>
          <w:bCs/>
          <w:sz w:val="24"/>
          <w:szCs w:val="24"/>
          <w:lang w:eastAsia="zh-CN"/>
        </w:rPr>
        <w:t>Open issue 4:</w:t>
      </w:r>
      <w:r>
        <w:rPr>
          <w:rFonts w:eastAsia="宋体"/>
          <w:sz w:val="24"/>
          <w:szCs w:val="24"/>
          <w:lang w:eastAsia="zh-CN"/>
        </w:rPr>
        <w:t xml:space="preserve"> Encoding for hysteresis for location is open and pending on reference location definition.</w:t>
      </w:r>
    </w:p>
    <w:p>
      <w:pPr>
        <w:keepNext/>
        <w:keepLines/>
        <w:overflowPunct w:val="0"/>
        <w:autoSpaceDE w:val="0"/>
        <w:autoSpaceDN w:val="0"/>
        <w:adjustRightInd w:val="0"/>
        <w:spacing w:before="120" w:after="180"/>
        <w:ind w:left="1418" w:hanging="1418"/>
        <w:outlineLvl w:val="3"/>
        <w:rPr>
          <w:rFonts w:ascii="Arial" w:hAnsi="Arial" w:eastAsia="MS Mincho" w:cs="Times New Roman"/>
          <w:sz w:val="24"/>
          <w:szCs w:val="20"/>
          <w:lang w:val="en-GB" w:eastAsia="ja-JP"/>
        </w:rPr>
      </w:pPr>
      <w:bookmarkStart w:id="3" w:name="_Toc60777243"/>
      <w:bookmarkStart w:id="4" w:name="_Toc90651115"/>
      <w:r>
        <w:rPr>
          <w:rFonts w:ascii="Arial" w:hAnsi="Arial" w:eastAsia="MS Mincho" w:cs="Times New Roman"/>
          <w:sz w:val="24"/>
          <w:szCs w:val="20"/>
          <w:lang w:val="en-GB" w:eastAsia="ja-JP"/>
        </w:rPr>
        <w:t>–</w:t>
      </w:r>
      <w:r>
        <w:rPr>
          <w:rFonts w:ascii="Arial" w:hAnsi="Arial" w:eastAsia="MS Mincho" w:cs="Times New Roman"/>
          <w:sz w:val="24"/>
          <w:szCs w:val="20"/>
          <w:lang w:val="en-GB" w:eastAsia="ja-JP"/>
        </w:rPr>
        <w:tab/>
      </w:r>
      <w:r>
        <w:rPr>
          <w:rFonts w:ascii="Arial" w:hAnsi="Arial" w:eastAsia="MS Mincho" w:cs="Times New Roman"/>
          <w:i/>
          <w:sz w:val="24"/>
          <w:szCs w:val="20"/>
          <w:lang w:val="en-GB" w:eastAsia="ja-JP"/>
        </w:rPr>
        <w:t>Hysteresis</w:t>
      </w:r>
      <w:bookmarkEnd w:id="3"/>
      <w:bookmarkEnd w:id="4"/>
    </w:p>
    <w:p>
      <w:pPr>
        <w:overflowPunct w:val="0"/>
        <w:autoSpaceDE w:val="0"/>
        <w:autoSpaceDN w:val="0"/>
        <w:adjustRightInd w:val="0"/>
        <w:spacing w:after="180"/>
        <w:rPr>
          <w:rFonts w:ascii="Times New Roman" w:hAnsi="Times New Roman" w:eastAsia="MS Mincho" w:cs="Times New Roman"/>
          <w:sz w:val="20"/>
          <w:szCs w:val="20"/>
          <w:lang w:val="en-GB" w:eastAsia="ja-JP"/>
        </w:rPr>
      </w:pPr>
      <w:r>
        <w:rPr>
          <w:rFonts w:ascii="Times New Roman" w:hAnsi="Times New Roman" w:eastAsia="Times New Roman" w:cs="Times New Roman"/>
          <w:sz w:val="20"/>
          <w:szCs w:val="20"/>
          <w:lang w:val="en-GB" w:eastAsia="ja-JP"/>
        </w:rPr>
        <w:t xml:space="preserve">The IE </w:t>
      </w:r>
      <w:r>
        <w:rPr>
          <w:rFonts w:ascii="Times New Roman" w:hAnsi="Times New Roman" w:eastAsia="Times New Roman" w:cs="Times New Roman"/>
          <w:i/>
          <w:sz w:val="20"/>
          <w:szCs w:val="20"/>
          <w:lang w:val="en-GB" w:eastAsia="ja-JP"/>
        </w:rPr>
        <w:t>Hysteresis</w:t>
      </w:r>
      <w:r>
        <w:rPr>
          <w:rFonts w:ascii="Times New Roman" w:hAnsi="Times New Roman" w:eastAsia="Times New Roman" w:cs="Times New Roman"/>
          <w:sz w:val="20"/>
          <w:szCs w:val="20"/>
          <w:lang w:val="en-GB" w:eastAsia="ja-JP"/>
        </w:rPr>
        <w:t xml:space="preserve"> is a parameter used within the entry and leave condition of an event triggered reporting condition.</w:t>
      </w:r>
      <w:r>
        <w:rPr>
          <w:rFonts w:ascii="Times New Roman" w:hAnsi="Times New Roman" w:eastAsia="Times New Roman" w:cs="Times New Roman"/>
          <w:sz w:val="20"/>
          <w:szCs w:val="20"/>
          <w:lang w:val="en-GB"/>
        </w:rPr>
        <w:t xml:space="preserve"> The actual value is field value * 0.5 dB. The </w:t>
      </w:r>
      <w:r>
        <w:rPr>
          <w:rFonts w:ascii="Times New Roman" w:hAnsi="Times New Roman" w:eastAsia="Times New Roman" w:cs="Times New Roman"/>
          <w:i/>
          <w:iCs/>
          <w:sz w:val="20"/>
          <w:szCs w:val="20"/>
          <w:lang w:val="en-GB"/>
        </w:rPr>
        <w:t>HysteresisLocation</w:t>
      </w:r>
      <w:r>
        <w:rPr>
          <w:rFonts w:ascii="Times New Roman" w:hAnsi="Times New Roman" w:eastAsia="Times New Roman" w:cs="Times New Roman"/>
          <w:sz w:val="20"/>
          <w:szCs w:val="20"/>
          <w:lang w:val="en-GB"/>
        </w:rPr>
        <w:t xml:space="preserve"> is a parameter used within entry condition of a location based event triggered reporting condition. The actual value of field </w:t>
      </w:r>
      <w:r>
        <w:rPr>
          <w:rFonts w:ascii="Times New Roman" w:hAnsi="Times New Roman" w:eastAsia="Times New Roman" w:cs="Times New Roman"/>
          <w:i/>
          <w:iCs/>
          <w:sz w:val="20"/>
          <w:szCs w:val="20"/>
          <w:lang w:val="en-GB"/>
        </w:rPr>
        <w:t>HysteresisLocation</w:t>
      </w:r>
      <w:r>
        <w:rPr>
          <w:rFonts w:ascii="Times New Roman" w:hAnsi="Times New Roman" w:eastAsia="Times New Roman" w:cs="Times New Roman"/>
          <w:sz w:val="20"/>
          <w:szCs w:val="20"/>
          <w:lang w:val="en-GB"/>
        </w:rPr>
        <w:t xml:space="preserve"> is FFS.</w:t>
      </w:r>
    </w:p>
    <w:p>
      <w:pPr>
        <w:keepNext/>
        <w:keepLines/>
        <w:overflowPunct w:val="0"/>
        <w:autoSpaceDE w:val="0"/>
        <w:autoSpaceDN w:val="0"/>
        <w:adjustRightInd w:val="0"/>
        <w:spacing w:before="60" w:after="180"/>
        <w:jc w:val="center"/>
        <w:rPr>
          <w:rFonts w:ascii="Arial" w:hAnsi="Arial" w:eastAsia="Times New Roman" w:cs="Arial"/>
          <w:b/>
          <w:sz w:val="20"/>
          <w:szCs w:val="20"/>
          <w:lang w:val="en-GB" w:eastAsia="ja-JP"/>
        </w:rPr>
      </w:pPr>
      <w:r>
        <w:rPr>
          <w:rFonts w:ascii="Arial" w:hAnsi="Arial" w:eastAsia="Times New Roman" w:cs="Arial"/>
          <w:b/>
          <w:bCs/>
          <w:i/>
          <w:iCs/>
          <w:sz w:val="20"/>
          <w:szCs w:val="20"/>
          <w:lang w:val="en-GB" w:eastAsia="ja-JP"/>
        </w:rPr>
        <w:t xml:space="preserve">Hysteresis </w:t>
      </w:r>
      <w:r>
        <w:rPr>
          <w:rFonts w:ascii="Arial" w:hAnsi="Arial" w:eastAsia="Times New Roman" w:cs="Arial"/>
          <w:b/>
          <w:sz w:val="20"/>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TAG-HYSTERESIS-START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Hysteresis ::=                      INTEGER (0..30)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HysteresisLocation-r17 ::=              </w:t>
      </w:r>
      <w:r>
        <w:rPr>
          <w:rFonts w:ascii="Courier New" w:hAnsi="Courier New" w:eastAsia="Times New Roman" w:cs="Courier New"/>
          <w:sz w:val="16"/>
          <w:szCs w:val="20"/>
          <w:highlight w:val="yellow"/>
          <w:lang w:val="en-GB" w:eastAsia="en-GB"/>
        </w:rPr>
        <w:t>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TAG-HYSTERESIS-STOP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ASN1STOP</w:t>
      </w:r>
    </w:p>
    <w:p/>
    <w:p>
      <w:r>
        <w:t>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HysteresisLocation IE (in the context of location-based trigger conditions) is be ”INTEGER (0..32768)” with a granularity of 10 meters, i.e. the actual value is the field value * 10 meters.</w:t>
      </w:r>
    </w:p>
    <w:p>
      <w:pPr>
        <w:tabs>
          <w:tab w:val="left" w:pos="1701"/>
        </w:tabs>
        <w:spacing w:after="120"/>
        <w:ind w:left="1701" w:hanging="1701"/>
        <w:jc w:val="both"/>
        <w:rPr>
          <w:lang w:val="en-GB" w:eastAsia="zh-CN"/>
        </w:rPr>
      </w:pPr>
    </w:p>
    <w:p>
      <w:r>
        <w:rPr>
          <w:rFonts w:ascii="Arial" w:hAnsi="Arial"/>
          <w:b/>
          <w:bCs/>
        </w:rPr>
        <w:t xml:space="preserve">Proposal 4 RAN2 to adopt ”INTEGER (0..32768)” with a granularity of 10 meters, i.e. the actual value is the field value * 10 meters as. </w:t>
      </w:r>
    </w:p>
    <w:p/>
    <w:p/>
    <w:p>
      <w:pPr>
        <w:rPr>
          <w:b/>
          <w:bCs/>
          <w:sz w:val="24"/>
          <w:szCs w:val="24"/>
        </w:rPr>
      </w:pPr>
      <w:r>
        <w:rPr>
          <w:b/>
          <w:bCs/>
          <w:sz w:val="24"/>
          <w:szCs w:val="24"/>
        </w:rPr>
        <w:t xml:space="preserve">Q4: Please indicate whether your company agrees with proposal 4.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Ericsson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MediaTek</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
    <w:p>
      <w:pPr>
        <w:keepLines/>
        <w:rPr>
          <w:rFonts w:eastAsia="宋体"/>
          <w:sz w:val="24"/>
          <w:szCs w:val="24"/>
          <w:lang w:eastAsia="zh-CN"/>
        </w:rPr>
      </w:pPr>
      <w:r>
        <w:rPr>
          <w:rFonts w:eastAsia="宋体"/>
          <w:b/>
          <w:bCs/>
          <w:sz w:val="24"/>
          <w:szCs w:val="24"/>
          <w:lang w:eastAsia="zh-CN"/>
        </w:rPr>
        <w:t>Open issue 5:</w:t>
      </w:r>
      <w:r>
        <w:rPr>
          <w:rFonts w:eastAsia="宋体"/>
          <w:sz w:val="24"/>
          <w:szCs w:val="24"/>
          <w:lang w:eastAsia="zh-CN"/>
        </w:rPr>
        <w:t xml:space="preserve"> Leaving condition for location reporting is not discussed</w:t>
      </w:r>
    </w:p>
    <w:p>
      <w:pPr>
        <w:keepLines/>
        <w:rPr>
          <w:rFonts w:eastAsia="宋体"/>
          <w:sz w:val="24"/>
          <w:szCs w:val="24"/>
          <w:lang w:eastAsia="zh-CN"/>
        </w:rPr>
      </w:pPr>
      <w:r>
        <w:rPr>
          <w:rFonts w:eastAsia="宋体"/>
          <w:sz w:val="24"/>
          <w:szCs w:val="24"/>
          <w:lang w:eastAsia="zh-CN"/>
        </w:rPr>
        <w:t>Further, during prediscussion a suggestion to modify the entering condition D1-1 as</w:t>
      </w:r>
    </w:p>
    <w:p>
      <w:pPr>
        <w:keepLines/>
        <w:rPr>
          <w:rFonts w:eastAsia="宋体"/>
          <w:sz w:val="24"/>
          <w:szCs w:val="24"/>
          <w:lang w:eastAsia="zh-CN"/>
        </w:rPr>
      </w:pPr>
    </w:p>
    <w:p>
      <w:pPr>
        <w:ind w:left="284"/>
        <w:rPr>
          <w:rFonts w:ascii="Arial" w:hAnsi="Arial"/>
          <w:b/>
          <w:bCs/>
        </w:rPr>
      </w:pPr>
      <w:r>
        <w:rPr>
          <w:rFonts w:ascii="Arial" w:hAnsi="Arial"/>
          <w:b/>
          <w:bCs/>
        </w:rPr>
        <w:t>Inequality D</w:t>
      </w:r>
      <w:r>
        <w:rPr>
          <w:rFonts w:hint="eastAsia" w:ascii="Arial" w:hAnsi="Arial"/>
          <w:b/>
          <w:bCs/>
        </w:rPr>
        <w:t>1</w:t>
      </w:r>
      <w:r>
        <w:rPr>
          <w:rFonts w:ascii="Arial" w:hAnsi="Arial"/>
          <w:b/>
          <w:bCs/>
        </w:rPr>
        <w:t>-1 (</w:t>
      </w:r>
      <w:r>
        <w:rPr>
          <w:rFonts w:hint="eastAsia" w:ascii="Arial" w:hAnsi="Arial"/>
          <w:b/>
          <w:bCs/>
        </w:rPr>
        <w:t>Entering</w:t>
      </w:r>
      <w:r>
        <w:rPr>
          <w:rFonts w:ascii="Arial" w:hAnsi="Arial"/>
          <w:b/>
          <w:bCs/>
        </w:rPr>
        <w:t xml:space="preserve"> condition 1)</w:t>
      </w:r>
    </w:p>
    <w:p>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del w:id="0" w:author="CATT" w:date="2022-02-11T18:53:00Z">
            <m:r>
              <m:rPr>
                <m:sty m:val="b"/>
              </m:rPr>
              <w:rPr>
                <w:rFonts w:ascii="Cambria Math" w:hAnsi="Arial"/>
              </w:rPr>
              <m:t>+</m:t>
            </m:r>
          </w:del>
          <w:ins w:id="1" w:author="CATT" w:date="2022-02-11T18:53:00Z">
            <m:r>
              <m:rPr>
                <m:sty m:val="b"/>
              </m:rPr>
              <w:rPr>
                <w:rFonts w:ascii="Cambria Math" w:hAnsi="Arial"/>
              </w:rPr>
              <m:t>-</m:t>
            </m:r>
          </w:ins>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pPr>
        <w:keepLines/>
        <w:rPr>
          <w:rFonts w:eastAsia="宋体"/>
          <w:sz w:val="24"/>
          <w:szCs w:val="24"/>
          <w:lang w:eastAsia="zh-CN"/>
        </w:rPr>
      </w:pPr>
    </w:p>
    <w:p>
      <w:pPr>
        <w:keepLines/>
      </w:pPr>
      <w:r>
        <w:t>With that, the options for the leaving condition may be defined as</w:t>
      </w:r>
    </w:p>
    <w:p>
      <w:pPr>
        <w:keepLines/>
      </w:pPr>
    </w:p>
    <w:p>
      <w:pPr>
        <w:keepLines/>
      </w:pPr>
      <w:r>
        <w:t>Inequality D2-1 (Leaving condition 1)</w:t>
      </w:r>
    </w:p>
    <w:p>
      <w:pPr>
        <w:keepLines/>
      </w:pPr>
      <w:r>
        <w:t>Ml1+Hys&lt;Thresh1</w:t>
      </w:r>
    </w:p>
    <w:p>
      <w:pPr>
        <w:keepLines/>
      </w:pPr>
      <w:r>
        <w:t>Inequality D2-2 (Leaving condition 2)</w:t>
      </w:r>
    </w:p>
    <w:p>
      <w:pPr>
        <w:keepLines/>
      </w:pPr>
      <w:r>
        <w:t>Ml2-Hys&gt;Thresh2</w:t>
      </w:r>
    </w:p>
    <w:p>
      <w:pPr>
        <w:keepLines/>
      </w:pPr>
      <w:r>
        <w:t>Then one may define that both conditions D2-1 and D2-2 need to be fulfilled to fullfill a leaving condition, or one of D2-1 or D2-2. That is options are:</w:t>
      </w:r>
    </w:p>
    <w:p>
      <w:pPr>
        <w:keepLines/>
      </w:pPr>
    </w:p>
    <w:p>
      <w:pPr>
        <w:keepLines/>
      </w:pPr>
      <w:r>
        <w:t>Option 1</w:t>
      </w:r>
    </w:p>
    <w:p>
      <w:pPr>
        <w:pStyle w:val="55"/>
      </w:pPr>
      <w:r>
        <w:t>1&gt;</w:t>
      </w:r>
      <w:r>
        <w:tab/>
      </w:r>
      <w:r>
        <w:t>consider the leaving condition for this event to be satisfied when conditions D</w:t>
      </w:r>
      <w:r>
        <w:rPr>
          <w:lang w:eastAsia="zh-CN"/>
        </w:rPr>
        <w:t>2</w:t>
      </w:r>
      <w:r>
        <w:t>-2 and D2-2 are fulfilled;</w:t>
      </w:r>
    </w:p>
    <w:p>
      <w:pPr>
        <w:keepLines/>
      </w:pPr>
      <w:r>
        <w:t>Option 2</w:t>
      </w:r>
    </w:p>
    <w:p>
      <w:pPr>
        <w:pStyle w:val="55"/>
      </w:pPr>
      <w:r>
        <w:t>1&gt;</w:t>
      </w:r>
      <w:r>
        <w:tab/>
      </w:r>
      <w:r>
        <w:t>consider the leaving condition for this event to be satisfied when condition D2-1 or D</w:t>
      </w:r>
      <w:r>
        <w:rPr>
          <w:lang w:eastAsia="zh-CN"/>
        </w:rPr>
        <w:t>2</w:t>
      </w:r>
      <w:r>
        <w:t>-2 is fulfilled;</w:t>
      </w:r>
    </w:p>
    <w:p>
      <w:pPr>
        <w:keepLines/>
      </w:pPr>
    </w:p>
    <w:p>
      <w:pPr>
        <w:rPr>
          <w:rFonts w:ascii="Arial" w:hAnsi="Arial"/>
          <w:b/>
          <w:bCs/>
        </w:rPr>
      </w:pPr>
      <w:r>
        <w:rPr>
          <w:rFonts w:ascii="Arial" w:hAnsi="Arial"/>
          <w:b/>
          <w:bCs/>
        </w:rPr>
        <w:t>Proposal 5 Agree the following for entering and leaving conditions:</w:t>
      </w:r>
    </w:p>
    <w:p>
      <w:pPr>
        <w:ind w:left="284"/>
        <w:rPr>
          <w:rFonts w:ascii="Arial" w:hAnsi="Arial"/>
          <w:b/>
          <w:bCs/>
        </w:rPr>
      </w:pPr>
      <w:r>
        <w:rPr>
          <w:rFonts w:ascii="Arial" w:hAnsi="Arial"/>
          <w:b/>
          <w:bCs/>
        </w:rPr>
        <w:t>Inequality D</w:t>
      </w:r>
      <w:r>
        <w:rPr>
          <w:rFonts w:hint="eastAsia" w:ascii="Arial" w:hAnsi="Arial"/>
          <w:b/>
          <w:bCs/>
        </w:rPr>
        <w:t>1</w:t>
      </w:r>
      <w:r>
        <w:rPr>
          <w:rFonts w:ascii="Arial" w:hAnsi="Arial"/>
          <w:b/>
          <w:bCs/>
        </w:rPr>
        <w:t>-1 (</w:t>
      </w:r>
      <w:r>
        <w:rPr>
          <w:rFonts w:hint="eastAsia" w:ascii="Arial" w:hAnsi="Arial"/>
          <w:b/>
          <w:bCs/>
        </w:rPr>
        <w:t>Entering</w:t>
      </w:r>
      <w:r>
        <w:rPr>
          <w:rFonts w:ascii="Arial" w:hAnsi="Arial"/>
          <w:b/>
          <w:bCs/>
        </w:rPr>
        <w:t xml:space="preserve"> condition 1)</w:t>
      </w:r>
    </w:p>
    <w:p>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del w:id="2" w:author="CATT" w:date="2022-02-11T18:53:00Z">
            <m:r>
              <m:rPr>
                <m:sty m:val="b"/>
              </m:rPr>
              <w:rPr>
                <w:rFonts w:ascii="Cambria Math" w:hAnsi="Arial"/>
              </w:rPr>
              <m:t>+</m:t>
            </m:r>
          </w:del>
          <w:ins w:id="3" w:author="CATT" w:date="2022-02-11T18:53:00Z">
            <m:r>
              <m:rPr>
                <m:sty m:val="b"/>
              </m:rPr>
              <w:rPr>
                <w:rFonts w:ascii="Cambria Math" w:hAnsi="Arial"/>
              </w:rPr>
              <m:t>-</m:t>
            </m:r>
          </w:ins>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pPr>
        <w:rPr>
          <w:rFonts w:ascii="Arial" w:hAnsi="Arial"/>
          <w:b/>
          <w:bCs/>
        </w:rPr>
      </w:pPr>
    </w:p>
    <w:p>
      <w:pPr>
        <w:ind w:left="284"/>
        <w:rPr>
          <w:rFonts w:ascii="Arial" w:hAnsi="Arial"/>
          <w:b/>
          <w:bCs/>
        </w:rPr>
      </w:pPr>
      <w:r>
        <w:rPr>
          <w:rFonts w:ascii="Arial" w:hAnsi="Arial"/>
          <w:b/>
          <w:bCs/>
        </w:rPr>
        <w:t>Option 2</w:t>
      </w:r>
    </w:p>
    <w:p>
      <w:pPr>
        <w:ind w:left="284"/>
        <w:rPr>
          <w:rFonts w:ascii="Arial" w:hAnsi="Arial"/>
          <w:b/>
          <w:bCs/>
        </w:rPr>
      </w:pPr>
      <w:r>
        <w:rPr>
          <w:rFonts w:ascii="Arial" w:hAnsi="Arial"/>
          <w:b/>
          <w:bCs/>
        </w:rPr>
        <w:t>1&gt;</w:t>
      </w:r>
      <w:r>
        <w:rPr>
          <w:rFonts w:ascii="Arial" w:hAnsi="Arial"/>
          <w:b/>
          <w:bCs/>
        </w:rPr>
        <w:tab/>
      </w:r>
      <w:r>
        <w:rPr>
          <w:rFonts w:ascii="Arial" w:hAnsi="Arial"/>
          <w:b/>
          <w:bCs/>
        </w:rPr>
        <w:t>consider the leaving condition for this event to be satisfied when condition D2-1 or D2-2 is fulfilled;</w:t>
      </w:r>
    </w:p>
    <w:p>
      <w:pPr>
        <w:ind w:left="284"/>
        <w:rPr>
          <w:rFonts w:ascii="Arial" w:hAnsi="Arial"/>
          <w:b/>
          <w:bCs/>
        </w:rPr>
      </w:pPr>
    </w:p>
    <w:p>
      <w:pPr>
        <w:ind w:left="284"/>
        <w:rPr>
          <w:rFonts w:ascii="Arial" w:hAnsi="Arial"/>
          <w:b/>
          <w:bCs/>
        </w:rPr>
      </w:pPr>
      <w:r>
        <w:rPr>
          <w:rFonts w:ascii="Arial" w:hAnsi="Arial"/>
          <w:b/>
          <w:bCs/>
        </w:rPr>
        <w:t>Inequality D2-1 (Leaving condition 1)</w:t>
      </w:r>
    </w:p>
    <w:p>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ins w:id="4" w:author="CATT" w:date="2022-02-11T16:11:00Z">
            <m:r>
              <m:rPr>
                <m:sty m:val="b"/>
              </m:rPr>
              <w:rPr>
                <w:rFonts w:ascii="Cambria Math" w:hAnsi="Cambria Math" w:cs="Cambria Math"/>
              </w:rPr>
              <m:t>+</m:t>
            </m:r>
          </w:ins>
          <m:r>
            <m:rPr>
              <m:sty m:val="bi"/>
            </m:rPr>
            <w:rPr>
              <w:rFonts w:ascii="Cambria Math" w:hAnsi="Arial"/>
            </w:rPr>
            <m:t>Hys</m:t>
          </m:r>
          <w:ins w:id="5" w:author="CATT" w:date="2022-02-11T16:10:00Z">
            <m:r>
              <m:rPr>
                <m:sty m:val="b"/>
              </m:rPr>
              <w:rPr>
                <w:rFonts w:ascii="Cambria Math" w:hAnsi="Arial"/>
              </w:rPr>
              <m:t>&lt;</m:t>
            </m:r>
          </w:ins>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pPr>
        <w:ind w:left="284"/>
        <w:rPr>
          <w:rFonts w:ascii="Arial" w:hAnsi="Arial"/>
          <w:b/>
          <w:bCs/>
        </w:rPr>
      </w:pPr>
      <w:r>
        <w:rPr>
          <w:rFonts w:ascii="Arial" w:hAnsi="Arial"/>
          <w:b/>
          <w:bCs/>
        </w:rPr>
        <w:t>Inequality D2-2 (Leaving condition 2)</w:t>
      </w:r>
    </w:p>
    <w:p>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i"/>
            </m:rPr>
            <w:rPr>
              <w:rFonts w:ascii="Cambria Math" w:hAnsi="Arial"/>
            </w:rPr>
            <m:t>Hys</m:t>
          </m:r>
          <w:ins w:id="6" w:author="CATT" w:date="2022-02-11T16:10:00Z">
            <m:r>
              <m:rPr>
                <m:sty m:val="b"/>
              </m:rPr>
              <w:rPr>
                <w:rFonts w:ascii="Cambria Math" w:hAnsi="Arial"/>
              </w:rPr>
              <m:t>&gt;</m:t>
            </m:r>
          </w:ins>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pPr>
        <w:pStyle w:val="49"/>
        <w:spacing w:before="20" w:after="20"/>
        <w:ind w:left="284" w:right="57"/>
        <w:jc w:val="left"/>
        <w:rPr>
          <w:rFonts w:eastAsia="宋体"/>
          <w:color w:val="000000"/>
          <w:lang w:eastAsia="zh-CN"/>
        </w:rPr>
      </w:pPr>
    </w:p>
    <w:p>
      <w:pPr>
        <w:keepLines/>
      </w:pPr>
    </w:p>
    <w:p>
      <w:pPr>
        <w:keepLines/>
      </w:pPr>
    </w:p>
    <w:p>
      <w:pPr>
        <w:rPr>
          <w:b/>
          <w:bCs/>
          <w:sz w:val="24"/>
          <w:szCs w:val="24"/>
        </w:rPr>
      </w:pPr>
      <w:r>
        <w:rPr>
          <w:b/>
          <w:bCs/>
          <w:sz w:val="24"/>
          <w:szCs w:val="24"/>
        </w:rPr>
        <w:t xml:space="preserve">Q5: Please indicate whether your company agrees with proposal 5.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Comments/other options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MediaTek</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tabs>
                <w:tab w:val="left" w:pos="435"/>
              </w:tabs>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
    <w:p>
      <w:pPr>
        <w:pStyle w:val="2"/>
      </w:pPr>
      <w:r>
        <w:t>4</w:t>
      </w:r>
      <w:r>
        <w:tab/>
      </w:r>
      <w:r>
        <w:t>User plane</w:t>
      </w:r>
    </w:p>
    <w:p/>
    <w:p>
      <w:pPr>
        <w:pStyle w:val="3"/>
      </w:pPr>
      <w:r>
        <w:t>4.1</w:t>
      </w:r>
      <w:r>
        <w:tab/>
      </w:r>
      <w:r>
        <w:t>event triggered TA reporting</w:t>
      </w:r>
    </w:p>
    <w:p>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pPr>
        <w:rPr>
          <w:rFonts w:eastAsia="宋体"/>
          <w:lang w:eastAsia="zh-CN"/>
        </w:rPr>
      </w:pPr>
    </w:p>
    <w:p>
      <w:pPr>
        <w:rPr>
          <w:rFonts w:eastAsia="宋体"/>
          <w:lang w:eastAsia="zh-CN"/>
        </w:rPr>
      </w:pPr>
    </w:p>
    <w:p>
      <w:pPr>
        <w:rPr>
          <w:rFonts w:eastAsia="宋体"/>
          <w:lang w:eastAsia="zh-CN"/>
        </w:rPr>
      </w:pPr>
    </w:p>
    <w:p>
      <w:pPr>
        <w:rPr>
          <w:rFonts w:eastAsiaTheme="minorHAnsi"/>
          <w:lang w:eastAsia="fi-FI"/>
        </w:rPr>
      </w:pPr>
      <w:r>
        <w:t>In the running 38.321 CR, the UE-specific the TA offset threshold is captured as follows:</w:t>
      </w:r>
    </w:p>
    <w:p/>
    <w:p>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pPr>
        <w:ind w:left="284" w:firstLine="284"/>
      </w:pPr>
      <w:r>
        <w:t>….</w:t>
      </w:r>
    </w:p>
    <w:p>
      <w:pPr>
        <w:pStyle w:val="55"/>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pPr>
        <w:rPr>
          <w:lang w:eastAsia="fi-FI"/>
        </w:rPr>
      </w:pPr>
    </w:p>
    <w:p>
      <w:r>
        <w:t>This resembles PHR reporting offset which in 38.331 is captured in IE PHR-Config. The open issues seem to be about the value range of the offset and in which IE the offset is placed. One example could be the MAC-CellGroupConfig where also PHR-Config.</w:t>
      </w:r>
    </w:p>
    <w:p>
      <w:r>
        <w:t>In last round there was consensus for placing the parameter in IE MAC-CellGroupConfig but different views on the range. This discussion is now split in two proposals:</w:t>
      </w:r>
    </w:p>
    <w:p>
      <w:pPr>
        <w:rPr>
          <w:b/>
          <w:bCs/>
          <w:lang w:val="en-GB" w:eastAsia="zh-CN"/>
        </w:rPr>
      </w:pPr>
      <w:r>
        <w:rPr>
          <w:rFonts w:ascii="Arial" w:hAnsi="Arial"/>
          <w:b/>
          <w:bCs/>
        </w:rPr>
        <w:t>Proposal 6 Configure a parameter OffsetThresholdTA in IE MAC-CellGroupConfig</w:t>
      </w:r>
      <w:r>
        <w:rPr>
          <w:b/>
          <w:bCs/>
          <w:lang w:val="en-GB" w:eastAsia="zh-CN"/>
        </w:rPr>
        <w:t xml:space="preserve">. FFS name of parameter </w:t>
      </w:r>
    </w:p>
    <w:p>
      <w:pPr>
        <w:rPr>
          <w:b/>
          <w:bCs/>
          <w:lang w:val="en-GB" w:eastAsia="zh-CN"/>
        </w:rPr>
      </w:pPr>
    </w:p>
    <w:p>
      <w:r>
        <w:t>For the range, following options have been proposed</w:t>
      </w:r>
    </w:p>
    <w:p/>
    <w:p>
      <w:pPr>
        <w:rPr>
          <w:rFonts w:ascii="Arial" w:hAnsi="Arial"/>
          <w:b/>
          <w:bCs/>
        </w:rPr>
      </w:pPr>
      <w:r>
        <w:rPr>
          <w:rFonts w:ascii="Arial" w:hAnsi="Arial"/>
          <w:b/>
          <w:bCs/>
        </w:rPr>
        <w:t>Option 1 Follow K_offset defined by RAN1 is “0 ...1023 ms”</w:t>
      </w:r>
    </w:p>
    <w:p>
      <w:pPr>
        <w:rPr>
          <w:rFonts w:ascii="Arial" w:hAnsi="Arial"/>
          <w:b/>
          <w:bCs/>
        </w:rPr>
      </w:pPr>
      <w:r>
        <w:rPr>
          <w:rFonts w:ascii="Arial" w:hAnsi="Arial"/>
          <w:b/>
          <w:bCs/>
        </w:rPr>
        <w:t>Option 2 Include values smaller than 1ms</w:t>
      </w:r>
    </w:p>
    <w:p>
      <w:pPr>
        <w:rPr>
          <w:rFonts w:ascii="Arial" w:hAnsi="Arial"/>
          <w:b/>
          <w:bCs/>
        </w:rPr>
      </w:pPr>
      <w:r>
        <w:rPr>
          <w:rFonts w:ascii="Arial" w:hAnsi="Arial"/>
          <w:b/>
          <w:bCs/>
        </w:rPr>
        <w:t>Option 3 Largest value should not be larger than 16 ms</w:t>
      </w:r>
    </w:p>
    <w:p>
      <w:pPr>
        <w:rPr>
          <w:b/>
          <w:bCs/>
          <w:lang w:val="en-GB" w:eastAsia="zh-CN"/>
        </w:rPr>
      </w:pPr>
    </w:p>
    <w:p>
      <w:pPr>
        <w:rPr>
          <w:rFonts w:eastAsia="宋体"/>
          <w:lang w:eastAsia="zh-CN"/>
        </w:rPr>
      </w:pPr>
    </w:p>
    <w:p>
      <w:pPr>
        <w:keepLines/>
      </w:pPr>
    </w:p>
    <w:p>
      <w:pPr>
        <w:rPr>
          <w:b/>
          <w:bCs/>
          <w:sz w:val="24"/>
          <w:szCs w:val="24"/>
        </w:rPr>
      </w:pPr>
      <w:r>
        <w:rPr>
          <w:b/>
          <w:bCs/>
          <w:sz w:val="24"/>
          <w:szCs w:val="24"/>
        </w:rPr>
        <w:t xml:space="preserve">Q6: Please state whether you agree with proposal 6 and which Options for range should be supported (note that these are not all mutually exclusive)? </w:t>
      </w:r>
    </w:p>
    <w:p/>
    <w:tbl>
      <w:tblPr>
        <w:tblStyle w:val="30"/>
        <w:tblW w:w="128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1738"/>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Agree proposal 6 yes/no</w:t>
            </w:r>
          </w:p>
        </w:tc>
        <w:tc>
          <w:tcPr>
            <w:tcW w:w="173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List options supported for the range</w:t>
            </w:r>
          </w:p>
        </w:tc>
        <w:tc>
          <w:tcPr>
            <w:tcW w:w="84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Option 2 and 3</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MediaTek</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Option 2 and 3</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lang w:val="en-US" w:eastAsia="zh-CN"/>
              </w:rPr>
            </w:pPr>
            <w:r>
              <w:rPr>
                <w:rFonts w:hint="eastAsia"/>
                <w:lang w:val="en-US" w:eastAsia="zh-CN"/>
              </w:rPr>
              <w:t>ZTE(Zhihong)</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color w:val="000000"/>
                <w:lang w:val="en-US" w:eastAsia="zh-CN"/>
              </w:rPr>
            </w:pPr>
            <w:r>
              <w:rPr>
                <w:rFonts w:hint="eastAsia" w:eastAsia="宋体"/>
                <w:color w:val="000000"/>
                <w:lang w:val="en-US" w:eastAsia="zh-CN"/>
              </w:rPr>
              <w:t>Yes</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color w:val="000000"/>
                <w:lang w:val="en-US" w:eastAsia="zh-CN"/>
              </w:rPr>
            </w:pPr>
            <w:r>
              <w:rPr>
                <w:rFonts w:hint="eastAsia" w:eastAsia="宋体"/>
                <w:color w:val="000000"/>
                <w:lang w:val="en-US" w:eastAsia="zh-CN"/>
              </w:rPr>
              <w:t>Option 2 and 3</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bl>
    <w:p>
      <w:pPr>
        <w:rPr>
          <w:u w:val="single"/>
        </w:rPr>
      </w:pPr>
    </w:p>
    <w:p/>
    <w:p/>
    <w:p>
      <w:pPr>
        <w:pStyle w:val="3"/>
      </w:pPr>
      <w:r>
        <w:t>4.2</w:t>
      </w:r>
      <w:r>
        <w:tab/>
      </w:r>
      <w:r>
        <w:t>Timer values</w:t>
      </w:r>
    </w:p>
    <w:p/>
    <w:p>
      <w:r>
        <w:t>These timers are missing values and other details:</w:t>
      </w:r>
    </w:p>
    <w:p/>
    <w:p/>
    <w:p>
      <w:r>
        <w:rPr>
          <w:b/>
          <w:bCs/>
        </w:rPr>
        <w:t xml:space="preserve">Open issue 15: </w:t>
      </w:r>
      <w:r>
        <w:t xml:space="preserve">Value for </w:t>
      </w:r>
      <w:bookmarkStart w:id="5" w:name="_Hlk95218056"/>
      <w:r>
        <w:t>DiscardTimerExt2</w:t>
      </w:r>
      <w:bookmarkEnd w:id="5"/>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Times New Roman"/>
          <w:sz w:val="16"/>
          <w:szCs w:val="20"/>
          <w:lang w:val="en-GB" w:eastAsia="en-GB"/>
        </w:rPr>
      </w:pPr>
      <w:bookmarkStart w:id="6" w:name="_Hlk94002367"/>
      <w:r>
        <w:rPr>
          <w:rFonts w:ascii="Courier New" w:hAnsi="Courier New" w:eastAsia="Times New Roman" w:cs="Courier New"/>
          <w:sz w:val="16"/>
          <w:szCs w:val="20"/>
          <w:lang w:val="en-GB" w:eastAsia="en-GB"/>
        </w:rPr>
        <w:t>DiscardTimerExt2</w:t>
      </w:r>
      <w:bookmarkEnd w:id="6"/>
      <w:r>
        <w:rPr>
          <w:rFonts w:ascii="Courier New" w:hAnsi="Courier New" w:eastAsia="Times New Roman" w:cs="Courier New"/>
          <w:sz w:val="16"/>
          <w:szCs w:val="20"/>
          <w:lang w:val="en-GB" w:eastAsia="en-GB"/>
        </w:rPr>
        <w:t xml:space="preserve">-r17 ::= </w:t>
      </w:r>
      <w:r>
        <w:rPr>
          <w:rFonts w:ascii="Courier New" w:hAnsi="Courier New" w:eastAsia="Times New Roman" w:cs="Courier New"/>
          <w:color w:val="993366"/>
          <w:sz w:val="16"/>
          <w:szCs w:val="20"/>
          <w:lang w:val="en-GB" w:eastAsia="en-GB"/>
        </w:rPr>
        <w:t>ENUMERATED</w:t>
      </w:r>
      <w:r>
        <w:rPr>
          <w:rFonts w:ascii="Courier New" w:hAnsi="Courier New" w:eastAsia="Times New Roman" w:cs="Courier New"/>
          <w:sz w:val="16"/>
          <w:szCs w:val="20"/>
          <w:lang w:val="en-GB" w:eastAsia="en-GB"/>
        </w:rPr>
        <w:t xml:space="preserve"> {</w:t>
      </w:r>
      <w:r>
        <w:rPr>
          <w:rFonts w:ascii="Courier New" w:hAnsi="Courier New" w:eastAsia="Times New Roman" w:cs="Courier New"/>
          <w:sz w:val="16"/>
          <w:szCs w:val="20"/>
          <w:highlight w:val="yellow"/>
          <w:lang w:val="en-GB" w:eastAsia="en-GB"/>
        </w:rPr>
        <w:t>FFS</w:t>
      </w:r>
      <w:r>
        <w:rPr>
          <w:rFonts w:ascii="Courier New" w:hAnsi="Courier New" w:eastAsia="Times New Roman" w:cs="Courier New"/>
          <w:sz w:val="16"/>
          <w:szCs w:val="20"/>
          <w:lang w:val="en-GB" w:eastAsia="en-GB"/>
        </w:rPr>
        <w:t>}</w:t>
      </w:r>
    </w:p>
    <w:p/>
    <w:p>
      <w:r>
        <w:t>Previous round suggested to have value 2000ms and some varying views on other values. Options to be discussed here are:</w:t>
      </w:r>
    </w:p>
    <w:p>
      <w:pPr>
        <w:rPr>
          <w:b/>
          <w:bCs/>
        </w:rPr>
      </w:pPr>
      <w:r>
        <w:rPr>
          <w:b/>
          <w:bCs/>
        </w:rPr>
        <w:t>Proposal 7 RAN2 to discuss further about options</w:t>
      </w:r>
    </w:p>
    <w:p/>
    <w:p>
      <w:pPr>
        <w:ind w:left="284"/>
        <w:rPr>
          <w:b/>
          <w:bCs/>
          <w:sz w:val="24"/>
          <w:szCs w:val="24"/>
        </w:rPr>
      </w:pPr>
      <w:r>
        <w:rPr>
          <w:rFonts w:ascii="Arial" w:hAnsi="Arial"/>
          <w:b/>
          <w:bCs/>
        </w:rPr>
        <w:t xml:space="preserve">Option 1 </w:t>
      </w:r>
      <w:r>
        <w:rPr>
          <w:b/>
          <w:bCs/>
          <w:sz w:val="24"/>
          <w:szCs w:val="24"/>
        </w:rPr>
        <w:t>DiscardTimerExt2 should have value 2000ms and 2-3 spare values</w:t>
      </w:r>
    </w:p>
    <w:p>
      <w:pPr>
        <w:ind w:left="284"/>
        <w:rPr>
          <w:u w:val="single"/>
        </w:rPr>
      </w:pPr>
      <w:r>
        <w:rPr>
          <w:b/>
          <w:bCs/>
          <w:sz w:val="24"/>
          <w:szCs w:val="24"/>
        </w:rPr>
        <w:t>Option 2 DiscardTimerExt2 should have values 2000 2500 3000 3500 4000 4500 spare2 spare1</w:t>
      </w:r>
    </w:p>
    <w:p>
      <w:pPr>
        <w:ind w:left="284"/>
        <w:rPr>
          <w:b/>
          <w:bCs/>
          <w:sz w:val="24"/>
          <w:szCs w:val="24"/>
        </w:rPr>
      </w:pPr>
      <w:r>
        <w:rPr>
          <w:b/>
          <w:bCs/>
          <w:sz w:val="24"/>
          <w:szCs w:val="24"/>
        </w:rPr>
        <w:t>Option 2 DiscardTimerExt2 should have values 2000, 2400, 2800, 3200, 3600,4000, 4400, spare2, spare1</w:t>
      </w:r>
    </w:p>
    <w:p>
      <w:pPr>
        <w:keepLines/>
      </w:pPr>
    </w:p>
    <w:p>
      <w:pPr>
        <w:rPr>
          <w:b/>
          <w:bCs/>
          <w:sz w:val="24"/>
          <w:szCs w:val="24"/>
        </w:rPr>
      </w:pPr>
      <w:r>
        <w:rPr>
          <w:b/>
          <w:bCs/>
          <w:sz w:val="24"/>
          <w:szCs w:val="24"/>
        </w:rPr>
        <w:t>Q7: Please give preferred option as timer value for  DiscardTimerExt2</w:t>
      </w:r>
    </w:p>
    <w:p/>
    <w:tbl>
      <w:tblPr>
        <w:tblStyle w:val="30"/>
        <w:tblW w:w="131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63"/>
        <w:gridCol w:w="2268"/>
        <w:gridCol w:w="86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Option supported</w:t>
            </w:r>
          </w:p>
        </w:tc>
        <w:tc>
          <w:tcPr>
            <w:tcW w:w="861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2</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ZTE(Zhihong)</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hint="default" w:eastAsia="宋体"/>
                <w:lang w:val="en-US" w:eastAsia="zh-CN"/>
              </w:rPr>
            </w:pPr>
            <w:r>
              <w:rPr>
                <w:rFonts w:hint="eastAsia" w:eastAsia="宋体"/>
                <w:lang w:val="en-US" w:eastAsia="zh-CN"/>
              </w:rPr>
              <w:t>2 or 3</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b/>
          <w:bCs/>
        </w:rPr>
      </w:pPr>
    </w:p>
    <w:p/>
    <w:p>
      <w:r>
        <w:rPr>
          <w:b/>
          <w:bCs/>
        </w:rPr>
        <w:t xml:space="preserve">Open issue 16: </w:t>
      </w:r>
      <w:r>
        <w:t>Value for sr-ProhibitTimerExt</w:t>
      </w:r>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Times New Roman"/>
          <w:sz w:val="16"/>
          <w:szCs w:val="20"/>
          <w:lang w:val="en-GB" w:eastAsia="en-GB"/>
        </w:rPr>
      </w:pPr>
      <w:r>
        <w:rPr>
          <w:rFonts w:ascii="Courier New" w:hAnsi="Courier New" w:eastAsia="Times New Roman" w:cs="Courier New"/>
          <w:sz w:val="16"/>
          <w:szCs w:val="20"/>
          <w:lang w:val="en-GB" w:eastAsia="en-GB"/>
        </w:rPr>
        <w:t xml:space="preserve">SchedulingRequestToAddModExt-v17xy ::=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sr-ProhibitTimerExt-r17                      </w:t>
      </w:r>
      <w:r>
        <w:rPr>
          <w:rFonts w:ascii="Courier New" w:hAnsi="Courier New" w:eastAsia="Times New Roman" w:cs="Courier New"/>
          <w:color w:val="993366"/>
          <w:sz w:val="16"/>
          <w:szCs w:val="20"/>
          <w:lang w:val="en-GB" w:eastAsia="en-GB"/>
        </w:rPr>
        <w:t>ENUMERATED</w:t>
      </w:r>
      <w:r>
        <w:rPr>
          <w:rFonts w:ascii="Courier New" w:hAnsi="Courier New" w:eastAsia="Times New Roman" w:cs="Courier New"/>
          <w:sz w:val="16"/>
          <w:szCs w:val="20"/>
          <w:lang w:val="en-GB" w:eastAsia="en-GB"/>
        </w:rPr>
        <w:t xml:space="preserve"> {</w:t>
      </w:r>
      <w:r>
        <w:rPr>
          <w:rFonts w:ascii="Courier New" w:hAnsi="Courier New" w:eastAsia="Times New Roman" w:cs="Courier New"/>
          <w:sz w:val="16"/>
          <w:szCs w:val="20"/>
          <w:highlight w:val="yellow"/>
          <w:lang w:val="en-GB" w:eastAsia="en-GB"/>
        </w:rPr>
        <w:t>valueFFS</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rPr>
          <w:b/>
          <w:bCs/>
          <w:sz w:val="24"/>
          <w:szCs w:val="24"/>
        </w:rPr>
      </w:pPr>
    </w:p>
    <w:p>
      <w:r>
        <w:rPr>
          <w:rFonts w:ascii="Arial" w:hAnsi="Arial"/>
          <w:b/>
          <w:bCs/>
        </w:rPr>
        <w:t xml:space="preserve">Proposal 8 RAN2 to adopt as values for sr-ProhibitTimerExt-r17: {ms192, ms256, ms320, ms384, ms448, ms512, ms576, ms640}. </w:t>
      </w:r>
    </w:p>
    <w:p>
      <w:pPr>
        <w:rPr>
          <w:b/>
          <w:bCs/>
          <w:sz w:val="24"/>
          <w:szCs w:val="24"/>
        </w:rPr>
      </w:pPr>
    </w:p>
    <w:p>
      <w:pPr>
        <w:rPr>
          <w:b/>
          <w:bCs/>
          <w:sz w:val="24"/>
          <w:szCs w:val="24"/>
        </w:rPr>
      </w:pPr>
      <w:r>
        <w:rPr>
          <w:b/>
          <w:bCs/>
          <w:sz w:val="24"/>
          <w:szCs w:val="24"/>
        </w:rPr>
        <w:t xml:space="preserve">Q8: Please indicate whether your company agrees with proposal 8.  </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70"/>
        <w:gridCol w:w="124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46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Ok as baseline, </w:t>
            </w:r>
            <w:r>
              <w:rPr>
                <w:lang w:val="en-GB" w:eastAsia="zh-CN"/>
              </w:rPr>
              <w:t>one value above 2xRTT, 2x542 ms should be added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MediaTek</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 xml:space="preserve">Agree with P8 as 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val="en-US" w:eastAsia="zh-CN"/>
              </w:rPr>
              <w:t>ZTE(Zhihong)</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Same view as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Pr>
        <w:pStyle w:val="49"/>
        <w:spacing w:before="20" w:after="20"/>
        <w:ind w:left="57" w:right="57"/>
        <w:jc w:val="left"/>
        <w:rPr>
          <w:rFonts w:eastAsia="宋体"/>
          <w:lang w:eastAsia="zh-CN"/>
        </w:rPr>
      </w:pPr>
    </w:p>
    <w:p>
      <w:pPr>
        <w:rPr>
          <w:rFonts w:eastAsia="宋体"/>
          <w:lang w:eastAsia="zh-CN"/>
        </w:rPr>
      </w:pPr>
    </w:p>
    <w:p>
      <w:pPr>
        <w:pStyle w:val="3"/>
        <w:numPr>
          <w:ilvl w:val="1"/>
          <w:numId w:val="9"/>
        </w:numPr>
      </w:pPr>
      <w:r>
        <w:t xml:space="preserve"> RRC delay</w:t>
      </w:r>
    </w:p>
    <w:p>
      <w:pPr>
        <w:rPr>
          <w:rFonts w:eastAsia="宋体"/>
          <w:lang w:eastAsia="zh-CN"/>
        </w:rPr>
      </w:pPr>
    </w:p>
    <w:p>
      <w:pPr>
        <w:rPr>
          <w:rFonts w:eastAsia="宋体"/>
          <w:lang w:eastAsia="zh-CN"/>
        </w:rPr>
      </w:pPr>
    </w:p>
    <w:p>
      <w:pPr>
        <w:rPr>
          <w:rFonts w:eastAsia="宋体"/>
          <w:lang w:eastAsia="zh-CN"/>
        </w:rPr>
      </w:pPr>
      <w:r>
        <w:rPr>
          <w:rFonts w:eastAsia="宋体"/>
          <w:b/>
          <w:bCs/>
          <w:lang w:eastAsia="zh-CN"/>
        </w:rPr>
        <w:t>Open issue 18:</w:t>
      </w:r>
      <w:r>
        <w:rPr>
          <w:rFonts w:eastAsia="宋体"/>
          <w:lang w:eastAsia="zh-CN"/>
        </w:rPr>
        <w:t xml:space="preserve">  RRC execution delays may be impacted by K_MAC, this needs to be discussed. For example RRC processing time of 15ms may not be sufficient for network to confirm UE has received/executed RRC successfully.</w:t>
      </w:r>
    </w:p>
    <w:p>
      <w:pPr>
        <w:rPr>
          <w:rFonts w:eastAsia="宋体"/>
          <w:lang w:eastAsia="zh-CN"/>
        </w:rPr>
      </w:pPr>
    </w:p>
    <w:p>
      <w:pPr>
        <w:rPr>
          <w:rFonts w:eastAsia="宋体"/>
          <w:lang w:eastAsia="zh-CN"/>
        </w:rPr>
      </w:pPr>
      <w:r>
        <w:rPr>
          <w:rFonts w:eastAsia="宋体"/>
          <w:lang w:eastAsia="zh-CN"/>
        </w:rPr>
        <w:t>Chapter 12 of TS 38.331 specifies RRC processing time values.</w:t>
      </w:r>
    </w:p>
    <w:p>
      <w:pPr>
        <w:keepNext/>
        <w:keepLines/>
        <w:pBdr>
          <w:top w:val="single" w:color="auto" w:sz="12" w:space="3"/>
        </w:pBdr>
        <w:overflowPunct w:val="0"/>
        <w:autoSpaceDE w:val="0"/>
        <w:autoSpaceDN w:val="0"/>
        <w:adjustRightInd w:val="0"/>
        <w:spacing w:before="240" w:after="180"/>
        <w:ind w:left="1986" w:hanging="1134"/>
        <w:textAlignment w:val="baseline"/>
        <w:outlineLvl w:val="0"/>
        <w:rPr>
          <w:rFonts w:ascii="Arial" w:hAnsi="Arial" w:eastAsia="Times New Roman" w:cs="Times New Roman"/>
          <w:sz w:val="28"/>
          <w:szCs w:val="16"/>
          <w:lang w:val="en-GB" w:eastAsia="ja-JP"/>
        </w:rPr>
      </w:pPr>
      <w:bookmarkStart w:id="7" w:name="_Toc60777646"/>
      <w:bookmarkStart w:id="8" w:name="_Toc90651521"/>
      <w:r>
        <w:rPr>
          <w:rFonts w:ascii="Arial" w:hAnsi="Arial" w:eastAsia="Times New Roman" w:cs="Times New Roman"/>
          <w:sz w:val="28"/>
          <w:szCs w:val="16"/>
          <w:lang w:val="en-GB" w:eastAsia="ja-JP"/>
        </w:rPr>
        <w:t>12</w:t>
      </w:r>
      <w:r>
        <w:rPr>
          <w:rFonts w:ascii="Arial" w:hAnsi="Arial" w:eastAsia="Times New Roman" w:cs="Times New Roman"/>
          <w:sz w:val="28"/>
          <w:szCs w:val="16"/>
          <w:lang w:val="en-GB" w:eastAsia="ja-JP"/>
        </w:rPr>
        <w:tab/>
      </w:r>
      <w:r>
        <w:rPr>
          <w:rFonts w:ascii="Arial" w:hAnsi="Arial" w:eastAsia="Times New Roman" w:cs="Times New Roman"/>
          <w:sz w:val="28"/>
          <w:szCs w:val="28"/>
          <w:lang w:val="en-GB" w:eastAsia="ja-JP"/>
        </w:rPr>
        <w:t>Processing delay requirements for RRC procedures</w:t>
      </w:r>
      <w:bookmarkEnd w:id="7"/>
      <w:bookmarkEnd w:id="8"/>
    </w:p>
    <w:p>
      <w:pPr>
        <w:overflowPunct w:val="0"/>
        <w:autoSpaceDE w:val="0"/>
        <w:autoSpaceDN w:val="0"/>
        <w:adjustRightInd w:val="0"/>
        <w:spacing w:after="180"/>
        <w:ind w:left="852"/>
        <w:textAlignment w:val="baseline"/>
        <w:rPr>
          <w:rFonts w:ascii="Times New Roman" w:hAnsi="Times New Roman" w:eastAsia="Times New Roman" w:cs="Times New Roman"/>
          <w:sz w:val="16"/>
          <w:szCs w:val="16"/>
          <w:lang w:val="en-GB" w:eastAsia="ja-JP"/>
        </w:rPr>
      </w:pPr>
      <w:r>
        <w:rPr>
          <w:rFonts w:ascii="Times New Roman" w:hAnsi="Times New Roman" w:eastAsia="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pPr>
        <w:keepNext/>
        <w:keepLines/>
        <w:overflowPunct w:val="0"/>
        <w:autoSpaceDE w:val="0"/>
        <w:autoSpaceDN w:val="0"/>
        <w:adjustRightInd w:val="0"/>
        <w:spacing w:before="60" w:after="180"/>
        <w:ind w:left="852"/>
        <w:jc w:val="center"/>
        <w:textAlignment w:val="baseline"/>
        <w:rPr>
          <w:rFonts w:ascii="Arial" w:hAnsi="Arial" w:eastAsia="Times New Roman" w:cs="Times New Roman"/>
          <w:b/>
          <w:sz w:val="16"/>
          <w:szCs w:val="16"/>
          <w:lang w:val="en-GB" w:eastAsia="ja-JP"/>
        </w:rPr>
      </w:pPr>
      <w:r>
        <w:rPr>
          <w:rFonts w:ascii="Arial" w:hAnsi="Arial" w:eastAsia="Times New Roman" w:cs="Times New Roman"/>
          <w:b/>
          <w:sz w:val="16"/>
          <w:szCs w:val="16"/>
          <w:lang w:val="en-GB" w:eastAsia="ja-JP"/>
        </w:rPr>
        <w:object>
          <v:shape id="_x0000_i1027" o:spt="75" type="#_x0000_t75" style="height:137.25pt;width:410.2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keepLines/>
        <w:overflowPunct w:val="0"/>
        <w:autoSpaceDE w:val="0"/>
        <w:autoSpaceDN w:val="0"/>
        <w:adjustRightInd w:val="0"/>
        <w:spacing w:after="240"/>
        <w:ind w:left="852"/>
        <w:jc w:val="center"/>
        <w:textAlignment w:val="baseline"/>
        <w:rPr>
          <w:rFonts w:ascii="Arial" w:hAnsi="Arial" w:eastAsia="Times New Roman" w:cs="Times New Roman"/>
          <w:b/>
          <w:sz w:val="16"/>
          <w:szCs w:val="16"/>
          <w:lang w:val="en-GB" w:eastAsia="ja-JP"/>
        </w:rPr>
      </w:pPr>
      <w:r>
        <w:rPr>
          <w:rFonts w:ascii="Arial" w:hAnsi="Arial" w:eastAsia="Times New Roman" w:cs="Times New Roman"/>
          <w:b/>
          <w:sz w:val="16"/>
          <w:szCs w:val="16"/>
          <w:lang w:val="en-GB" w:eastAsia="ja-JP"/>
        </w:rPr>
        <w:t>Figure 12.1-1: Illustration of RRC procedure delay</w:t>
      </w:r>
    </w:p>
    <w:p>
      <w:pPr>
        <w:keepLines/>
        <w:overflowPunct w:val="0"/>
        <w:autoSpaceDE w:val="0"/>
        <w:autoSpaceDN w:val="0"/>
        <w:adjustRightInd w:val="0"/>
        <w:spacing w:after="240"/>
        <w:ind w:left="852"/>
        <w:jc w:val="center"/>
        <w:textAlignment w:val="baseline"/>
        <w:rPr>
          <w:rFonts w:ascii="Arial" w:hAnsi="Arial" w:eastAsia="Times New Roman" w:cs="Times New Roman"/>
          <w:b/>
          <w:sz w:val="16"/>
          <w:szCs w:val="16"/>
          <w:lang w:val="en-GB" w:eastAsia="ja-JP"/>
        </w:rPr>
      </w:pPr>
      <w:r>
        <w:rPr>
          <w:rFonts w:ascii="Arial" w:hAnsi="Arial" w:eastAsia="Times New Roman" w:cs="Times New Roman"/>
          <w:b/>
          <w:sz w:val="16"/>
          <w:szCs w:val="16"/>
          <w:lang w:val="en-GB" w:eastAsia="ja-JP"/>
        </w:rPr>
        <w:t>Table 12.1-1: UE performance requirements for RRC procedures for UEs</w:t>
      </w:r>
    </w:p>
    <w:tbl>
      <w:tblPr>
        <w:tblStyle w:val="30"/>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2066"/>
        <w:gridCol w:w="2835"/>
        <w:gridCol w:w="85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262" w:type="dxa"/>
            <w:tcBorders>
              <w:top w:val="single" w:color="auto" w:sz="4" w:space="0"/>
              <w:left w:val="single" w:color="auto" w:sz="4" w:space="0"/>
              <w:bottom w:val="single" w:color="auto" w:sz="4" w:space="0"/>
              <w:right w:val="single" w:color="auto" w:sz="4" w:space="0"/>
            </w:tcBorders>
          </w:tcPr>
          <w:p>
            <w:pPr>
              <w:pStyle w:val="48"/>
              <w:rPr>
                <w:sz w:val="16"/>
                <w:szCs w:val="20"/>
                <w:lang w:eastAsia="sv-SE"/>
              </w:rPr>
            </w:pPr>
            <w:r>
              <w:rPr>
                <w:sz w:val="16"/>
                <w:szCs w:val="20"/>
                <w:lang w:eastAsia="sv-SE"/>
              </w:rPr>
              <w:t>Procedure title:</w:t>
            </w:r>
          </w:p>
        </w:tc>
        <w:tc>
          <w:tcPr>
            <w:tcW w:w="2066" w:type="dxa"/>
            <w:tcBorders>
              <w:top w:val="single" w:color="auto" w:sz="4" w:space="0"/>
              <w:left w:val="single" w:color="auto" w:sz="4" w:space="0"/>
              <w:bottom w:val="single" w:color="auto" w:sz="4" w:space="0"/>
              <w:right w:val="single" w:color="auto" w:sz="4" w:space="0"/>
            </w:tcBorders>
          </w:tcPr>
          <w:p>
            <w:pPr>
              <w:pStyle w:val="48"/>
              <w:rPr>
                <w:sz w:val="16"/>
                <w:szCs w:val="20"/>
                <w:lang w:eastAsia="sv-SE"/>
              </w:rPr>
            </w:pPr>
            <w:r>
              <w:rPr>
                <w:sz w:val="16"/>
                <w:szCs w:val="20"/>
                <w:lang w:eastAsia="sv-SE"/>
              </w:rPr>
              <w:t>Network -&gt; UE</w:t>
            </w:r>
          </w:p>
        </w:tc>
        <w:tc>
          <w:tcPr>
            <w:tcW w:w="2835" w:type="dxa"/>
            <w:tcBorders>
              <w:top w:val="single" w:color="auto" w:sz="4" w:space="0"/>
              <w:left w:val="single" w:color="auto" w:sz="4" w:space="0"/>
              <w:bottom w:val="single" w:color="auto" w:sz="4" w:space="0"/>
              <w:right w:val="single" w:color="auto" w:sz="4" w:space="0"/>
            </w:tcBorders>
          </w:tcPr>
          <w:p>
            <w:pPr>
              <w:pStyle w:val="48"/>
              <w:rPr>
                <w:sz w:val="16"/>
                <w:szCs w:val="20"/>
                <w:lang w:eastAsia="sv-SE"/>
              </w:rPr>
            </w:pPr>
            <w:r>
              <w:rPr>
                <w:sz w:val="16"/>
                <w:szCs w:val="20"/>
                <w:lang w:eastAsia="sv-SE"/>
              </w:rPr>
              <w:t>UE -&gt; Network</w:t>
            </w:r>
          </w:p>
        </w:tc>
        <w:tc>
          <w:tcPr>
            <w:tcW w:w="853" w:type="dxa"/>
            <w:tcBorders>
              <w:top w:val="single" w:color="auto" w:sz="4" w:space="0"/>
              <w:left w:val="single" w:color="auto" w:sz="4" w:space="0"/>
              <w:bottom w:val="single" w:color="auto" w:sz="4" w:space="0"/>
              <w:right w:val="single" w:color="auto" w:sz="4" w:space="0"/>
            </w:tcBorders>
          </w:tcPr>
          <w:p>
            <w:pPr>
              <w:pStyle w:val="48"/>
              <w:rPr>
                <w:sz w:val="16"/>
                <w:szCs w:val="20"/>
                <w:lang w:eastAsia="sv-SE"/>
              </w:rPr>
            </w:pPr>
            <w:r>
              <w:rPr>
                <w:sz w:val="16"/>
                <w:szCs w:val="20"/>
                <w:lang w:eastAsia="sv-SE"/>
              </w:rPr>
              <w:t>Value [ms]</w:t>
            </w:r>
          </w:p>
        </w:tc>
        <w:tc>
          <w:tcPr>
            <w:tcW w:w="2039" w:type="dxa"/>
            <w:tcBorders>
              <w:top w:val="single" w:color="auto" w:sz="4" w:space="0"/>
              <w:left w:val="single" w:color="auto" w:sz="4" w:space="0"/>
              <w:bottom w:val="single" w:color="auto" w:sz="4" w:space="0"/>
              <w:right w:val="single" w:color="auto" w:sz="4" w:space="0"/>
            </w:tcBorders>
          </w:tcPr>
          <w:p>
            <w:pPr>
              <w:pStyle w:val="48"/>
              <w:rPr>
                <w:sz w:val="16"/>
                <w:szCs w:val="20"/>
                <w:lang w:eastAsia="sv-SE"/>
              </w:rPr>
            </w:pPr>
            <w:r>
              <w:rPr>
                <w:sz w:val="16"/>
                <w:szCs w:val="20"/>
                <w:lang w:eastAsia="sv-SE"/>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55" w:type="dxa"/>
            <w:gridSpan w:val="5"/>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b/>
                <w:sz w:val="16"/>
                <w:szCs w:val="20"/>
                <w:lang w:eastAsia="en-GB"/>
              </w:rPr>
              <w:t>RRC Connection Control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reconfiguration</w:t>
            </w:r>
          </w:p>
          <w:p>
            <w:pPr>
              <w:pStyle w:val="47"/>
              <w:rPr>
                <w:sz w:val="16"/>
                <w:szCs w:val="20"/>
                <w:lang w:eastAsia="en-GB"/>
              </w:rPr>
            </w:pP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rFonts w:cs="Arial"/>
                <w:i/>
                <w:sz w:val="16"/>
                <w:szCs w:val="20"/>
                <w:lang w:eastAsia="sv-SE"/>
              </w:rPr>
              <w:t>RRCReconfiguration</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reconfiguration (scell addition/release)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RRCReconfiguration</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16</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reconfiguration (LTE/NR SCG establishment/ modification/ 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RRCReconfiguration</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16</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reconfiguration (Intra-NR mobility with LTE/NR SCG establishment/ modification/ 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RRCReconfiguration</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16</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 xml:space="preserve">RRC reconfiguration </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i/>
                <w:sz w:val="16"/>
                <w:szCs w:val="20"/>
                <w:lang w:eastAsia="en-GB"/>
              </w:rPr>
              <w:t>DLDedicatedMessageSegment</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pPr>
              <w:pStyle w:val="47"/>
              <w:rPr>
                <w:sz w:val="16"/>
                <w:szCs w:val="20"/>
                <w:lang w:eastAsia="en-GB"/>
              </w:rPr>
            </w:pPr>
            <w:r>
              <w:rPr>
                <w:sz w:val="16"/>
                <w:szCs w:val="20"/>
                <w:lang w:eastAsia="zh-CN"/>
              </w:rPr>
              <w:t>-</w:t>
            </w:r>
            <w:r>
              <w:rPr>
                <w:sz w:val="16"/>
                <w:szCs w:val="20"/>
                <w:lang w:eastAsia="en-GB"/>
              </w:rPr>
              <w:t>1)*10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sz w:val="16"/>
                <w:szCs w:val="20"/>
                <w:lang w:eastAsia="zh-CN"/>
              </w:rPr>
              <w:t>Nseg</w:t>
            </w:r>
          </w:p>
          <w:p>
            <w:pPr>
              <w:pStyle w:val="47"/>
              <w:rPr>
                <w:sz w:val="16"/>
                <w:szCs w:val="20"/>
                <w:lang w:eastAsia="en-GB"/>
              </w:rPr>
            </w:pPr>
            <w:r>
              <w:rPr>
                <w:sz w:val="16"/>
                <w:szCs w:val="20"/>
                <w:lang w:eastAsia="en-GB"/>
              </w:rPr>
              <w:t>is number of RRC segments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setup</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RRCSetup</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rFonts w:cs="Arial"/>
                <w:i/>
                <w:sz w:val="16"/>
                <w:szCs w:val="20"/>
                <w:lang w:eastAsia="sv-SE"/>
              </w:rPr>
              <w:t>RRCSetupComplete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RRCRelease</w:t>
            </w:r>
          </w:p>
        </w:tc>
        <w:tc>
          <w:tcPr>
            <w:tcW w:w="2835" w:type="dxa"/>
            <w:tcBorders>
              <w:top w:val="single" w:color="auto" w:sz="4" w:space="0"/>
              <w:left w:val="single" w:color="auto" w:sz="4" w:space="0"/>
              <w:bottom w:val="single" w:color="auto" w:sz="4" w:space="0"/>
              <w:right w:val="single" w:color="auto" w:sz="4" w:space="0"/>
            </w:tcBorders>
          </w:tcPr>
          <w:p>
            <w:pPr>
              <w:rPr>
                <w:rFonts w:cs="Arial"/>
                <w:i/>
                <w:sz w:val="16"/>
                <w:szCs w:val="20"/>
                <w:lang w:eastAsia="sv-SE"/>
              </w:rPr>
            </w:pP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re-establishment</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RRCReestablishment</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rFonts w:cs="Arial"/>
                <w:i/>
                <w:sz w:val="16"/>
                <w:szCs w:val="20"/>
                <w:lang w:eastAsia="sv-SE"/>
              </w:rPr>
              <w:t>RRCReestablishmentComplete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resume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RRCResume</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rFonts w:cs="Arial"/>
                <w:i/>
                <w:sz w:val="16"/>
                <w:szCs w:val="20"/>
                <w:lang w:eastAsia="sv-SE"/>
              </w:rPr>
              <w:t>RRCResumeComplete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6 or 10</w:t>
            </w:r>
          </w:p>
        </w:tc>
        <w:tc>
          <w:tcPr>
            <w:tcW w:w="2039" w:type="dxa"/>
            <w:tcBorders>
              <w:top w:val="single" w:color="auto" w:sz="4" w:space="0"/>
              <w:left w:val="single" w:color="auto" w:sz="4" w:space="0"/>
              <w:bottom w:val="single" w:color="auto" w:sz="4" w:space="0"/>
              <w:right w:val="single" w:color="auto" w:sz="4" w:space="0"/>
            </w:tcBorders>
          </w:tcPr>
          <w:p>
            <w:pPr>
              <w:pStyle w:val="47"/>
              <w:rPr>
                <w:rFonts w:eastAsia="宋体"/>
                <w:sz w:val="16"/>
                <w:szCs w:val="20"/>
                <w:lang w:eastAsia="zh-CN"/>
              </w:rPr>
            </w:pPr>
            <w:r>
              <w:rPr>
                <w:rFonts w:eastAsia="宋体"/>
                <w:sz w:val="16"/>
                <w:szCs w:val="20"/>
                <w:lang w:eastAsia="zh-CN"/>
              </w:rPr>
              <w:t xml:space="preserve">Value=6 applies for a UE supporting reduced CP latency for the case of </w:t>
            </w:r>
            <w:r>
              <w:rPr>
                <w:rFonts w:eastAsia="宋体"/>
                <w:sz w:val="16"/>
                <w:szCs w:val="20"/>
                <w:lang w:eastAsia="sv-SE"/>
              </w:rPr>
              <w:t>RRCResume</w:t>
            </w:r>
            <w:r>
              <w:rPr>
                <w:rFonts w:eastAsia="宋体"/>
                <w:sz w:val="16"/>
                <w:szCs w:val="20"/>
                <w:lang w:eastAsia="zh-CN"/>
              </w:rPr>
              <w:t xml:space="preserve"> message only including MAC and PHY configuration, </w:t>
            </w:r>
            <w:r>
              <w:rPr>
                <w:sz w:val="16"/>
                <w:szCs w:val="20"/>
                <w:lang w:eastAsia="zh-CN"/>
              </w:rPr>
              <w:t xml:space="preserve">reestablishPDCP and reestablishRLC for SRB2 and DRB(s), </w:t>
            </w:r>
            <w:r>
              <w:rPr>
                <w:rFonts w:eastAsia="宋体"/>
                <w:sz w:val="16"/>
                <w:szCs w:val="20"/>
                <w:lang w:eastAsia="zh-CN"/>
              </w:rPr>
              <w:t xml:space="preserve">and no DRX, SPS, configured grant, CA or MIMO re-configuration will be triggered by this message. Further, the UL grant for transmission of </w:t>
            </w:r>
            <w:r>
              <w:rPr>
                <w:rFonts w:eastAsia="宋体"/>
                <w:i/>
                <w:sz w:val="16"/>
                <w:szCs w:val="20"/>
                <w:lang w:eastAsia="zh-CN"/>
              </w:rPr>
              <w:t>RRCResumeComplete</w:t>
            </w:r>
            <w:r>
              <w:rPr>
                <w:rFonts w:eastAsia="宋体"/>
                <w:sz w:val="16"/>
                <w:szCs w:val="20"/>
                <w:lang w:eastAsia="zh-CN"/>
              </w:rPr>
              <w:t xml:space="preserve"> and the data is transmitted over common search space with DCI format 0_0.</w:t>
            </w:r>
          </w:p>
          <w:p>
            <w:pPr>
              <w:pStyle w:val="47"/>
              <w:rPr>
                <w:sz w:val="16"/>
                <w:szCs w:val="20"/>
                <w:lang w:eastAsia="sv-SE"/>
              </w:rPr>
            </w:pPr>
            <w:r>
              <w:rPr>
                <w:sz w:val="16"/>
                <w:szCs w:val="20"/>
                <w:lang w:eastAsia="sv-SE"/>
              </w:rPr>
              <w:t>In this scenario, the RRC procedure delay [ms] can extend beyond the reception of the UL grant, up to 7 ms.</w:t>
            </w:r>
          </w:p>
          <w:p>
            <w:pPr>
              <w:pStyle w:val="47"/>
              <w:rPr>
                <w:sz w:val="16"/>
                <w:szCs w:val="20"/>
                <w:lang w:eastAsia="sv-SE"/>
              </w:rPr>
            </w:pPr>
          </w:p>
          <w:p>
            <w:pPr>
              <w:pStyle w:val="47"/>
              <w:rPr>
                <w:sz w:val="16"/>
                <w:szCs w:val="20"/>
                <w:lang w:eastAsia="en-GB"/>
              </w:rPr>
            </w:pPr>
            <w:r>
              <w:rPr>
                <w:sz w:val="16"/>
                <w:szCs w:val="20"/>
                <w:lang w:eastAsia="sv-SE"/>
              </w:rPr>
              <w:t>For other cases, Value = 10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resume (MCG SCell addition/restoration/release)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RRCResume</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rFonts w:cs="Arial"/>
                <w:i/>
                <w:sz w:val="16"/>
                <w:szCs w:val="20"/>
                <w:lang w:eastAsia="sv-SE"/>
              </w:rPr>
              <w:t>RRCResumeComplete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16</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resume (SCG establishment/ restoration/release)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RRCResume</w:t>
            </w:r>
          </w:p>
        </w:tc>
        <w:tc>
          <w:tcPr>
            <w:tcW w:w="2835"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RRCResumeComplete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16</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resume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i/>
                <w:sz w:val="16"/>
                <w:szCs w:val="20"/>
                <w:lang w:eastAsia="en-GB"/>
              </w:rPr>
              <w:t>DLDedicatedMessageSegment</w:t>
            </w:r>
          </w:p>
        </w:tc>
        <w:tc>
          <w:tcPr>
            <w:tcW w:w="2835"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RRCResumeComplete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pPr>
              <w:pStyle w:val="47"/>
              <w:rPr>
                <w:sz w:val="16"/>
                <w:szCs w:val="20"/>
                <w:lang w:eastAsia="en-GB"/>
              </w:rPr>
            </w:pPr>
            <w:r>
              <w:rPr>
                <w:sz w:val="16"/>
                <w:szCs w:val="20"/>
                <w:lang w:eastAsia="zh-CN"/>
              </w:rPr>
              <w:t>-</w:t>
            </w:r>
            <w:r>
              <w:rPr>
                <w:sz w:val="16"/>
                <w:szCs w:val="20"/>
                <w:lang w:eastAsia="en-GB"/>
              </w:rPr>
              <w:t>1)*10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sz w:val="16"/>
                <w:szCs w:val="20"/>
                <w:lang w:eastAsia="zh-CN"/>
              </w:rPr>
              <w:t>Nseg</w:t>
            </w:r>
          </w:p>
          <w:p>
            <w:pPr>
              <w:pStyle w:val="47"/>
              <w:rPr>
                <w:sz w:val="16"/>
                <w:szCs w:val="20"/>
                <w:lang w:eastAsia="en-GB"/>
              </w:rPr>
            </w:pPr>
            <w:r>
              <w:rPr>
                <w:sz w:val="16"/>
                <w:szCs w:val="20"/>
                <w:lang w:eastAsia="en-GB"/>
              </w:rPr>
              <w:t>is number of RRC segments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i/>
                <w:sz w:val="16"/>
                <w:szCs w:val="20"/>
                <w:lang w:eastAsia="en-GB"/>
              </w:rPr>
              <w:t>SecurityModeCommand</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SecurityModeComplete/SecurityModeFailure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5</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55" w:type="dxa"/>
            <w:gridSpan w:val="5"/>
            <w:tcBorders>
              <w:top w:val="single" w:color="auto" w:sz="4" w:space="0"/>
              <w:left w:val="single" w:color="auto" w:sz="4" w:space="0"/>
              <w:bottom w:val="single" w:color="auto" w:sz="4" w:space="0"/>
              <w:right w:val="single" w:color="auto" w:sz="4" w:space="0"/>
            </w:tcBorders>
          </w:tcPr>
          <w:p>
            <w:pPr>
              <w:pStyle w:val="47"/>
              <w:rPr>
                <w:b/>
                <w:bCs/>
                <w:sz w:val="16"/>
                <w:szCs w:val="20"/>
                <w:lang w:eastAsia="en-GB"/>
              </w:rPr>
            </w:pPr>
            <w:r>
              <w:rPr>
                <w:b/>
                <w:bCs/>
                <w:sz w:val="16"/>
                <w:szCs w:val="20"/>
                <w:lang w:eastAsia="en-GB"/>
              </w:rPr>
              <w:t>Inter RAT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zh-CN"/>
              </w:rPr>
              <w:t>Handover to NR</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 (sent by other RAT)</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Handover from NR</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MobilityFromNRCommand</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The performance of this procedure is specified in TS 38.133 [14], clauses 6.1.2.1.2 and 6.1.2.2.2.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55" w:type="dxa"/>
            <w:gridSpan w:val="5"/>
            <w:tcBorders>
              <w:top w:val="single" w:color="auto" w:sz="4" w:space="0"/>
              <w:left w:val="single" w:color="auto" w:sz="4" w:space="0"/>
              <w:bottom w:val="single" w:color="auto" w:sz="4" w:space="0"/>
              <w:right w:val="single" w:color="auto" w:sz="4" w:space="0"/>
            </w:tcBorders>
          </w:tcPr>
          <w:p>
            <w:pPr>
              <w:pStyle w:val="47"/>
              <w:rPr>
                <w:b/>
                <w:bCs/>
                <w:sz w:val="16"/>
                <w:szCs w:val="20"/>
                <w:lang w:eastAsia="en-GB"/>
              </w:rPr>
            </w:pPr>
            <w:r>
              <w:rPr>
                <w:b/>
                <w:bCs/>
                <w:sz w:val="16"/>
                <w:szCs w:val="20"/>
                <w:lang w:eastAsia="en-GB"/>
              </w:rPr>
              <w:t>Other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UE assistance information</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UEAssistanceInformation</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zh-CN"/>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UE capability transfer</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i/>
                <w:sz w:val="16"/>
                <w:szCs w:val="20"/>
                <w:lang w:eastAsia="en-GB"/>
              </w:rPr>
              <w:t>UECapabilityEnquiry</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UECapabilityInformation</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rFonts w:cs="Arial"/>
                <w:sz w:val="16"/>
                <w:szCs w:val="20"/>
                <w:lang w:eastAsia="zh-CN"/>
              </w:rPr>
              <w:t>80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Counter check</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i/>
                <w:sz w:val="16"/>
                <w:szCs w:val="20"/>
                <w:lang w:eastAsia="en-GB"/>
              </w:rPr>
              <w:t>CounterCheck</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CounterCheckResponse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sz w:val="16"/>
                <w:szCs w:val="20"/>
                <w:lang w:eastAsia="en-GB"/>
              </w:rPr>
              <w:t>5</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UE information</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UEInformationRequest</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UEInformationResponse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15</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DL Information transfer MR-DC</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DLInformationTransferMRDC</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The UE shall apply the performance requirements of the RRC message included within the DLInformationTransferMRDC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IAB other information</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IABOtherInformation</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Sidelink UE information</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SidelinkUEInformationNR</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bl>
    <w:p>
      <w:pPr>
        <w:rPr>
          <w:rFonts w:eastAsia="宋体"/>
          <w:lang w:eastAsia="zh-CN"/>
        </w:rPr>
      </w:pPr>
    </w:p>
    <w:p>
      <w:pPr>
        <w:rPr>
          <w:rFonts w:eastAsia="宋体"/>
          <w:lang w:eastAsia="zh-CN"/>
        </w:rPr>
      </w:pPr>
    </w:p>
    <w:p>
      <w:pPr>
        <w:rPr>
          <w:rFonts w:eastAsia="宋体"/>
          <w:lang w:eastAsia="zh-CN"/>
        </w:rPr>
      </w:pPr>
    </w:p>
    <w:p>
      <w:pPr>
        <w:rPr>
          <w:b/>
          <w:bCs/>
        </w:rPr>
      </w:pPr>
      <w:r>
        <w:rPr>
          <w:b/>
          <w:bCs/>
        </w:rPr>
        <w:t xml:space="preserve">Proposal 9 RRC processing delay is not impacted </w:t>
      </w:r>
    </w:p>
    <w:p>
      <w:pPr>
        <w:rPr>
          <w:rFonts w:eastAsia="宋体"/>
          <w:lang w:eastAsia="zh-CN"/>
        </w:rPr>
      </w:pPr>
    </w:p>
    <w:p>
      <w:pPr>
        <w:rPr>
          <w:rFonts w:eastAsia="宋体"/>
          <w:lang w:eastAsia="zh-CN"/>
        </w:rPr>
      </w:pPr>
    </w:p>
    <w:p>
      <w:pPr>
        <w:rPr>
          <w:b/>
          <w:bCs/>
          <w:sz w:val="24"/>
          <w:szCs w:val="24"/>
        </w:rPr>
      </w:pPr>
      <w:r>
        <w:rPr>
          <w:b/>
          <w:bCs/>
          <w:sz w:val="24"/>
          <w:szCs w:val="24"/>
        </w:rPr>
        <w:t>Q9: Please state whether you agree with proposal 9</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MediaTek</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tabs>
                <w:tab w:val="left" w:pos="690"/>
              </w:tabs>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rFonts w:eastAsia="宋体"/>
          <w:lang w:eastAsia="zh-CN"/>
        </w:rPr>
      </w:pPr>
    </w:p>
    <w:p>
      <w:pPr>
        <w:rPr>
          <w:rFonts w:eastAsia="宋体"/>
          <w:lang w:eastAsia="zh-CN"/>
        </w:rPr>
      </w:pPr>
    </w:p>
    <w:p>
      <w:pPr>
        <w:pStyle w:val="3"/>
        <w:numPr>
          <w:ilvl w:val="1"/>
          <w:numId w:val="9"/>
        </w:numPr>
      </w:pPr>
      <w:r>
        <w:t>Other</w:t>
      </w:r>
    </w:p>
    <w:p>
      <w:pPr>
        <w:rPr>
          <w:rFonts w:eastAsia="宋体"/>
          <w:lang w:eastAsia="zh-CN"/>
        </w:rPr>
      </w:pPr>
    </w:p>
    <w:p>
      <w:pPr>
        <w:rPr>
          <w:rFonts w:eastAsia="宋体"/>
          <w:lang w:eastAsia="zh-CN"/>
        </w:rPr>
      </w:pPr>
    </w:p>
    <w:p>
      <w:pPr>
        <w:rPr>
          <w:rFonts w:eastAsia="宋体"/>
          <w:lang w:eastAsia="zh-CN"/>
        </w:rPr>
      </w:pPr>
      <w:r>
        <w:rPr>
          <w:rFonts w:eastAsia="宋体"/>
          <w:b/>
          <w:bCs/>
          <w:lang w:eastAsia="zh-CN"/>
        </w:rPr>
        <w:t>Open issue 19:</w:t>
      </w:r>
      <w:r>
        <w:rPr>
          <w:rFonts w:eastAsia="宋体"/>
          <w:lang w:eastAsia="zh-CN"/>
        </w:rPr>
        <w:t xml:space="preserve">  HARQ type for SRBs or RRC message may need to be clarified to guarantee the reliability.</w:t>
      </w:r>
    </w:p>
    <w:p>
      <w:pPr>
        <w:rPr>
          <w:rFonts w:eastAsia="宋体"/>
          <w:lang w:eastAsia="zh-CN"/>
        </w:rPr>
      </w:pPr>
    </w:p>
    <w:p>
      <w:pPr>
        <w:rPr>
          <w:rFonts w:eastAsia="宋体"/>
          <w:lang w:eastAsia="zh-CN"/>
        </w:rPr>
      </w:pPr>
      <w:r>
        <w:rPr>
          <w:rFonts w:eastAsia="宋体"/>
          <w:lang w:eastAsia="zh-CN"/>
        </w:rPr>
        <w:t xml:space="preserve">The open issue is about the LCP procedure in MAC, where it is decided to </w:t>
      </w:r>
      <w:bookmarkStart w:id="9" w:name="_Hlk95294965"/>
      <w:r>
        <w:rPr>
          <w:rFonts w:eastAsia="宋体"/>
          <w:lang w:eastAsia="zh-CN"/>
        </w:rPr>
        <w:t xml:space="preserve">enable configuring either HARQ mode A or Mode B or none </w:t>
      </w:r>
      <w:bookmarkEnd w:id="9"/>
      <w:r>
        <w:rPr>
          <w:rFonts w:eastAsia="宋体"/>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33"/>
        </w:rPr>
        <w:t>This open issue is moved to [Pre117-e][NTN][103] MAC open issues.</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r>
        <w:rPr>
          <w:rFonts w:eastAsia="宋体"/>
          <w:b/>
          <w:bCs/>
          <w:lang w:eastAsia="zh-CN"/>
        </w:rPr>
        <w:t>Open issue 20:</w:t>
      </w:r>
      <w:r>
        <w:rPr>
          <w:rFonts w:eastAsia="宋体"/>
          <w:lang w:eastAsia="zh-CN"/>
        </w:rPr>
        <w:t xml:space="preserve">  Open issue HARQ-feedbackEnablingforSPSactive-r17 </w:t>
      </w:r>
    </w:p>
    <w:p>
      <w:pPr>
        <w:pStyle w:val="21"/>
      </w:pPr>
    </w:p>
    <w:p>
      <w:pPr>
        <w:pStyle w:val="21"/>
      </w:pPr>
      <w:r>
        <w:t>Did we agree that network can enable/disable this? Agreement say this is always enabled.</w:t>
      </w:r>
    </w:p>
    <w:p>
      <w:pPr>
        <w:numPr>
          <w:ilvl w:val="0"/>
          <w:numId w:val="10"/>
        </w:numPr>
        <w:pBdr>
          <w:top w:val="single" w:color="auto" w:sz="4" w:space="1"/>
          <w:left w:val="single" w:color="auto" w:sz="4" w:space="1"/>
          <w:bottom w:val="single" w:color="auto" w:sz="4" w:space="1"/>
          <w:right w:val="single" w:color="auto" w:sz="4" w:space="1"/>
        </w:pBdr>
        <w:tabs>
          <w:tab w:val="left" w:pos="1622"/>
        </w:tabs>
      </w:pPr>
      <w:r>
        <w:t>HARQ feedback shall always be sent for SPS deactivation (i.e. regardless of HARQ feedback enabled/disabled).</w:t>
      </w:r>
    </w:p>
    <w:p>
      <w:pPr>
        <w:pStyle w:val="21"/>
        <w:rPr>
          <w:rFonts w:eastAsia="宋体"/>
          <w:lang w:eastAsia="zh-CN"/>
        </w:rPr>
      </w:pPr>
    </w:p>
    <w:p>
      <w:pPr>
        <w:pStyle w:val="21"/>
      </w:pPr>
      <w:r>
        <w:rPr>
          <w:rFonts w:hint="eastAsia" w:eastAsia="宋体"/>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hint="eastAsia" w:eastAsia="宋体"/>
          <w:i/>
          <w:lang w:eastAsia="zh-CN"/>
        </w:rPr>
        <w:t>.</w:t>
      </w:r>
    </w:p>
    <w:p>
      <w:pPr>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rPr>
          <w:b/>
          <w:bCs/>
        </w:rPr>
      </w:pPr>
      <w:r>
        <w:rPr>
          <w:b/>
          <w:bCs/>
        </w:rPr>
        <w:t>Proposal 10 the HARQ-feedbackEnablingforSPSactive-r17 is per BWP.</w:t>
      </w:r>
    </w:p>
    <w:p>
      <w:pPr>
        <w:rPr>
          <w:rFonts w:eastAsia="宋体"/>
          <w:lang w:eastAsia="zh-CN"/>
        </w:rPr>
      </w:pPr>
      <w:r>
        <w:rPr>
          <w:rFonts w:ascii="Courier New" w:hAnsi="Courier New" w:eastAsia="Times New Roman" w:cs="Times New Roman"/>
          <w:sz w:val="16"/>
          <w:szCs w:val="20"/>
          <w:lang w:val="en-GB" w:eastAsia="en-GB"/>
        </w:rPr>
        <w:t xml:space="preserve">  </w:t>
      </w:r>
    </w:p>
    <w:p>
      <w:pPr>
        <w:rPr>
          <w:b/>
          <w:bCs/>
          <w:sz w:val="24"/>
          <w:szCs w:val="24"/>
        </w:rPr>
      </w:pPr>
      <w:r>
        <w:rPr>
          <w:b/>
          <w:bCs/>
          <w:sz w:val="24"/>
          <w:szCs w:val="24"/>
        </w:rPr>
        <w:t>Q10: Please state whether you agree with proposal 10</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46"/>
        <w:gridCol w:w="124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49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MediaTek</w:t>
            </w: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lang w:val="en-US" w:eastAsia="zh-CN"/>
              </w:rPr>
            </w:pPr>
            <w:r>
              <w:rPr>
                <w:rFonts w:hint="eastAsia" w:eastAsia="宋体"/>
                <w:lang w:val="en-US" w:eastAsia="zh-CN"/>
              </w:rPr>
              <w:t>ZTE(Zhihong)</w:t>
            </w:r>
            <w:bookmarkStart w:id="24" w:name="_GoBack"/>
            <w:bookmarkEnd w:id="24"/>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color w:val="000000"/>
                <w:lang w:val="en-US" w:eastAsia="zh-CN"/>
              </w:rPr>
            </w:pPr>
            <w:r>
              <w:rPr>
                <w:rFonts w:hint="eastAsia" w:eastAsia="宋体"/>
                <w:color w:val="000000"/>
                <w:lang w:val="en-US" w:eastAsia="zh-CN"/>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4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4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
      <w:pPr>
        <w:pStyle w:val="2"/>
      </w:pPr>
      <w:r>
        <w:t>5</w:t>
      </w:r>
      <w:r>
        <w:tab/>
      </w:r>
      <w:r>
        <w:t>Broadcast</w:t>
      </w:r>
    </w:p>
    <w:p>
      <w:pPr>
        <w:pStyle w:val="75"/>
        <w:tabs>
          <w:tab w:val="right" w:pos="9639"/>
        </w:tabs>
        <w:spacing w:after="0"/>
        <w:rPr>
          <w:b/>
          <w:i/>
          <w:sz w:val="28"/>
        </w:rPr>
      </w:pPr>
      <w:r>
        <w:rPr>
          <w:rFonts w:eastAsia="宋体"/>
          <w:lang w:eastAsia="zh-CN"/>
        </w:rPr>
        <w:t>RAN2 sent to RAN1 the below LS in</w:t>
      </w:r>
      <w:r>
        <w:rPr>
          <w:rFonts w:hint="eastAsia" w:eastAsia="宋体"/>
          <w:lang w:eastAsia="zh-CN"/>
        </w:rPr>
        <w:t xml:space="preserve"> </w:t>
      </w:r>
      <w:r>
        <w:rPr>
          <w:rFonts w:eastAsia="宋体"/>
          <w:lang w:eastAsia="zh-CN"/>
        </w:rPr>
        <w:t>R2-2201757:</w:t>
      </w:r>
    </w:p>
    <w:p/>
    <w:p>
      <w:pPr>
        <w:ind w:left="284"/>
        <w:rPr>
          <w:rFonts w:ascii="Arial" w:hAnsi="Arial" w:eastAsia="宋体" w:cs="Arial"/>
          <w:i/>
          <w:iCs/>
          <w:sz w:val="20"/>
          <w:szCs w:val="20"/>
          <w:lang w:val="en-GB" w:eastAsia="zh-CN"/>
        </w:rPr>
      </w:pPr>
      <w:r>
        <w:rPr>
          <w:rFonts w:hint="eastAsia" w:ascii="Arial" w:hAnsi="Arial" w:eastAsia="宋体" w:cs="Arial"/>
          <w:i/>
          <w:iCs/>
          <w:sz w:val="20"/>
          <w:szCs w:val="20"/>
          <w:lang w:val="en-GB" w:eastAsia="zh-CN"/>
        </w:rPr>
        <w:t>R</w:t>
      </w:r>
      <w:r>
        <w:rPr>
          <w:rFonts w:ascii="Arial" w:hAnsi="Arial" w:eastAsia="宋体" w:cs="Arial"/>
          <w:i/>
          <w:iCs/>
          <w:sz w:val="20"/>
          <w:szCs w:val="20"/>
          <w:lang w:val="en-GB" w:eastAsia="zh-CN"/>
        </w:rPr>
        <w:t>AN2 has agreed to introduce a new NTN-specific SIB (SIBx) which is scheduled by SIB1. And at least the following serving cell information will be broadcast by SIBx:</w:t>
      </w:r>
    </w:p>
    <w:p>
      <w:pPr>
        <w:ind w:left="284"/>
        <w:rPr>
          <w:rFonts w:ascii="Arial" w:hAnsi="Arial" w:eastAsia="宋体" w:cs="Arial"/>
          <w:i/>
          <w:iCs/>
          <w:sz w:val="20"/>
          <w:szCs w:val="20"/>
          <w:lang w:val="en-GB" w:eastAsia="zh-CN"/>
        </w:rPr>
      </w:pPr>
    </w:p>
    <w:p>
      <w:pPr>
        <w:ind w:left="284"/>
        <w:rPr>
          <w:rFonts w:ascii="Arial" w:hAnsi="Arial" w:eastAsia="宋体" w:cs="Arial"/>
          <w:i/>
          <w:iCs/>
          <w:sz w:val="20"/>
          <w:szCs w:val="20"/>
          <w:lang w:val="en-GB" w:eastAsia="zh-CN"/>
        </w:rPr>
      </w:pPr>
      <w:r>
        <w:rPr>
          <w:rFonts w:hint="eastAsia" w:ascii="Arial" w:hAnsi="Arial" w:eastAsia="宋体" w:cs="Arial"/>
          <w:i/>
          <w:iCs/>
          <w:sz w:val="20"/>
          <w:szCs w:val="20"/>
          <w:lang w:val="en-GB" w:eastAsia="zh-CN"/>
        </w:rPr>
        <w:t>1</w:t>
      </w:r>
      <w:r>
        <w:rPr>
          <w:rFonts w:ascii="Arial" w:hAnsi="Arial" w:eastAsia="宋体" w:cs="Arial"/>
          <w:i/>
          <w:iCs/>
          <w:sz w:val="20"/>
          <w:szCs w:val="20"/>
          <w:lang w:val="en-GB" w:eastAsia="zh-CN"/>
        </w:rPr>
        <w:t>) Ephemeris;</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2) Common TA parameters;</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3) Validity duration for UL sync information;</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4) t-Service (the timing information on when the serving cell is going to stop serving the area);</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5) Cell reference location;</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6) Epoch time;</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7) K_mac;</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8) Cell-specific Koffset;</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9) Indication for network enabled/disabled TA report.</w:t>
      </w:r>
    </w:p>
    <w:p>
      <w:pPr>
        <w:ind w:left="284"/>
        <w:rPr>
          <w:rFonts w:ascii="Arial" w:hAnsi="Arial" w:eastAsia="宋体" w:cs="Arial"/>
          <w:i/>
          <w:iCs/>
          <w:sz w:val="20"/>
          <w:szCs w:val="20"/>
          <w:lang w:val="en-GB" w:eastAsia="zh-CN"/>
        </w:rPr>
      </w:pPr>
    </w:p>
    <w:p>
      <w:pPr>
        <w:ind w:left="284"/>
        <w:rPr>
          <w:rFonts w:ascii="Arial" w:hAnsi="Arial" w:eastAsia="宋体" w:cs="Arial"/>
          <w:i/>
          <w:iCs/>
          <w:sz w:val="20"/>
          <w:szCs w:val="20"/>
          <w:lang w:val="en-GB" w:eastAsia="zh-CN"/>
        </w:rPr>
      </w:pPr>
      <w:r>
        <w:rPr>
          <w:rFonts w:hint="eastAsia" w:ascii="Arial" w:hAnsi="Arial" w:eastAsia="宋体" w:cs="Arial"/>
          <w:i/>
          <w:iCs/>
          <w:sz w:val="20"/>
          <w:szCs w:val="20"/>
          <w:lang w:val="en-GB" w:eastAsia="zh-CN"/>
        </w:rPr>
        <w:t>N</w:t>
      </w:r>
      <w:r>
        <w:rPr>
          <w:rFonts w:ascii="Arial" w:hAnsi="Arial" w:eastAsia="宋体" w:cs="Arial"/>
          <w:i/>
          <w:iCs/>
          <w:sz w:val="20"/>
          <w:szCs w:val="20"/>
          <w:lang w:val="en-GB" w:eastAsia="zh-CN"/>
        </w:rPr>
        <w:t>ote that, based on RAN2 agreements so far</w:t>
      </w:r>
      <w:r>
        <w:rPr>
          <w:rFonts w:hint="eastAsia" w:ascii="Arial" w:hAnsi="Arial" w:eastAsia="宋体" w:cs="Arial"/>
          <w:i/>
          <w:iCs/>
          <w:sz w:val="20"/>
          <w:szCs w:val="20"/>
          <w:lang w:val="en-GB" w:eastAsia="zh-CN"/>
        </w:rPr>
        <w:t>,</w:t>
      </w:r>
      <w:r>
        <w:rPr>
          <w:rFonts w:ascii="Arial" w:hAnsi="Arial" w:eastAsia="宋体" w:cs="Arial"/>
          <w:i/>
          <w:iCs/>
          <w:sz w:val="20"/>
          <w:szCs w:val="20"/>
          <w:lang w:val="en-GB" w:eastAsia="zh-CN"/>
        </w:rPr>
        <w:t xml:space="preserve"> 4)  </w:t>
      </w:r>
      <w:r>
        <w:rPr>
          <w:rFonts w:hint="eastAsia" w:ascii="Arial" w:hAnsi="Arial" w:eastAsia="宋体" w:cs="Arial"/>
          <w:i/>
          <w:iCs/>
          <w:sz w:val="20"/>
          <w:szCs w:val="20"/>
          <w:lang w:val="en-GB" w:eastAsia="zh-CN"/>
        </w:rPr>
        <w:t>can</w:t>
      </w:r>
      <w:r>
        <w:rPr>
          <w:rFonts w:ascii="Arial" w:hAnsi="Arial" w:eastAsia="宋体" w:cs="Arial"/>
          <w:i/>
          <w:iCs/>
          <w:sz w:val="20"/>
          <w:szCs w:val="20"/>
          <w:lang w:val="en-GB" w:eastAsia="zh-CN"/>
        </w:rPr>
        <w:t xml:space="preserve"> only be </w:t>
      </w:r>
      <w:bookmarkStart w:id="10" w:name="OLE_LINK116"/>
      <w:bookmarkStart w:id="11" w:name="OLE_LINK115"/>
      <w:r>
        <w:rPr>
          <w:rFonts w:ascii="Arial" w:hAnsi="Arial" w:eastAsia="宋体" w:cs="Arial"/>
          <w:i/>
          <w:iCs/>
          <w:sz w:val="20"/>
          <w:szCs w:val="20"/>
          <w:lang w:val="en-GB" w:eastAsia="zh-CN"/>
        </w:rPr>
        <w:t>broadcast by quasi-earth fixed cells</w:t>
      </w:r>
      <w:bookmarkEnd w:id="10"/>
      <w:bookmarkEnd w:id="11"/>
      <w:r>
        <w:rPr>
          <w:rFonts w:ascii="Arial" w:hAnsi="Arial" w:eastAsia="宋体" w:cs="Arial"/>
          <w:i/>
          <w:iCs/>
          <w:sz w:val="20"/>
          <w:szCs w:val="20"/>
          <w:lang w:val="en-GB" w:eastAsia="zh-CN"/>
        </w:rPr>
        <w:t xml:space="preserve"> not by earth moving cells</w:t>
      </w:r>
      <w:r>
        <w:rPr>
          <w:rFonts w:hint="eastAsia" w:ascii="Arial" w:hAnsi="Arial" w:eastAsia="宋体" w:cs="Arial"/>
          <w:i/>
          <w:iCs/>
          <w:sz w:val="20"/>
          <w:szCs w:val="20"/>
          <w:lang w:val="en-GB" w:eastAsia="zh-CN"/>
        </w:rPr>
        <w:t xml:space="preserve">, and 5) can be </w:t>
      </w:r>
      <w:r>
        <w:rPr>
          <w:rFonts w:ascii="Arial" w:hAnsi="Arial" w:eastAsia="宋体" w:cs="Arial"/>
          <w:i/>
          <w:iCs/>
          <w:sz w:val="20"/>
          <w:szCs w:val="20"/>
          <w:lang w:val="en-GB" w:eastAsia="zh-CN"/>
        </w:rPr>
        <w:t xml:space="preserve">broadcast by quasi-earth fixed cells </w:t>
      </w:r>
      <w:r>
        <w:rPr>
          <w:rFonts w:hint="eastAsia" w:ascii="Arial" w:hAnsi="Arial" w:eastAsia="宋体" w:cs="Arial"/>
          <w:i/>
          <w:iCs/>
          <w:sz w:val="20"/>
          <w:szCs w:val="20"/>
          <w:lang w:val="en-GB" w:eastAsia="zh-CN"/>
        </w:rPr>
        <w:t>(</w:t>
      </w:r>
      <w:r>
        <w:rPr>
          <w:rFonts w:ascii="Arial" w:hAnsi="Arial" w:eastAsia="宋体" w:cs="Arial"/>
          <w:i/>
          <w:iCs/>
          <w:sz w:val="20"/>
          <w:szCs w:val="20"/>
          <w:lang w:val="en-GB" w:eastAsia="zh-CN"/>
        </w:rPr>
        <w:t>FFS for earth moving cells</w:t>
      </w:r>
      <w:r>
        <w:rPr>
          <w:rFonts w:hint="eastAsia" w:ascii="Arial" w:hAnsi="Arial" w:eastAsia="宋体" w:cs="Arial"/>
          <w:i/>
          <w:iCs/>
          <w:sz w:val="20"/>
          <w:szCs w:val="20"/>
          <w:lang w:val="en-GB" w:eastAsia="zh-CN"/>
        </w:rPr>
        <w:t>)</w:t>
      </w:r>
      <w:r>
        <w:rPr>
          <w:rFonts w:ascii="Arial" w:hAnsi="Arial" w:eastAsia="宋体" w:cs="Arial"/>
          <w:i/>
          <w:iCs/>
          <w:sz w:val="20"/>
          <w:szCs w:val="20"/>
          <w:lang w:val="en-GB" w:eastAsia="zh-CN"/>
        </w:rPr>
        <w:t>.</w:t>
      </w:r>
    </w:p>
    <w:p>
      <w:pPr>
        <w:ind w:left="284"/>
        <w:rPr>
          <w:rFonts w:ascii="Arial" w:hAnsi="Arial" w:eastAsia="宋体" w:cs="Arial"/>
          <w:i/>
          <w:iCs/>
          <w:sz w:val="20"/>
          <w:szCs w:val="20"/>
          <w:lang w:val="en-GB" w:eastAsia="zh-CN"/>
        </w:rPr>
      </w:pP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pPr>
        <w:ind w:left="284"/>
        <w:rPr>
          <w:rFonts w:ascii="Arial" w:hAnsi="Arial" w:eastAsia="宋体" w:cs="Arial"/>
          <w:i/>
          <w:iCs/>
          <w:sz w:val="20"/>
          <w:szCs w:val="20"/>
          <w:lang w:val="en-GB" w:eastAsia="zh-CN"/>
        </w:rPr>
      </w:pPr>
    </w:p>
    <w:p>
      <w:pPr>
        <w:ind w:left="284"/>
        <w:rPr>
          <w:rFonts w:ascii="Arial" w:hAnsi="Arial" w:eastAsia="宋体" w:cs="Arial"/>
          <w:sz w:val="20"/>
          <w:szCs w:val="20"/>
          <w:lang w:val="en-GB" w:eastAsia="zh-CN"/>
        </w:rPr>
      </w:pPr>
      <w:r>
        <w:rPr>
          <w:rFonts w:hint="eastAsia" w:ascii="Arial" w:hAnsi="Arial" w:eastAsia="宋体" w:cs="Arial"/>
          <w:i/>
          <w:iCs/>
          <w:sz w:val="20"/>
          <w:szCs w:val="20"/>
          <w:lang w:val="en-GB" w:eastAsia="zh-CN"/>
        </w:rPr>
        <w:t>S</w:t>
      </w:r>
      <w:r>
        <w:rPr>
          <w:rFonts w:ascii="Arial" w:hAnsi="Arial" w:eastAsia="宋体" w:cs="Arial"/>
          <w:i/>
          <w:iCs/>
          <w:sz w:val="20"/>
          <w:szCs w:val="20"/>
          <w:lang w:val="en-GB" w:eastAsia="zh-CN"/>
        </w:rPr>
        <w:t>ince some parameters also have RAN1 impact, RAN2 kindly asks if RAN1 foresees any problem (e.g., due to latency requirement) with the above agreements</w:t>
      </w:r>
      <w:r>
        <w:rPr>
          <w:rFonts w:ascii="Arial" w:hAnsi="Arial" w:eastAsia="宋体" w:cs="Arial"/>
          <w:sz w:val="20"/>
          <w:szCs w:val="20"/>
          <w:lang w:val="en-GB" w:eastAsia="zh-CN"/>
        </w:rPr>
        <w:t>.</w:t>
      </w:r>
    </w:p>
    <w:p/>
    <w:p/>
    <w:p>
      <w:r>
        <w:t>Current running RRC CR for NTN has SIBxx which contains the above mentioned parameters but also the polarization information.</w:t>
      </w:r>
    </w:p>
    <w:p>
      <w:pPr>
        <w:keepNext/>
        <w:keepLines/>
        <w:overflowPunct w:val="0"/>
        <w:autoSpaceDE w:val="0"/>
        <w:autoSpaceDN w:val="0"/>
        <w:adjustRightInd w:val="0"/>
        <w:spacing w:before="120" w:after="180"/>
        <w:ind w:left="1418" w:hanging="1418"/>
        <w:textAlignment w:val="baseline"/>
        <w:outlineLvl w:val="3"/>
        <w:rPr>
          <w:rFonts w:ascii="Arial" w:hAnsi="Arial" w:eastAsia="Times New Roman" w:cs="Times New Roman"/>
          <w:sz w:val="24"/>
          <w:szCs w:val="20"/>
          <w:lang w:val="fr-FR" w:eastAsia="ja-JP"/>
        </w:rPr>
      </w:pPr>
      <w:r>
        <w:rPr>
          <w:rFonts w:ascii="Arial" w:hAnsi="Arial" w:eastAsia="Times New Roman" w:cs="Times New Roman"/>
          <w:sz w:val="24"/>
          <w:szCs w:val="20"/>
          <w:lang w:val="fr-FR" w:eastAsia="ja-JP"/>
        </w:rPr>
        <w:t>–</w:t>
      </w:r>
      <w:r>
        <w:rPr>
          <w:rFonts w:ascii="Arial" w:hAnsi="Arial" w:eastAsia="Times New Roman" w:cs="Times New Roman"/>
          <w:sz w:val="24"/>
          <w:szCs w:val="20"/>
          <w:lang w:val="fr-FR" w:eastAsia="ja-JP"/>
        </w:rPr>
        <w:tab/>
      </w:r>
      <w:r>
        <w:rPr>
          <w:rFonts w:ascii="Arial" w:hAnsi="Arial" w:eastAsia="Times New Roman" w:cs="Times New Roman"/>
          <w:i/>
          <w:sz w:val="24"/>
          <w:szCs w:val="20"/>
          <w:lang w:val="fr-FR" w:eastAsia="ja-JP"/>
        </w:rPr>
        <w:t>SIBXX</w:t>
      </w:r>
    </w:p>
    <w:p>
      <w:pPr>
        <w:overflowPunct w:val="0"/>
        <w:autoSpaceDE w:val="0"/>
        <w:autoSpaceDN w:val="0"/>
        <w:adjustRightInd w:val="0"/>
        <w:spacing w:after="180"/>
        <w:textAlignment w:val="baseline"/>
        <w:rPr>
          <w:rFonts w:ascii="Times New Roman" w:hAnsi="Times New Roman" w:eastAsia="Times New Roman" w:cs="Times New Roman"/>
          <w:sz w:val="20"/>
          <w:szCs w:val="20"/>
          <w:lang w:val="fr-FR" w:eastAsia="ja-JP"/>
        </w:rPr>
      </w:pPr>
      <w:r>
        <w:rPr>
          <w:rFonts w:ascii="Times New Roman" w:hAnsi="Times New Roman" w:eastAsia="Times New Roman" w:cs="Times New Roman"/>
          <w:sz w:val="20"/>
          <w:szCs w:val="20"/>
          <w:lang w:val="fr-FR" w:eastAsia="ja-JP"/>
        </w:rPr>
        <w:t>SIBXX contains satellite assistance information.</w:t>
      </w:r>
    </w:p>
    <w:p>
      <w:pPr>
        <w:keepNext/>
        <w:keepLines/>
        <w:overflowPunct w:val="0"/>
        <w:autoSpaceDE w:val="0"/>
        <w:autoSpaceDN w:val="0"/>
        <w:adjustRightInd w:val="0"/>
        <w:spacing w:before="60" w:after="180"/>
        <w:jc w:val="center"/>
        <w:textAlignment w:val="baseline"/>
        <w:rPr>
          <w:rFonts w:ascii="Arial" w:hAnsi="Arial" w:eastAsia="Times New Roman" w:cs="Times New Roman"/>
          <w:b/>
          <w:sz w:val="20"/>
          <w:szCs w:val="20"/>
          <w:lang w:val="fr-FR" w:eastAsia="ja-JP"/>
        </w:rPr>
      </w:pPr>
      <w:r>
        <w:rPr>
          <w:rFonts w:ascii="Arial" w:hAnsi="Arial" w:eastAsia="Times New Roman" w:cs="Times New Roman"/>
          <w:b/>
          <w:bCs/>
          <w:i/>
          <w:iCs/>
          <w:sz w:val="20"/>
          <w:szCs w:val="20"/>
          <w:lang w:val="fr-FR" w:eastAsia="ja-JP"/>
        </w:rPr>
        <w:t xml:space="preserve">SIBXX </w:t>
      </w:r>
      <w:r>
        <w:rPr>
          <w:rFonts w:ascii="Arial" w:hAnsi="Arial" w:eastAsia="Times New Roman" w:cs="Times New Roman"/>
          <w:b/>
          <w:bCs/>
          <w:iCs/>
          <w:sz w:val="20"/>
          <w:szCs w:val="20"/>
          <w:lang w:val="fr-FR"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fr-FR" w:eastAsia="en-GB"/>
        </w:rPr>
      </w:pPr>
      <w:r>
        <w:rPr>
          <w:rFonts w:ascii="Courier New" w:hAnsi="Courier New" w:eastAsia="Times New Roman" w:cs="Times New Roman"/>
          <w:sz w:val="16"/>
          <w:szCs w:val="20"/>
          <w:lang w:val="fr-FR"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fr-FR"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fr-FR" w:eastAsia="en-GB"/>
        </w:rPr>
      </w:pPr>
      <w:r>
        <w:rPr>
          <w:rFonts w:ascii="Courier New" w:hAnsi="Courier New" w:eastAsia="Times New Roman" w:cs="Times New Roman"/>
          <w:sz w:val="16"/>
          <w:szCs w:val="20"/>
          <w:lang w:val="fr-FR" w:eastAsia="en-GB"/>
        </w:rPr>
        <w:t>SIBXX-r17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fr-FR" w:eastAsia="en-GB"/>
        </w:rPr>
      </w:pPr>
      <w:r>
        <w:rPr>
          <w:rFonts w:ascii="Courier New" w:hAnsi="Courier New" w:eastAsia="Times New Roman" w:cs="Times New Roman"/>
          <w:sz w:val="16"/>
          <w:szCs w:val="20"/>
          <w:lang w:val="fr-FR" w:eastAsia="en-GB"/>
        </w:rPr>
        <w:t xml:space="preserve">   </w:t>
      </w:r>
      <w:bookmarkStart w:id="12" w:name="OLE_LINK144"/>
      <w:bookmarkStart w:id="13" w:name="OLE_LINK143"/>
      <w:bookmarkStart w:id="14" w:name="OLE_LINK145"/>
      <w:r>
        <w:rPr>
          <w:rFonts w:ascii="Courier New" w:hAnsi="Courier New" w:eastAsia="Times New Roman" w:cs="Times New Roman"/>
          <w:sz w:val="16"/>
          <w:szCs w:val="20"/>
          <w:lang w:val="fr-FR" w:eastAsia="en-GB"/>
        </w:rPr>
        <w:t>ntn-Config</w:t>
      </w:r>
      <w:bookmarkEnd w:id="12"/>
      <w:bookmarkEnd w:id="13"/>
      <w:bookmarkEnd w:id="14"/>
      <w:r>
        <w:rPr>
          <w:rFonts w:ascii="Courier New" w:hAnsi="Courier New" w:eastAsia="Times New Roman" w:cs="Times New Roman"/>
          <w:sz w:val="16"/>
          <w:szCs w:val="20"/>
          <w:lang w:val="fr-FR" w:eastAsia="en-GB"/>
        </w:rPr>
        <w:t xml:space="preserve">                               NTN-Config                                      OPTIONAL,       -- Need R</w:t>
      </w:r>
      <w:r>
        <w:rPr>
          <w:rFonts w:ascii="Courier New" w:hAnsi="Courier New" w:eastAsia="Times New Roman" w:cs="Times New Roman"/>
          <w:sz w:val="16"/>
          <w:szCs w:val="20"/>
          <w:lang w:val="fr-FR"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fr-FR" w:eastAsia="en-GB"/>
        </w:rPr>
      </w:pPr>
      <w:r>
        <w:rPr>
          <w:rFonts w:ascii="Courier New" w:hAnsi="Courier New" w:eastAsia="Times New Roman" w:cs="Times New Roman"/>
          <w:sz w:val="16"/>
          <w:szCs w:val="20"/>
          <w:lang w:val="fr-FR" w:eastAsia="en-GB"/>
        </w:rPr>
        <w:t xml:space="preserve">   t-Service-r17                            </w:t>
      </w:r>
      <w:r>
        <w:rPr>
          <w:rFonts w:ascii="Courier New" w:hAnsi="Courier New" w:eastAsia="Times New Roman" w:cs="Times New Roman"/>
          <w:color w:val="993366"/>
          <w:sz w:val="16"/>
          <w:szCs w:val="20"/>
          <w:lang w:val="fr-FR" w:eastAsia="en-GB"/>
        </w:rPr>
        <w:t>INTEGER</w:t>
      </w:r>
      <w:r>
        <w:rPr>
          <w:rFonts w:ascii="Courier New" w:hAnsi="Courier New" w:eastAsia="Times New Roman" w:cs="Times New Roman"/>
          <w:sz w:val="16"/>
          <w:szCs w:val="20"/>
          <w:lang w:val="fr-FR" w:eastAsia="en-GB"/>
        </w:rPr>
        <w:t xml:space="preserve"> (0..549755813887)                       OPTIONAL,       -- Need R</w:t>
      </w:r>
      <w:r>
        <w:rPr>
          <w:rFonts w:ascii="Courier New" w:hAnsi="Courier New" w:eastAsia="Times New Roman" w:cs="Times New Roman"/>
          <w:sz w:val="16"/>
          <w:szCs w:val="20"/>
          <w:lang w:val="fr-FR"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fr-FR" w:eastAsia="en-GB"/>
        </w:rPr>
        <w:t xml:space="preserve">   </w:t>
      </w:r>
      <w:r>
        <w:rPr>
          <w:rFonts w:ascii="Courier New" w:hAnsi="Courier New" w:eastAsia="Times New Roman" w:cs="Times New Roman"/>
          <w:sz w:val="16"/>
          <w:szCs w:val="20"/>
          <w:lang w:val="en-GB" w:eastAsia="en-GB"/>
        </w:rPr>
        <w:t xml:space="preserve">referenceLocation-r17                    </w:t>
      </w:r>
      <w:bookmarkStart w:id="15" w:name="_Hlk94000021"/>
      <w:r>
        <w:rPr>
          <w:rFonts w:ascii="Courier New" w:hAnsi="Courier New" w:eastAsia="Times New Roman" w:cs="Times New Roman"/>
          <w:sz w:val="16"/>
          <w:szCs w:val="20"/>
          <w:lang w:val="en-GB" w:eastAsia="en-GB"/>
        </w:rPr>
        <w:t xml:space="preserve">ReferenceLocation-r17                           </w:t>
      </w:r>
      <w:bookmarkEnd w:id="15"/>
      <w:r>
        <w:rPr>
          <w:rFonts w:ascii="Courier New" w:hAnsi="Courier New" w:eastAsia="Times New Roman" w:cs="Times New Roman"/>
          <w:sz w:val="16"/>
          <w:szCs w:val="20"/>
          <w:lang w:val="en-GB" w:eastAsia="en-GB"/>
        </w:rPr>
        <w:t>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ta-Report-r17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
      <w:pPr>
        <w:keepNext/>
        <w:keepLines/>
        <w:overflowPunct w:val="0"/>
        <w:autoSpaceDE w:val="0"/>
        <w:autoSpaceDN w:val="0"/>
        <w:adjustRightInd w:val="0"/>
        <w:spacing w:before="120" w:after="180"/>
        <w:ind w:left="1418" w:hanging="1418"/>
        <w:textAlignment w:val="baseline"/>
        <w:outlineLvl w:val="3"/>
        <w:rPr>
          <w:rFonts w:ascii="Arial" w:hAnsi="Arial" w:eastAsia="Times New Roman" w:cs="Times New Roman"/>
          <w:sz w:val="24"/>
          <w:szCs w:val="20"/>
          <w:lang w:val="en-GB" w:eastAsia="ja-JP"/>
        </w:rPr>
      </w:pPr>
      <w:r>
        <w:rPr>
          <w:rFonts w:ascii="Arial" w:hAnsi="Arial" w:eastAsia="Times New Roman" w:cs="Times New Roman"/>
          <w:sz w:val="24"/>
          <w:szCs w:val="20"/>
          <w:lang w:val="en-GB" w:eastAsia="ja-JP"/>
        </w:rPr>
        <w:t>–</w:t>
      </w:r>
      <w:r>
        <w:rPr>
          <w:rFonts w:ascii="Arial" w:hAnsi="Arial" w:eastAsia="Times New Roman" w:cs="Times New Roman"/>
          <w:sz w:val="24"/>
          <w:szCs w:val="20"/>
          <w:lang w:val="en-GB" w:eastAsia="ja-JP"/>
        </w:rPr>
        <w:tab/>
      </w:r>
      <w:r>
        <w:rPr>
          <w:rFonts w:ascii="Arial" w:hAnsi="Arial" w:eastAsia="Times New Roman" w:cs="Times New Roman"/>
          <w:i/>
          <w:sz w:val="24"/>
          <w:szCs w:val="20"/>
          <w:lang w:val="en-GB" w:eastAsia="ja-JP"/>
        </w:rPr>
        <w:t>NTN-Config</w:t>
      </w:r>
    </w:p>
    <w:p>
      <w:pPr>
        <w:overflowPunct w:val="0"/>
        <w:autoSpaceDE w:val="0"/>
        <w:autoSpaceDN w:val="0"/>
        <w:adjustRightInd w:val="0"/>
        <w:spacing w:after="180"/>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 xml:space="preserve">The IE </w:t>
      </w:r>
      <w:r>
        <w:rPr>
          <w:rFonts w:ascii="Times New Roman" w:hAnsi="Times New Roman" w:eastAsia="Times New Roman" w:cs="Times New Roman"/>
          <w:i/>
          <w:sz w:val="20"/>
          <w:szCs w:val="20"/>
          <w:lang w:val="en-GB" w:eastAsia="ja-JP"/>
        </w:rPr>
        <w:t>NTN-Config</w:t>
      </w:r>
      <w:r>
        <w:rPr>
          <w:rFonts w:ascii="Times New Roman" w:hAnsi="Times New Roman" w:eastAsia="Times New Roman" w:cs="Times New Roman"/>
          <w:sz w:val="20"/>
          <w:szCs w:val="20"/>
          <w:lang w:val="en-GB" w:eastAsia="ja-JP"/>
        </w:rPr>
        <w:t xml:space="preserve"> provides parameters needed for the UE to access NR via satellite access. FFS more detailed description</w:t>
      </w:r>
      <w:r>
        <w:rPr>
          <w:rFonts w:ascii="Times New Roman" w:hAnsi="Times New Roman" w:eastAsia="Times New Roman" w:cs="Times New Roman"/>
          <w:sz w:val="20"/>
          <w:lang w:val="en-GB" w:eastAsia="ja-JP"/>
        </w:rPr>
        <w:t>.</w:t>
      </w:r>
    </w:p>
    <w:p>
      <w:pPr>
        <w:keepNext/>
        <w:keepLines/>
        <w:overflowPunct w:val="0"/>
        <w:autoSpaceDE w:val="0"/>
        <w:autoSpaceDN w:val="0"/>
        <w:adjustRightInd w:val="0"/>
        <w:spacing w:before="60" w:after="180"/>
        <w:jc w:val="center"/>
        <w:textAlignment w:val="baseline"/>
        <w:rPr>
          <w:rFonts w:ascii="Arial" w:hAnsi="Arial" w:eastAsia="Times New Roman" w:cs="Times New Roman"/>
          <w:b/>
          <w:sz w:val="20"/>
          <w:szCs w:val="20"/>
          <w:lang w:val="en-GB" w:eastAsia="ja-JP"/>
        </w:rPr>
      </w:pPr>
      <w:r>
        <w:rPr>
          <w:rFonts w:ascii="Arial" w:hAnsi="Arial" w:eastAsia="Times New Roman" w:cs="Times New Roman"/>
          <w:b/>
          <w:i/>
          <w:sz w:val="20"/>
          <w:szCs w:val="20"/>
          <w:lang w:val="en-GB" w:eastAsia="ja-JP"/>
        </w:rPr>
        <w:t>NTN-Config</w:t>
      </w:r>
      <w:r>
        <w:rPr>
          <w:rFonts w:ascii="Arial" w:hAnsi="Arial" w:eastAsia="Times New Roman" w:cs="Times New Roman"/>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TAG-NTN-CONFIG-START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NTN-Config-r17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bookmarkStart w:id="16" w:name="OLE_LINK153"/>
      <w:bookmarkStart w:id="17" w:name="OLE_LINK168"/>
      <w:bookmarkStart w:id="18" w:name="OLE_LINK167"/>
      <w:bookmarkStart w:id="19" w:name="OLE_LINK154"/>
      <w:r>
        <w:rPr>
          <w:rFonts w:ascii="Courier New" w:hAnsi="Courier New" w:eastAsia="Times New Roman" w:cs="Times New Roman"/>
          <w:sz w:val="16"/>
          <w:szCs w:val="20"/>
          <w:lang w:val="en-GB" w:eastAsia="en-GB"/>
        </w:rPr>
        <w:t>epochTime</w:t>
      </w:r>
      <w:bookmarkEnd w:id="16"/>
      <w:bookmarkEnd w:id="17"/>
      <w:bookmarkEnd w:id="18"/>
      <w:bookmarkEnd w:id="19"/>
      <w:r>
        <w:rPr>
          <w:rFonts w:ascii="Courier New" w:hAnsi="Courier New" w:eastAsia="Times New Roman" w:cs="Times New Roman"/>
          <w:sz w:val="16"/>
          <w:szCs w:val="20"/>
          <w:lang w:val="en-GB" w:eastAsia="en-GB"/>
        </w:rPr>
        <w:t>-r17                         EpochTime-r17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ntnUlSyncValidityDuration-r17         ENUMERATED{s5, s10, s15, s20, s25, s30, s35,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s40, s45, s50, s55, s60, s120, s180, s240}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cellSpecificKoffset-r17               INTEGER(0..1023)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kmac-r17                              INTEGER(0..512)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tainfo-r17                            TAInfo-r17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highlight w:val="yellow"/>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sz w:val="16"/>
          <w:szCs w:val="20"/>
          <w:highlight w:val="yellow"/>
          <w:lang w:val="en-GB" w:eastAsia="en-GB"/>
        </w:rPr>
        <w:t>ntnPolarizationDL-r17                 ENUMERATED{rhcp,lhcp,linear}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highlight w:val="yellow"/>
          <w:lang w:val="en-GB" w:eastAsia="en-GB"/>
        </w:rPr>
        <w:t xml:space="preserve">    ntnPolarizationUL-r17                 ENUMERATED{rhcp,lhcp,linear}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ephemerisInfo-r17                     EphemerisInfo-r17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EpochTime-r17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sfn-r17                                   INTEGER(0..1023),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subFrameNR-r17                            INTEGER(0..9)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TAInfo-r17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taCommon-r17                          INTEGER(0..66485757),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taCommonDrift-r17                     INTEGER(-261935..261935)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taCommonDriftVariant-r17              INTEGER(0..29470)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TAG-NTN-CONFIG-STOP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
      <w:pPr>
        <w:pStyle w:val="3"/>
      </w:pPr>
      <w:r>
        <w:t>5.1</w:t>
      </w:r>
      <w:r>
        <w:tab/>
      </w:r>
      <w:r>
        <w:t>SIB1</w:t>
      </w:r>
    </w:p>
    <w:p>
      <w:pPr>
        <w:rPr>
          <w:lang w:val="en-GB" w:eastAsia="en-US"/>
        </w:rPr>
      </w:pPr>
      <w:r>
        <w:rPr>
          <w:lang w:val="en-GB" w:eastAsia="en-US"/>
        </w:rPr>
        <w:t>In last round companies expressed RAN2 should wait RAN1 response before progressing on discussing SIB1 NTN specific content.</w:t>
      </w:r>
    </w:p>
    <w:p>
      <w:pPr>
        <w:rPr>
          <w:b/>
          <w:bCs/>
        </w:rPr>
      </w:pPr>
      <w:r>
        <w:rPr>
          <w:b/>
          <w:bCs/>
        </w:rPr>
        <w:t>Proposal 11 RAN2 should wait RAN1 response before progressing on discussing SIB1 NTN specific content.</w:t>
      </w:r>
    </w:p>
    <w:p>
      <w:pPr>
        <w:rPr>
          <w:rFonts w:eastAsia="宋体"/>
          <w:lang w:eastAsia="zh-CN"/>
        </w:rPr>
      </w:pPr>
      <w:r>
        <w:rPr>
          <w:rFonts w:ascii="Courier New" w:hAnsi="Courier New" w:eastAsia="Times New Roman" w:cs="Times New Roman"/>
          <w:sz w:val="16"/>
          <w:szCs w:val="20"/>
          <w:lang w:val="en-GB" w:eastAsia="en-GB"/>
        </w:rPr>
        <w:t xml:space="preserve">  </w:t>
      </w:r>
    </w:p>
    <w:p>
      <w:pPr>
        <w:rPr>
          <w:b/>
          <w:bCs/>
          <w:sz w:val="24"/>
          <w:szCs w:val="24"/>
        </w:rPr>
      </w:pPr>
      <w:r>
        <w:rPr>
          <w:b/>
          <w:bCs/>
          <w:sz w:val="24"/>
          <w:szCs w:val="24"/>
        </w:rPr>
        <w:t>Q11: Please state whether you agree with proposal 11</w:t>
      </w:r>
    </w:p>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PMingLiU"/>
                <w:lang w:eastAsia="zh-TW"/>
              </w:rPr>
            </w:pPr>
            <w:r>
              <w:rPr>
                <w:rFonts w:eastAsia="PMingLiU"/>
                <w:lang w:eastAsia="zh-TW"/>
              </w:rPr>
              <w:t>MediaTek</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cs="Arial"/>
                <w:szCs w:val="18"/>
                <w:lang w:val="en-GB"/>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Cs w:val="1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tabs>
                <w:tab w:val="left" w:pos="780"/>
              </w:tabs>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b/>
          <w:bCs/>
        </w:rPr>
      </w:pPr>
    </w:p>
    <w:p>
      <w:pPr>
        <w:rPr>
          <w:u w:val="single"/>
        </w:rPr>
      </w:pPr>
    </w:p>
    <w:p>
      <w:pPr>
        <w:rPr>
          <w:sz w:val="24"/>
          <w:szCs w:val="24"/>
        </w:rPr>
      </w:pPr>
    </w:p>
    <w:p>
      <w:pPr>
        <w:pStyle w:val="3"/>
      </w:pPr>
      <w:r>
        <w:t>5.2</w:t>
      </w:r>
      <w:r>
        <w:tab/>
      </w:r>
      <w:r>
        <w:t>SIBxx</w:t>
      </w:r>
    </w:p>
    <w:p/>
    <w:p>
      <w:pPr>
        <w:rPr>
          <w:lang w:val="en-GB" w:eastAsia="en-US"/>
        </w:rPr>
      </w:pPr>
      <w:r>
        <w:rPr>
          <w:lang w:val="en-GB" w:eastAsia="en-US"/>
        </w:rPr>
        <w:t>In last round companies expressed RAN2 should wait RAN1 response before progressing on discussing SIBxx further content and that the current contant is ok.</w:t>
      </w:r>
    </w:p>
    <w:p>
      <w:pPr>
        <w:rPr>
          <w:b/>
          <w:bCs/>
        </w:rPr>
      </w:pPr>
      <w:r>
        <w:rPr>
          <w:b/>
          <w:bCs/>
        </w:rPr>
        <w:t>Proposal 12 Current SIBxx content can be adopted as baseline and RAN2 should wait RAN1 response before progressing on discussing further SIBxx NTN specific content.</w:t>
      </w:r>
    </w:p>
    <w:p>
      <w:pPr>
        <w:rPr>
          <w:rFonts w:eastAsia="宋体"/>
          <w:lang w:eastAsia="zh-CN"/>
        </w:rPr>
      </w:pPr>
      <w:r>
        <w:rPr>
          <w:rFonts w:ascii="Courier New" w:hAnsi="Courier New" w:eastAsia="Times New Roman" w:cs="Times New Roman"/>
          <w:sz w:val="16"/>
          <w:szCs w:val="20"/>
          <w:lang w:val="en-GB" w:eastAsia="en-GB"/>
        </w:rPr>
        <w:t xml:space="preserve">  </w:t>
      </w:r>
    </w:p>
    <w:p>
      <w:pPr>
        <w:rPr>
          <w:b/>
          <w:bCs/>
          <w:sz w:val="24"/>
          <w:szCs w:val="24"/>
        </w:rPr>
      </w:pPr>
      <w:r>
        <w:rPr>
          <w:b/>
          <w:bCs/>
          <w:sz w:val="24"/>
          <w:szCs w:val="24"/>
        </w:rPr>
        <w:t>Q12: Please state whether you agree with proposal 12</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MediaTek</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No, RAN2 does not need to wait for RAN1 to progress on neighbour cell ephemeris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cs="Arial"/>
                <w:szCs w:val="18"/>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cs="Arial"/>
                <w:szCs w:val="1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tabs>
                <w:tab w:val="left" w:pos="780"/>
              </w:tabs>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sz w:val="24"/>
          <w:szCs w:val="24"/>
        </w:rPr>
      </w:pPr>
    </w:p>
    <w:p>
      <w:pPr>
        <w:rPr>
          <w:sz w:val="24"/>
          <w:szCs w:val="24"/>
        </w:rPr>
      </w:pPr>
    </w:p>
    <w:p>
      <w:pPr>
        <w:pStyle w:val="3"/>
      </w:pPr>
      <w:r>
        <w:t>5.3</w:t>
      </w:r>
      <w:r>
        <w:tab/>
      </w:r>
      <w:r>
        <w:t>Neighbour cell related SI</w:t>
      </w:r>
    </w:p>
    <w:p/>
    <w:p>
      <w:pPr>
        <w:rPr>
          <w:sz w:val="24"/>
          <w:szCs w:val="24"/>
        </w:rPr>
      </w:pPr>
      <w:r>
        <w:rPr>
          <w:b/>
          <w:bCs/>
        </w:rPr>
        <w:t xml:space="preserve">Open issue 23: </w:t>
      </w:r>
      <w:r>
        <w:rPr>
          <w:sz w:val="24"/>
          <w:szCs w:val="24"/>
        </w:rPr>
        <w:t xml:space="preserve">What information is present in neighbor cell related SI? Which SIB contains this? </w:t>
      </w:r>
    </w:p>
    <w:p>
      <w:pPr>
        <w:rPr>
          <w:sz w:val="24"/>
          <w:szCs w:val="24"/>
        </w:rPr>
      </w:pPr>
    </w:p>
    <w:p>
      <w:pPr>
        <w:rPr>
          <w:b/>
          <w:bCs/>
        </w:rPr>
      </w:pPr>
      <w:r>
        <w:rPr>
          <w:b/>
          <w:bCs/>
        </w:rPr>
        <w:t>Conclusion on Open issue 23</w:t>
      </w:r>
    </w:p>
    <w:p>
      <w:pPr>
        <w:rPr>
          <w:sz w:val="24"/>
          <w:szCs w:val="24"/>
        </w:rPr>
      </w:pPr>
      <w:r>
        <w:rPr>
          <w:rFonts w:ascii="Arial" w:hAnsi="Arial"/>
          <w:b/>
          <w:bCs/>
        </w:rPr>
        <w:t>Proposal 13 The following information to be broadcasted about neighbor cells:</w:t>
      </w:r>
    </w:p>
    <w:p>
      <w:pPr>
        <w:ind w:left="568"/>
        <w:rPr>
          <w:rFonts w:ascii="Arial" w:hAnsi="Arial"/>
          <w:b/>
          <w:bCs/>
        </w:rPr>
      </w:pPr>
      <w:r>
        <w:rPr>
          <w:rFonts w:ascii="Arial" w:hAnsi="Arial"/>
          <w:b/>
          <w:bCs/>
        </w:rPr>
        <w:t xml:space="preserve">- Neighbour cell Ephemeris information. </w:t>
      </w:r>
    </w:p>
    <w:p>
      <w:pPr>
        <w:ind w:left="568"/>
        <w:rPr>
          <w:rFonts w:ascii="Arial" w:hAnsi="Arial"/>
          <w:b/>
          <w:bCs/>
        </w:rPr>
      </w:pPr>
      <w:r>
        <w:rPr>
          <w:rFonts w:ascii="Arial" w:hAnsi="Arial"/>
          <w:b/>
          <w:bCs/>
        </w:rPr>
        <w:t>- Validity timer information for neighbour cell’s ephemeris information.</w:t>
      </w:r>
    </w:p>
    <w:p>
      <w:pPr>
        <w:rPr>
          <w:rFonts w:ascii="Arial" w:hAnsi="Arial"/>
          <w:b/>
          <w:bCs/>
        </w:rPr>
      </w:pPr>
      <w:r>
        <w:rPr>
          <w:rFonts w:ascii="Arial" w:hAnsi="Arial"/>
          <w:b/>
          <w:bCs/>
        </w:rPr>
        <w:t>Further discuss options:</w:t>
      </w:r>
    </w:p>
    <w:p>
      <w:pPr>
        <w:ind w:left="568"/>
        <w:rPr>
          <w:rFonts w:ascii="Arial" w:hAnsi="Arial"/>
          <w:b/>
          <w:bCs/>
        </w:rPr>
      </w:pPr>
      <w:r>
        <w:rPr>
          <w:rFonts w:ascii="Arial" w:hAnsi="Arial"/>
          <w:b/>
          <w:bCs/>
        </w:rPr>
        <w:t>- Option 1 reference location information of neighbour cells</w:t>
      </w:r>
    </w:p>
    <w:p>
      <w:pPr>
        <w:ind w:left="568"/>
        <w:rPr>
          <w:rFonts w:ascii="Arial" w:hAnsi="Arial"/>
          <w:b/>
          <w:bCs/>
        </w:rPr>
      </w:pPr>
      <w:r>
        <w:rPr>
          <w:rFonts w:ascii="Arial" w:hAnsi="Arial"/>
          <w:b/>
          <w:bCs/>
        </w:rPr>
        <w:t>- Option 2 epoch time (optional)</w:t>
      </w:r>
    </w:p>
    <w:p>
      <w:pPr>
        <w:ind w:left="568"/>
        <w:rPr>
          <w:rFonts w:ascii="Arial" w:hAnsi="Arial"/>
          <w:b/>
          <w:bCs/>
        </w:rPr>
      </w:pPr>
      <w:r>
        <w:rPr>
          <w:rFonts w:ascii="Arial" w:hAnsi="Arial"/>
          <w:b/>
          <w:bCs/>
        </w:rPr>
        <w:t>- Option 3 common TA parameters (optional)</w:t>
      </w:r>
    </w:p>
    <w:p>
      <w:pPr>
        <w:ind w:left="568"/>
        <w:rPr>
          <w:rFonts w:ascii="Arial" w:hAnsi="Arial"/>
          <w:b/>
          <w:bCs/>
        </w:rPr>
      </w:pPr>
      <w:r>
        <w:rPr>
          <w:rFonts w:ascii="Arial" w:hAnsi="Arial"/>
          <w:b/>
          <w:bCs/>
        </w:rPr>
        <w:t>- Option 4 DL polarization information.</w:t>
      </w:r>
    </w:p>
    <w:p>
      <w:pPr>
        <w:ind w:left="568"/>
        <w:rPr>
          <w:rFonts w:ascii="Arial" w:hAnsi="Arial"/>
          <w:b/>
          <w:bCs/>
        </w:rPr>
      </w:pPr>
      <w:r>
        <w:rPr>
          <w:rFonts w:ascii="Arial" w:hAnsi="Arial"/>
          <w:b/>
          <w:bCs/>
        </w:rPr>
        <w:t>- Option 5 Neighbour cell’s feeder link delay</w:t>
      </w:r>
    </w:p>
    <w:p>
      <w:pPr>
        <w:rPr>
          <w:sz w:val="24"/>
          <w:szCs w:val="24"/>
        </w:rPr>
      </w:pPr>
    </w:p>
    <w:p>
      <w:pPr>
        <w:rPr>
          <w:sz w:val="24"/>
          <w:szCs w:val="24"/>
        </w:rPr>
      </w:pPr>
    </w:p>
    <w:p>
      <w:pPr>
        <w:rPr>
          <w:b/>
          <w:bCs/>
          <w:sz w:val="24"/>
          <w:szCs w:val="24"/>
        </w:rPr>
      </w:pPr>
      <w:r>
        <w:rPr>
          <w:b/>
          <w:bCs/>
          <w:sz w:val="24"/>
          <w:szCs w:val="24"/>
        </w:rPr>
        <w:t xml:space="preserve">Q13: Please state whether you agree with proposal 13 and which further Options should be supported? </w:t>
      </w:r>
    </w:p>
    <w:p>
      <w:pPr>
        <w:rPr>
          <w:b/>
          <w:bCs/>
          <w:sz w:val="24"/>
          <w:szCs w:val="24"/>
        </w:rPr>
      </w:pPr>
    </w:p>
    <w:p/>
    <w:tbl>
      <w:tblPr>
        <w:tblStyle w:val="30"/>
        <w:tblW w:w="128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502"/>
        <w:gridCol w:w="1502"/>
        <w:gridCol w:w="87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50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Agree proposal 13 yes/no</w:t>
            </w:r>
          </w:p>
        </w:tc>
        <w:tc>
          <w:tcPr>
            <w:tcW w:w="150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List options supported for the range</w:t>
            </w:r>
          </w:p>
        </w:tc>
        <w:tc>
          <w:tcPr>
            <w:tcW w:w="870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Option 1 at least</w:t>
            </w: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Also coarser values would do. Add these to SIBs where other neighbor cell info are given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MediaTek</w:t>
            </w: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None</w:t>
            </w: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Ephemeris information should be sufficient for neighbour cell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50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70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bl>
    <w:p>
      <w:pPr>
        <w:rPr>
          <w:u w:val="single"/>
        </w:rPr>
      </w:pPr>
    </w:p>
    <w:p>
      <w:pPr>
        <w:rPr>
          <w:sz w:val="24"/>
          <w:szCs w:val="24"/>
        </w:rPr>
      </w:pPr>
    </w:p>
    <w:p/>
    <w:p>
      <w:pPr>
        <w:pStyle w:val="3"/>
      </w:pPr>
      <w:r>
        <w:t>5.4</w:t>
      </w:r>
      <w:r>
        <w:tab/>
      </w:r>
      <w:r>
        <w:t>SI notifications</w:t>
      </w:r>
    </w:p>
    <w:p>
      <w:pPr>
        <w:rPr>
          <w:sz w:val="24"/>
          <w:szCs w:val="24"/>
        </w:rPr>
      </w:pPr>
      <w:r>
        <w:rPr>
          <w:sz w:val="24"/>
          <w:szCs w:val="24"/>
        </w:rPr>
        <w:t>What all has been agreed and what still needs to be agreed</w:t>
      </w:r>
    </w:p>
    <w:p>
      <w:pPr>
        <w:pStyle w:val="82"/>
        <w:numPr>
          <w:ilvl w:val="0"/>
          <w:numId w:val="11"/>
        </w:numPr>
        <w:pBdr>
          <w:top w:val="single" w:color="auto" w:sz="4" w:space="1"/>
          <w:left w:val="single" w:color="auto" w:sz="4" w:space="4"/>
          <w:bottom w:val="single" w:color="auto" w:sz="4" w:space="1"/>
          <w:right w:val="single" w:color="auto" w:sz="4" w:space="4"/>
        </w:pBdr>
      </w:pPr>
      <w:r>
        <w:t>Update of ephemeris and common TA information does not affect the value tag and does not trigger SI modification procedure.</w:t>
      </w:r>
    </w:p>
    <w:p>
      <w:pPr>
        <w:pStyle w:val="82"/>
        <w:numPr>
          <w:ilvl w:val="0"/>
          <w:numId w:val="11"/>
        </w:numPr>
        <w:pBdr>
          <w:top w:val="single" w:color="auto" w:sz="4" w:space="1"/>
          <w:left w:val="single" w:color="auto" w:sz="4" w:space="4"/>
          <w:bottom w:val="single" w:color="auto" w:sz="4" w:space="1"/>
          <w:right w:val="single" w:color="auto" w:sz="4" w:space="4"/>
        </w:pBdr>
      </w:pPr>
      <w:r>
        <w:t>The ntnUlSyncValidityDuration applies to the whole SIBX. UE acquires the updated SIBX when the timer expires. FFS whether to also include it in the LS to RAN1. FFS if this applies only to Connected mode or to idle mode UE as well</w:t>
      </w:r>
    </w:p>
    <w:p>
      <w:pPr>
        <w:rPr>
          <w:sz w:val="24"/>
          <w:szCs w:val="24"/>
        </w:rPr>
      </w:pPr>
    </w:p>
    <w:p>
      <w:pPr>
        <w:rPr>
          <w:sz w:val="24"/>
          <w:szCs w:val="24"/>
        </w:rPr>
      </w:pPr>
    </w:p>
    <w:p>
      <w:pPr>
        <w:rPr>
          <w:sz w:val="24"/>
          <w:szCs w:val="24"/>
        </w:rPr>
      </w:pPr>
      <w:r>
        <w:rPr>
          <w:b/>
          <w:bCs/>
          <w:sz w:val="24"/>
          <w:szCs w:val="24"/>
        </w:rPr>
        <w:t>Open issue 24:</w:t>
      </w:r>
      <w:r>
        <w:rPr>
          <w:sz w:val="24"/>
          <w:szCs w:val="24"/>
        </w:rPr>
        <w:t xml:space="preserve"> Review of </w:t>
      </w:r>
      <w:bookmarkStart w:id="20" w:name="_Hlk95219659"/>
      <w:r>
        <w:rPr>
          <w:sz w:val="24"/>
          <w:szCs w:val="24"/>
        </w:rPr>
        <w:t>how to capture rules for SI notification for different NTN SI and general SI related procedural text</w:t>
      </w:r>
      <w:bookmarkEnd w:id="20"/>
    </w:p>
    <w:p>
      <w:pPr>
        <w:rPr>
          <w:rFonts w:ascii="Arial" w:hAnsi="Arial"/>
          <w:b/>
          <w:bCs/>
        </w:rPr>
      </w:pPr>
    </w:p>
    <w:p>
      <w:pPr>
        <w:rPr>
          <w:rFonts w:ascii="Arial" w:hAnsi="Arial"/>
          <w:b/>
          <w:bCs/>
        </w:rPr>
      </w:pPr>
      <w:r>
        <w:rPr>
          <w:rFonts w:ascii="Arial" w:hAnsi="Arial"/>
          <w:b/>
          <w:bCs/>
        </w:rPr>
        <w:t>Proposal 14 RAN2 to agree to capture the following:</w:t>
      </w:r>
    </w:p>
    <w:p>
      <w:pPr>
        <w:rPr>
          <w:rFonts w:ascii="Arial" w:hAnsi="Arial"/>
          <w:b/>
          <w:bCs/>
        </w:rPr>
      </w:pPr>
      <w:r>
        <w:rPr>
          <w:rFonts w:ascii="Arial" w:hAnsi="Arial"/>
          <w:b/>
          <w:bCs/>
        </w:rPr>
        <w:t>For SIBxx field description for ephemeris and common TA:</w:t>
      </w:r>
    </w:p>
    <w:p>
      <w:pPr>
        <w:rPr>
          <w:rFonts w:ascii="Arial" w:hAnsi="Arial"/>
          <w:b/>
          <w:bCs/>
        </w:rPr>
      </w:pPr>
      <w:r>
        <w:rPr>
          <w:rFonts w:ascii="Arial" w:hAnsi="Arial"/>
          <w:b/>
          <w:bCs/>
        </w:rPr>
        <w:t>“This field is excluded when determining changes in system information, i.e. changes of XXX should neither result in system information change notifications nor in a modification of valueTag in SIB1.”</w:t>
      </w:r>
    </w:p>
    <w:p>
      <w:pPr>
        <w:rPr>
          <w:u w:val="single"/>
        </w:rPr>
      </w:pPr>
    </w:p>
    <w:p>
      <w:r>
        <w:rPr>
          <w:b/>
          <w:bCs/>
          <w:sz w:val="24"/>
          <w:szCs w:val="24"/>
        </w:rPr>
        <w:t>Q14: Please state whether you agree with proposal 14</w:t>
      </w:r>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MediaTek</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sz w:val="24"/>
          <w:szCs w:val="24"/>
        </w:rPr>
      </w:pPr>
    </w:p>
    <w:p>
      <w:pPr>
        <w:rPr>
          <w:u w:val="single"/>
        </w:rPr>
      </w:pPr>
    </w:p>
    <w:p>
      <w:pPr>
        <w:rPr>
          <w:b/>
          <w:bCs/>
          <w:sz w:val="24"/>
          <w:szCs w:val="24"/>
        </w:rPr>
      </w:pPr>
      <w:r>
        <w:rPr>
          <w:b/>
          <w:bCs/>
          <w:sz w:val="24"/>
          <w:szCs w:val="24"/>
        </w:rPr>
        <w:t>Q17: Please give your view on whether ntnUlSyncValidityDuration applies only to connected mode or also to idle mode.</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MediaTek</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An Idle mode UE doesn’t really need to reacquire this SI on this timer expiry, so it’s best to only specify this for Connected mode and to avoid unnecessary power consumption in Idle mode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Pr>
        <w:pStyle w:val="2"/>
      </w:pPr>
      <w:r>
        <w:t>6</w:t>
      </w:r>
      <w:r>
        <w:tab/>
      </w:r>
      <w:r>
        <w:t>Conclusion</w:t>
      </w:r>
    </w:p>
    <w:p>
      <w:pPr>
        <w:rPr>
          <w:b/>
          <w:bCs/>
        </w:rPr>
      </w:pPr>
    </w:p>
    <w:p>
      <w:pPr>
        <w:pStyle w:val="22"/>
        <w:rPr>
          <w:rStyle w:val="108"/>
        </w:rPr>
      </w:pPr>
      <w:r>
        <w:rPr>
          <w:rStyle w:val="108"/>
        </w:rPr>
        <w:t xml:space="preserve">List of proposals for agreement </w:t>
      </w:r>
    </w:p>
    <w:p/>
    <w:p>
      <w:pPr>
        <w:rPr>
          <w:b/>
          <w:bCs/>
        </w:rPr>
      </w:pPr>
    </w:p>
    <w:p>
      <w:pPr>
        <w:pStyle w:val="97"/>
        <w:rPr>
          <w:rStyle w:val="108"/>
        </w:rPr>
      </w:pPr>
      <w:r>
        <w:rPr>
          <w:rStyle w:val="108"/>
        </w:rPr>
        <w:t>List of proposals that require online discussions</w:t>
      </w:r>
    </w:p>
    <w:p>
      <w:pPr>
        <w:rPr>
          <w:b/>
          <w:bCs/>
        </w:rPr>
      </w:pPr>
    </w:p>
    <w:p>
      <w:pPr>
        <w:rPr>
          <w:b/>
          <w:bCs/>
        </w:rPr>
      </w:pPr>
    </w:p>
    <w:p>
      <w:pPr>
        <w:pStyle w:val="10"/>
        <w:rPr>
          <w:rFonts w:eastAsia="Times New Roman"/>
          <w:iCs/>
          <w:lang w:eastAsia="ja-JP"/>
        </w:rPr>
      </w:pPr>
      <w:r>
        <w:rPr>
          <w:iCs/>
        </w:rPr>
        <w:t>Annex agreements</w:t>
      </w:r>
    </w:p>
    <w:p>
      <w:pPr>
        <w:pStyle w:val="22"/>
        <w:rPr>
          <w:lang w:eastAsia="ja-JP"/>
        </w:rPr>
      </w:pPr>
      <w:r>
        <w:rPr>
          <w:lang w:eastAsia="ja-JP"/>
        </w:rPr>
        <w:t xml:space="preserve">List of RAN2 agreements that are foreseen as most relevant to this running CR. </w:t>
      </w:r>
    </w:p>
    <w:p>
      <w:pPr>
        <w:rPr>
          <w:iCs/>
          <w:lang w:eastAsia="ja-JP"/>
        </w:rPr>
      </w:pPr>
      <w:r>
        <w:rPr>
          <w:iCs/>
        </w:rPr>
        <w:t>RAN2#111</w:t>
      </w:r>
    </w:p>
    <w:p>
      <w:pPr>
        <w:pStyle w:val="5"/>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12"/>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From RAN2 perspective, an offset is applied to the start of ra-ResponseWindow in NTN for both LEO and GEO scenarios.</w:t>
      </w:r>
    </w:p>
    <w:p>
      <w:pPr>
        <w:pStyle w:val="82"/>
        <w:numPr>
          <w:ilvl w:val="0"/>
          <w:numId w:val="12"/>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An offset to the start of the ra-ContentionResolutionTimer is introduced for both LEO and GEO scenarios.</w:t>
      </w:r>
    </w:p>
    <w:p>
      <w:pPr>
        <w:pStyle w:val="82"/>
        <w:numPr>
          <w:ilvl w:val="0"/>
          <w:numId w:val="1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pPr>
        <w:pStyle w:val="82"/>
        <w:numPr>
          <w:ilvl w:val="0"/>
          <w:numId w:val="1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pPr>
        <w:rPr>
          <w:lang w:eastAsia="zh-CN"/>
        </w:rPr>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13"/>
        </w:numPr>
        <w:pBdr>
          <w:top w:val="single" w:color="auto" w:sz="4" w:space="1"/>
          <w:left w:val="single" w:color="auto" w:sz="4" w:space="4"/>
          <w:bottom w:val="single" w:color="auto" w:sz="4" w:space="1"/>
          <w:right w:val="single" w:color="auto" w:sz="4" w:space="4"/>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33"/>
          <w:b w:val="0"/>
          <w:bCs w:val="0"/>
          <w:highlight w:val="lightGray"/>
        </w:rPr>
        <w:t>(other solutions to enhance UL scheduling are not precluded)</w:t>
      </w:r>
    </w:p>
    <w:p>
      <w:pPr>
        <w:rPr>
          <w:iCs/>
        </w:rPr>
      </w:pPr>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14"/>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pPr>
        <w:rPr>
          <w:lang w:eastAsia="zh-CN"/>
        </w:rPr>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1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network type (i.e. TN or NTN) should be known to UE. FFS whether to achieve this in an implicit or explicit way.</w:t>
      </w:r>
    </w:p>
    <w:p>
      <w:pPr>
        <w:pStyle w:val="82"/>
        <w:pBdr>
          <w:top w:val="single" w:color="auto" w:sz="4" w:space="1"/>
          <w:left w:val="single" w:color="auto" w:sz="4" w:space="4"/>
          <w:bottom w:val="single" w:color="auto" w:sz="4" w:space="1"/>
          <w:right w:val="single" w:color="auto" w:sz="4" w:space="4"/>
        </w:pBdr>
        <w:ind w:left="1259" w:firstLine="0"/>
      </w:pPr>
    </w:p>
    <w:p>
      <w:pPr>
        <w:rPr>
          <w:iCs/>
        </w:rPr>
      </w:pPr>
    </w:p>
    <w:p>
      <w:pPr>
        <w:rPr>
          <w:iCs/>
        </w:rPr>
      </w:pPr>
      <w:r>
        <w:rPr>
          <w:iCs/>
        </w:rPr>
        <w:t>RAN2#112</w:t>
      </w: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16"/>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108"/>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pPr>
        <w:pStyle w:val="92"/>
        <w:numPr>
          <w:ilvl w:val="0"/>
          <w:numId w:val="16"/>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pPr>
        <w:pStyle w:val="92"/>
        <w:numPr>
          <w:ilvl w:val="0"/>
          <w:numId w:val="16"/>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pPr>
        <w:pStyle w:val="92"/>
        <w:numPr>
          <w:ilvl w:val="0"/>
          <w:numId w:val="16"/>
        </w:numPr>
        <w:pBdr>
          <w:top w:val="single" w:color="auto" w:sz="4" w:space="1"/>
          <w:left w:val="single" w:color="auto" w:sz="4" w:space="4"/>
          <w:bottom w:val="single" w:color="auto" w:sz="4" w:space="1"/>
          <w:right w:val="single" w:color="auto" w:sz="4" w:space="4"/>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p>
      <w:pPr>
        <w:pStyle w:val="82"/>
        <w:pBdr>
          <w:top w:val="single" w:color="auto" w:sz="4" w:space="1"/>
          <w:left w:val="single" w:color="auto" w:sz="4" w:space="4"/>
          <w:bottom w:val="single" w:color="auto" w:sz="4" w:space="1"/>
          <w:right w:val="single" w:color="auto" w:sz="4" w:space="4"/>
        </w:pBdr>
      </w:pPr>
      <w:r>
        <w:t>Agreement from Friday CB session:</w:t>
      </w:r>
    </w:p>
    <w:p>
      <w:pPr>
        <w:pStyle w:val="82"/>
        <w:numPr>
          <w:ilvl w:val="0"/>
          <w:numId w:val="1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p>
      <w:pPr>
        <w:pStyle w:val="82"/>
        <w:pBdr>
          <w:top w:val="single" w:color="auto" w:sz="4" w:space="1"/>
          <w:left w:val="single" w:color="auto" w:sz="4" w:space="4"/>
          <w:bottom w:val="single" w:color="auto" w:sz="4" w:space="1"/>
          <w:right w:val="single" w:color="auto" w:sz="4" w:space="4"/>
        </w:pBdr>
      </w:pPr>
      <w:r>
        <w:t>Agreements via email - offline 103:</w:t>
      </w:r>
    </w:p>
    <w:p>
      <w:pPr>
        <w:pStyle w:val="82"/>
        <w:numPr>
          <w:ilvl w:val="0"/>
          <w:numId w:val="1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pPr>
        <w:pStyle w:val="82"/>
        <w:numPr>
          <w:ilvl w:val="0"/>
          <w:numId w:val="1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the following are FFS in Rel-17 NTN:</w:t>
      </w:r>
    </w:p>
    <w:p>
      <w:pPr>
        <w:pStyle w:val="82"/>
        <w:numPr>
          <w:ilvl w:val="0"/>
          <w:numId w:val="1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Report UE-calculated TA in e.g. msg3/msg5/msgA</w:t>
      </w:r>
    </w:p>
    <w:p>
      <w:pPr>
        <w:pStyle w:val="82"/>
        <w:numPr>
          <w:ilvl w:val="0"/>
          <w:numId w:val="1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 xml:space="preserve">Enhancements to RSRP-based selection mechanism of 2-step vs. 4-step RACH </w:t>
      </w:r>
    </w:p>
    <w:p>
      <w:pPr>
        <w:pStyle w:val="82"/>
        <w:numPr>
          <w:ilvl w:val="0"/>
          <w:numId w:val="1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LCP impact caused by disabling HARQ UL retransmission</w:t>
      </w:r>
    </w:p>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1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pPr>
        <w:rPr>
          <w:iCs/>
        </w:rPr>
      </w:pP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0"/>
        </w:numPr>
        <w:pBdr>
          <w:top w:val="single" w:color="auto" w:sz="4" w:space="1"/>
          <w:left w:val="single" w:color="auto" w:sz="4" w:space="4"/>
          <w:bottom w:val="single" w:color="auto" w:sz="4" w:space="1"/>
          <w:right w:val="single" w:color="auto" w:sz="4" w:space="4"/>
        </w:pBdr>
        <w:spacing w:line="254" w:lineRule="auto"/>
        <w:rPr>
          <w:i w:val="0"/>
          <w:highlight w:val="green"/>
        </w:rPr>
      </w:pPr>
      <w:r>
        <w:rPr>
          <w:i w:val="0"/>
          <w:highlight w:val="green"/>
        </w:rPr>
        <w:t>RLC t-Reassembly timer needs to be extended in NR-NTN.</w:t>
      </w:r>
    </w:p>
    <w:p>
      <w:pPr>
        <w:pStyle w:val="92"/>
        <w:numPr>
          <w:ilvl w:val="0"/>
          <w:numId w:val="20"/>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t-PollRetransmit Timer in NR-NTN.</w:t>
      </w:r>
    </w:p>
    <w:p>
      <w:pPr>
        <w:pStyle w:val="92"/>
        <w:numPr>
          <w:ilvl w:val="0"/>
          <w:numId w:val="20"/>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t-statusProhibit Timer in NR-NTN.</w:t>
      </w:r>
    </w:p>
    <w:p>
      <w:pPr>
        <w:pStyle w:val="92"/>
        <w:numPr>
          <w:ilvl w:val="0"/>
          <w:numId w:val="20"/>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RLC SN length in NR-NTN</w:t>
      </w:r>
    </w:p>
    <w:p>
      <w:pPr>
        <w:pStyle w:val="92"/>
        <w:numPr>
          <w:ilvl w:val="0"/>
          <w:numId w:val="20"/>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PDCP SN length in NR-NTN</w:t>
      </w:r>
    </w:p>
    <w:p/>
    <w:p>
      <w:pPr>
        <w:pStyle w:val="79"/>
        <w:pBdr>
          <w:top w:val="single" w:color="auto" w:sz="4" w:space="1"/>
          <w:left w:val="single" w:color="auto" w:sz="4" w:space="4"/>
          <w:bottom w:val="single" w:color="auto" w:sz="4" w:space="1"/>
          <w:right w:val="single" w:color="auto" w:sz="4" w:space="4"/>
        </w:pBdr>
      </w:pPr>
      <w:r>
        <w:t>Agreements:</w:t>
      </w:r>
    </w:p>
    <w:p>
      <w:pPr>
        <w:pStyle w:val="79"/>
        <w:numPr>
          <w:ilvl w:val="0"/>
          <w:numId w:val="2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pPr>
        <w:rPr>
          <w:iCs/>
        </w:rPr>
      </w:pP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2"/>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pPr>
        <w:pStyle w:val="92"/>
        <w:numPr>
          <w:ilvl w:val="0"/>
          <w:numId w:val="22"/>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pPr>
        <w:pStyle w:val="92"/>
        <w:pBdr>
          <w:top w:val="single" w:color="auto" w:sz="4" w:space="1"/>
          <w:left w:val="single" w:color="auto" w:sz="4" w:space="4"/>
          <w:bottom w:val="single" w:color="auto" w:sz="4" w:space="1"/>
          <w:right w:val="single" w:color="auto" w:sz="4" w:space="4"/>
        </w:pBdr>
        <w:rPr>
          <w:i w:val="0"/>
          <w:highlight w:val="lightGray"/>
        </w:rPr>
      </w:pPr>
      <w:r>
        <w:rPr>
          <w:i w:val="0"/>
          <w:highlight w:val="lightGray"/>
        </w:rPr>
        <w:t>3.</w:t>
      </w:r>
      <w:r>
        <w:rPr>
          <w:i w:val="0"/>
          <w:highlight w:val="lightGray"/>
        </w:rPr>
        <w:tab/>
      </w:r>
      <w:r>
        <w:rPr>
          <w:i w:val="0"/>
          <w:highlight w:val="lightGray"/>
        </w:rPr>
        <w:t>NTN specific CHO execution condition can be further discussed.</w:t>
      </w:r>
    </w:p>
    <w:p>
      <w:pPr>
        <w:pStyle w:val="92"/>
        <w:pBdr>
          <w:top w:val="single" w:color="auto" w:sz="4" w:space="1"/>
          <w:left w:val="single" w:color="auto" w:sz="4" w:space="4"/>
          <w:bottom w:val="single" w:color="auto" w:sz="4" w:space="1"/>
          <w:right w:val="single" w:color="auto" w:sz="4" w:space="4"/>
        </w:pBdr>
        <w:rPr>
          <w:i w:val="0"/>
          <w:highlight w:val="lightGray"/>
        </w:rPr>
      </w:pPr>
      <w:r>
        <w:rPr>
          <w:i w:val="0"/>
          <w:highlight w:val="lightGray"/>
        </w:rPr>
        <w:t>4.</w:t>
      </w:r>
      <w:r>
        <w:rPr>
          <w:i w:val="0"/>
          <w:highlight w:val="lightGray"/>
        </w:rPr>
        <w:tab/>
      </w:r>
      <w:r>
        <w:rPr>
          <w:i w:val="0"/>
          <w:highlight w:val="lightGray"/>
        </w:rPr>
        <w:t>The existing measurement framework (e.g. measurement configuration, execution and reporting) is the baseline, and all the existing measurement criteria and event can be used in NTN. Support for new measurement is not excluded.</w:t>
      </w:r>
    </w:p>
    <w:p>
      <w:pPr>
        <w:pStyle w:val="92"/>
        <w:pBdr>
          <w:top w:val="single" w:color="auto" w:sz="4" w:space="1"/>
          <w:left w:val="single" w:color="auto" w:sz="4" w:space="4"/>
          <w:bottom w:val="single" w:color="auto" w:sz="4" w:space="1"/>
          <w:right w:val="single" w:color="auto" w:sz="4" w:space="4"/>
        </w:pBdr>
        <w:rPr>
          <w:i w:val="0"/>
        </w:rPr>
      </w:pPr>
      <w:r>
        <w:rPr>
          <w:i w:val="0"/>
          <w:highlight w:val="lightGray"/>
        </w:rPr>
        <w:t>5.</w:t>
      </w:r>
      <w:r>
        <w:rPr>
          <w:i w:val="0"/>
          <w:highlight w:val="lightGray"/>
        </w:rPr>
        <w:tab/>
      </w:r>
      <w:r>
        <w:rPr>
          <w:i w:val="0"/>
          <w:highlight w:val="lightGray"/>
        </w:rPr>
        <w:t>Legacy SSB periods (as in TN) shall be supported in NTN</w:t>
      </w:r>
    </w:p>
    <w:p/>
    <w:p>
      <w:pPr>
        <w:pStyle w:val="82"/>
        <w:pBdr>
          <w:top w:val="single" w:color="auto" w:sz="4" w:space="1"/>
          <w:left w:val="single" w:color="auto" w:sz="4" w:space="4"/>
          <w:bottom w:val="single" w:color="auto" w:sz="4" w:space="1"/>
          <w:right w:val="single" w:color="auto" w:sz="4" w:space="4"/>
        </w:pBdr>
      </w:pPr>
      <w:r>
        <w:t>Agreements via email - offline 105:</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DAPS HO for NTN is de-prioritized in this release.</w:t>
      </w:r>
    </w:p>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offline 106:</w:t>
      </w:r>
    </w:p>
    <w:p>
      <w:pPr>
        <w:pStyle w:val="82"/>
        <w:numPr>
          <w:ilvl w:val="0"/>
          <w:numId w:val="2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2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SMTC and gap configuration in NTN are configured based on the timing of PCell</w:t>
      </w:r>
    </w:p>
    <w:p>
      <w:pPr>
        <w:pStyle w:val="82"/>
        <w:numPr>
          <w:ilvl w:val="0"/>
          <w:numId w:val="2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can first identify the scenarios and discuss how serious the impact is before addressing any enhancement for SMTC configuration in NTN.</w:t>
      </w:r>
    </w:p>
    <w:p>
      <w:pPr>
        <w:pStyle w:val="82"/>
        <w:numPr>
          <w:ilvl w:val="0"/>
          <w:numId w:val="2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can’t assume that the network will always have UE accurate location info for SMTC window configuration in NTN</w:t>
      </w:r>
    </w:p>
    <w:p>
      <w:pPr>
        <w:pStyle w:val="82"/>
        <w:numPr>
          <w:ilvl w:val="0"/>
          <w:numId w:val="2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p/>
    <w:p>
      <w:pPr>
        <w:rPr>
          <w:iCs/>
        </w:rPr>
      </w:pPr>
      <w:r>
        <w:rPr>
          <w:iCs/>
        </w:rPr>
        <w:t>RAN2#113</w:t>
      </w:r>
    </w:p>
    <w:p>
      <w:pPr>
        <w:rPr>
          <w:iCs/>
        </w:rPr>
      </w:pPr>
    </w:p>
    <w:p>
      <w:pPr>
        <w:pStyle w:val="5"/>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Both Type 1 and Type 2 configured grant are feasible in NTN.</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RAN2’s perspective, no need to modify parameter periodicity of IE ConfiguredGrantConfig to support NTN.</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No need to modify maxNrofConfiguredGrantConfig-r16 and maxNrofConfiguredGrantConfigMAC-r16 to support NTN.</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in NTN can have both 2-step RACH and configured grant configurations at the same time.</w:t>
      </w:r>
    </w:p>
    <w:p>
      <w:pPr>
        <w:pStyle w:val="82"/>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[103]:</w:t>
      </w:r>
    </w:p>
    <w:p>
      <w:pPr>
        <w:pStyle w:val="82"/>
        <w:numPr>
          <w:ilvl w:val="0"/>
          <w:numId w:val="2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For HARQ processes with DL HARQ feedback disabled, drx-HARQ-RTT-TimerDL is not started.</w:t>
      </w:r>
    </w:p>
    <w:p>
      <w:pPr>
        <w:pStyle w:val="82"/>
        <w:numPr>
          <w:ilvl w:val="0"/>
          <w:numId w:val="2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FFS: method(s) to support blind retransmission for HARQ processes with HARQ feedback disabled.</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29"/>
        </w:numPr>
        <w:pBdr>
          <w:top w:val="single" w:color="auto" w:sz="4" w:space="1"/>
          <w:left w:val="single" w:color="auto" w:sz="4" w:space="4"/>
          <w:bottom w:val="single" w:color="auto" w:sz="4" w:space="1"/>
          <w:right w:val="single" w:color="auto" w:sz="4" w:space="4"/>
        </w:pBdr>
        <w:spacing w:line="254" w:lineRule="auto"/>
        <w:rPr>
          <w:highlight w:val="yellow"/>
        </w:rPr>
      </w:pPr>
      <w:commentRangeStart w:id="0"/>
      <w:r>
        <w:rPr>
          <w:highlight w:val="yellow"/>
        </w:rPr>
        <w:t xml:space="preserve">The </w:t>
      </w:r>
      <w:commentRangeEnd w:id="0"/>
      <w:r>
        <w:rPr>
          <w:rStyle w:val="37"/>
          <w:rFonts w:eastAsia="Times New Roman" w:cs="Arial"/>
          <w:lang w:val="en-GB" w:eastAsia="ja-JP"/>
        </w:rPr>
        <w:commentReference w:id="0"/>
      </w:r>
      <w:r>
        <w:rPr>
          <w:highlight w:val="yellow"/>
        </w:rPr>
        <w:t xml:space="preserve">NTN ephemeris is divided into serving cell’s ephemeris and neighbour’s ephemeris. FFS how would they differ regarding e.g. the required accuracy or signalling impact.    </w:t>
      </w:r>
    </w:p>
    <w:p>
      <w:pPr>
        <w:pStyle w:val="82"/>
        <w:numPr>
          <w:ilvl w:val="0"/>
          <w:numId w:val="29"/>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RAN2 thinks that a UE needs to know whether the network is a TN or NTN no later than SIB1 reception</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pPr>
        <w:pStyle w:val="86"/>
      </w:pPr>
    </w:p>
    <w:p>
      <w:pPr>
        <w:rPr>
          <w:iCs/>
        </w:rPr>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Support A4 event for NTN CHO. FFS whether other triggers need to be combined with this.</w:t>
      </w:r>
    </w:p>
    <w:p>
      <w:pPr>
        <w:pStyle w:val="82"/>
      </w:pPr>
    </w:p>
    <w:p>
      <w:pPr>
        <w:rPr>
          <w:iCs/>
        </w:rPr>
      </w:pPr>
      <w:r>
        <w:rPr>
          <w:iCs/>
        </w:rPr>
        <w:t>RAN2#113bis</w:t>
      </w:r>
    </w:p>
    <w:p/>
    <w:p>
      <w:pPr>
        <w:pStyle w:val="82"/>
        <w:pBdr>
          <w:top w:val="single" w:color="auto" w:sz="4" w:space="1"/>
          <w:left w:val="single" w:color="auto" w:sz="4" w:space="4"/>
          <w:bottom w:val="single" w:color="auto" w:sz="4" w:space="1"/>
          <w:right w:val="single" w:color="auto" w:sz="4" w:space="4"/>
        </w:pBdr>
        <w:ind w:left="1619" w:firstLine="0"/>
        <w:rPr>
          <w:highlight w:val="lightGray"/>
        </w:rPr>
      </w:pPr>
      <w:r>
        <w:rPr>
          <w:highlight w:val="lightGray"/>
        </w:rPr>
        <w:t>Agreements:</w:t>
      </w:r>
    </w:p>
    <w:p>
      <w:pPr>
        <w:pStyle w:val="82"/>
        <w:numPr>
          <w:ilvl w:val="0"/>
          <w:numId w:val="3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pPr>
        <w:pStyle w:val="82"/>
        <w:numPr>
          <w:ilvl w:val="0"/>
          <w:numId w:val="3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Reuse legacy RA type switching mechanism</w:t>
      </w:r>
    </w:p>
    <w:p>
      <w:pPr>
        <w:pStyle w:val="82"/>
        <w:numPr>
          <w:ilvl w:val="0"/>
          <w:numId w:val="32"/>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Extend the timer length of sr-ProhibitTimer (FFS on the details)</w:t>
      </w:r>
    </w:p>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wait for RAN1’s feedback on UE obtaining UE-gNB RTT.</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 via email (from offline [103]):</w:t>
      </w:r>
    </w:p>
    <w:p>
      <w:pPr>
        <w:pStyle w:val="82"/>
        <w:numPr>
          <w:ilvl w:val="0"/>
          <w:numId w:val="3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wait for RAN1’s progress and postpone the discussion on how to broadcast parameters, if any, for TA pre-compensation.</w:t>
      </w:r>
    </w:p>
    <w:p>
      <w:pPr>
        <w:pStyle w:val="82"/>
        <w:numPr>
          <w:ilvl w:val="0"/>
          <w:numId w:val="3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send an LS to RAN1, focusing on below aspects:</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w:t>
      </w:r>
      <w:r>
        <w:rPr>
          <w:highlight w:val="lightGray"/>
        </w:rPr>
        <w:tab/>
      </w:r>
      <w:r>
        <w:rPr>
          <w:highlight w:val="lightGray"/>
        </w:rPr>
        <w:t>Ask RAN1 to prioritize the TA pre-compensation work on whether and/or what parameters to broadcast for TA pre-compensation, and when broadcasted, how often the broadcasted parameters are expected to change over time;</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w:t>
      </w:r>
      <w:r>
        <w:rPr>
          <w:highlight w:val="lightGray"/>
        </w:rPr>
        <w:tab/>
      </w:r>
      <w:r>
        <w:rPr>
          <w:highlight w:val="lightGray"/>
        </w:rPr>
        <w:t>RAN2 has agreed to use UE-gNB RTT as the offset to start some UP timers (e.g. drx-HARQ-RTT-TimerDL). Ask RAN1 to provide inputs on (i) how UE acquires UE-gNB RTT and (ii) what additional information needs to be broadcasted other than that for TA pre-compensation, if any.</w:t>
      </w:r>
    </w:p>
    <w:p>
      <w:pPr>
        <w:rPr>
          <w:highlight w:val="lightGray"/>
        </w:rPr>
      </w:pPr>
    </w:p>
    <w:p>
      <w:pPr>
        <w:rPr>
          <w:highlight w:val="lightGray"/>
        </w:rPr>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pPr>
        <w:pStyle w:val="82"/>
        <w:numPr>
          <w:ilvl w:val="0"/>
          <w:numId w:val="3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pPr>
        <w:rPr>
          <w:lang w:val="en-GB"/>
        </w:rPr>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confirms that in NTN using the value= “zero” for drx-HARQ-RTT-TimerUL and drx-RetransmissionTimerUL is possible. No specification change is needed.</w:t>
      </w:r>
    </w:p>
    <w:p>
      <w:pPr>
        <w:pStyle w:val="82"/>
        <w:pBdr>
          <w:top w:val="single" w:color="auto" w:sz="4" w:space="1"/>
          <w:left w:val="single" w:color="auto" w:sz="4" w:space="4"/>
          <w:bottom w:val="single" w:color="auto" w:sz="4" w:space="1"/>
          <w:right w:val="single" w:color="auto" w:sz="4" w:space="4"/>
        </w:pBdr>
      </w:pPr>
      <w:r>
        <w:t>4.</w:t>
      </w:r>
      <w:r>
        <w:tab/>
      </w:r>
      <w:r>
        <w:t>In NTN, The drx-HARQ-RTT-TimerUL is configured per UE DRX group and the behaviour can be configured per HARQ process. FFS the different behaviours and how to indicate the behaviour to the UE and the number of behaviours (e.g., two or more behaviours).</w:t>
      </w:r>
    </w:p>
    <w:p>
      <w:pPr>
        <w:pStyle w:val="82"/>
        <w:pBdr>
          <w:top w:val="single" w:color="auto" w:sz="4" w:space="1"/>
          <w:left w:val="single" w:color="auto" w:sz="4" w:space="4"/>
          <w:bottom w:val="single" w:color="auto" w:sz="4" w:space="1"/>
          <w:right w:val="single" w:color="auto" w:sz="4" w:space="4"/>
        </w:pBdr>
        <w:rPr>
          <w:lang w:val="en-GB"/>
        </w:rPr>
      </w:pPr>
      <w:r>
        <w:t>5.</w:t>
      </w:r>
      <w:r>
        <w:tab/>
      </w:r>
      <w:r>
        <w:t>LCP restrictions should be further considered for an UL HARQ process in NTN. FFS if no further LCP restrictions are needed, or if (R16) existing LCP restrictions can be re-used or if new LCP restriction shall be defined for this purpose.</w:t>
      </w:r>
    </w:p>
    <w:p>
      <w:bookmarkStart w:id="21" w:name="_Hlk82777779"/>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UE utilizes the t-Reassembly timer value that does not depend on the time-varying UE-gNB delay.</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network can configure the values of PDCP discardTimer and PDCP t-Reordering timer greater than the RLC t-Reassembly timer.</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21"/>
    <w:p/>
    <w:p/>
    <w:p>
      <w:pPr>
        <w:pStyle w:val="82"/>
        <w:pBdr>
          <w:top w:val="single" w:color="auto" w:sz="4" w:space="1"/>
          <w:left w:val="single" w:color="auto" w:sz="4" w:space="4"/>
          <w:bottom w:val="single" w:color="auto" w:sz="4" w:space="1"/>
          <w:right w:val="single" w:color="auto" w:sz="4" w:space="4"/>
        </w:pBdr>
        <w:ind w:left="1619" w:firstLine="0"/>
      </w:pPr>
      <w:r>
        <w:t>Agreements:</w:t>
      </w:r>
    </w:p>
    <w:p>
      <w:pPr>
        <w:pStyle w:val="82"/>
        <w:numPr>
          <w:ilvl w:val="0"/>
          <w:numId w:val="39"/>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When the network stops broadcasting a TAC, the UE needs to know it (FFS on further details)</w:t>
      </w:r>
    </w:p>
    <w:p>
      <w:pPr>
        <w:rPr>
          <w:iCs/>
        </w:rPr>
      </w:pPr>
    </w:p>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Rel-17 NTN will not rely only on network implementation to address the issue explained in agreement 1.</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Enhancements of the SMTC configuration is supported for Rel-17 NTN.</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Optional new UE assistance is defined in Rel-17 NTN for network to properly (re)configure the SMTC and/or measurement gap</w:t>
      </w:r>
    </w:p>
    <w:p/>
    <w:p>
      <w:pPr>
        <w:pStyle w:val="82"/>
        <w:pBdr>
          <w:top w:val="single" w:color="auto" w:sz="4" w:space="1"/>
          <w:left w:val="single" w:color="auto" w:sz="4" w:space="4"/>
          <w:bottom w:val="single" w:color="auto" w:sz="4" w:space="1"/>
          <w:right w:val="single" w:color="auto" w:sz="4" w:space="4"/>
        </w:pBdr>
        <w:ind w:left="1259" w:firstLine="0"/>
      </w:pPr>
      <w:r>
        <w:t>Agreements - via email (from offline [106])</w:t>
      </w:r>
    </w:p>
    <w:p>
      <w:pPr>
        <w:pStyle w:val="82"/>
        <w:numPr>
          <w:ilvl w:val="0"/>
          <w:numId w:val="41"/>
        </w:numPr>
        <w:pBdr>
          <w:top w:val="single" w:color="auto" w:sz="4" w:space="1"/>
          <w:left w:val="single" w:color="auto" w:sz="4" w:space="4"/>
          <w:bottom w:val="single" w:color="auto" w:sz="4" w:space="1"/>
          <w:right w:val="single" w:color="auto" w:sz="4" w:space="4"/>
        </w:pBdr>
        <w:spacing w:line="254" w:lineRule="auto"/>
      </w:pPr>
      <w:r>
        <w:rPr>
          <w:highlight w:val="yellow"/>
        </w:rPr>
        <w:t>For Rel-17 NTN, one or more SMTC configuration(s) associated to one frequency can be configured. FFS solution details.</w:t>
      </w:r>
    </w:p>
    <w:p>
      <w:pPr>
        <w:pStyle w:val="82"/>
        <w:pBdr>
          <w:top w:val="single" w:color="auto" w:sz="4" w:space="1"/>
          <w:left w:val="single" w:color="auto" w:sz="4" w:space="4"/>
          <w:bottom w:val="single" w:color="auto" w:sz="4" w:space="1"/>
          <w:right w:val="single" w:color="auto" w:sz="4" w:space="4"/>
        </w:pBdr>
        <w:ind w:left="1619" w:hanging="360"/>
        <w:rPr>
          <w:highlight w:val="yellow"/>
        </w:rPr>
      </w:pPr>
      <w:r>
        <w:rPr>
          <w:highlight w:val="yellow"/>
        </w:rPr>
        <w:t>-</w:t>
      </w:r>
      <w:r>
        <w:rPr>
          <w:highlight w:val="yellow"/>
        </w:rPr>
        <w:tab/>
      </w:r>
      <w:r>
        <w:rPr>
          <w:highlight w:val="yellow"/>
        </w:rPr>
        <w:t>The SMTC configuration can be associated with a set of cells (e.g., per satellite or any other suitable set per gNB determination).</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yellow"/>
        </w:rPr>
        <w:t>-</w:t>
      </w:r>
      <w:r>
        <w:rPr>
          <w:highlight w:val="yellow"/>
        </w:rPr>
        <w:tab/>
      </w:r>
      <w:r>
        <w:rPr>
          <w:highlight w:val="yellow"/>
        </w:rPr>
        <w:t>The multiple SMTC configurations are enabled by introducing different new offsets in addition to the legacy SMTC configuration.</w:t>
      </w:r>
      <w:r>
        <w:t xml:space="preserve"> FFS how the </w:t>
      </w:r>
      <w:r>
        <w:rPr>
          <w:highlight w:val="lightGray"/>
        </w:rPr>
        <w:t>offsets will be managed/signalled.</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 xml:space="preserve">FFS the following open questions: </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(a) can the UE be configured with multiple SMTCs per carrier and use them all in parallel?</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 xml:space="preserve">(b) How the NW knows which SMTC (incl. offsets/periodicity, etc.) is relevant for a particular UE? </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(c) Is there any validity: in time or for certain location only, foreseen in such multiple SMTC configuration?</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(d) What is the potential impact on the signalling, assuming this delay is a dynamic value?</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(e) What about the feeder link delay? Is it considered anywhere?</w:t>
      </w:r>
    </w:p>
    <w:p>
      <w:pPr>
        <w:pStyle w:val="82"/>
        <w:numPr>
          <w:ilvl w:val="0"/>
          <w:numId w:val="4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configuration of one or multiple offsets is left up to the network implementation.</w:t>
      </w:r>
    </w:p>
    <w:p>
      <w:pPr>
        <w:pStyle w:val="82"/>
        <w:numPr>
          <w:ilvl w:val="0"/>
          <w:numId w:val="4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up to network to update the SMTC configuration of the UE to accommodate the different propagation delays.</w:t>
      </w:r>
    </w:p>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4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Measurement gaps enhancements should be supported. FFS on the details</w:t>
      </w:r>
    </w:p>
    <w:p/>
    <w:p>
      <w:pPr>
        <w:pStyle w:val="82"/>
        <w:pBdr>
          <w:top w:val="single" w:color="auto" w:sz="4" w:space="1"/>
          <w:left w:val="single" w:color="auto" w:sz="4" w:space="4"/>
          <w:bottom w:val="single" w:color="auto" w:sz="4" w:space="1"/>
          <w:right w:val="single" w:color="auto" w:sz="4" w:space="4"/>
        </w:pBdr>
      </w:pPr>
      <w:r>
        <w:t>Agreements:</w:t>
      </w:r>
    </w:p>
    <w:p>
      <w:pPr>
        <w:pStyle w:val="82"/>
        <w:pBdr>
          <w:top w:val="single" w:color="auto" w:sz="4" w:space="1"/>
          <w:left w:val="single" w:color="auto" w:sz="4" w:space="4"/>
          <w:bottom w:val="single" w:color="auto" w:sz="4" w:space="1"/>
          <w:right w:val="single" w:color="auto" w:sz="4" w:space="4"/>
        </w:pBdr>
        <w:rPr>
          <w:highlight w:val="yellow"/>
        </w:rPr>
      </w:pPr>
      <w:r>
        <w:t>1.</w:t>
      </w:r>
      <w:r>
        <w:tab/>
      </w:r>
      <w:r>
        <w:rPr>
          <w:highlight w:val="green"/>
        </w:rPr>
        <w:t>Timing information in CHO execution triggering for NTN describes the time after which the UE is allowed to execute CHO to the candidate target cell.</w:t>
      </w: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2.</w:t>
      </w:r>
      <w:r>
        <w:rPr>
          <w:highlight w:val="yellow"/>
        </w:rPr>
        <w:tab/>
      </w:r>
      <w:r>
        <w:rPr>
          <w:highlight w:val="yellow"/>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pPr>
        <w:pStyle w:val="82"/>
        <w:pBdr>
          <w:top w:val="single" w:color="auto" w:sz="4" w:space="1"/>
          <w:left w:val="single" w:color="auto" w:sz="4" w:space="4"/>
          <w:bottom w:val="single" w:color="auto" w:sz="4" w:space="1"/>
          <w:right w:val="single" w:color="auto" w:sz="4" w:space="4"/>
        </w:pBdr>
      </w:pPr>
      <w:r>
        <w:rPr>
          <w:highlight w:val="yellow"/>
        </w:rPr>
        <w:t>3.</w:t>
      </w:r>
      <w:r>
        <w:rPr>
          <w:highlight w:val="yellow"/>
        </w:rPr>
        <w:tab/>
      </w:r>
      <w:r>
        <w:rPr>
          <w:highlight w:val="yellow"/>
        </w:rPr>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pPr>
        <w:rPr>
          <w:iCs/>
        </w:rPr>
      </w:pPr>
    </w:p>
    <w:p>
      <w:pPr>
        <w:rPr>
          <w:iCs/>
        </w:rPr>
      </w:pPr>
      <w:r>
        <w:rPr>
          <w:iCs/>
        </w:rPr>
        <w:t>RAN2#114</w:t>
      </w:r>
    </w:p>
    <w:p>
      <w:pPr>
        <w:pStyle w:val="82"/>
        <w:pBdr>
          <w:top w:val="single" w:color="auto" w:sz="4" w:space="1"/>
          <w:left w:val="single" w:color="auto" w:sz="4" w:space="4"/>
          <w:bottom w:val="single" w:color="auto" w:sz="4" w:space="1"/>
          <w:right w:val="single" w:color="auto" w:sz="4" w:space="4"/>
        </w:pBdr>
      </w:pPr>
      <w:r>
        <w:t>Agreement:</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4"/>
        </w:numPr>
        <w:pBdr>
          <w:top w:val="single" w:color="auto" w:sz="4" w:space="1"/>
          <w:left w:val="single" w:color="auto" w:sz="4" w:space="4"/>
          <w:bottom w:val="single" w:color="auto" w:sz="4" w:space="1"/>
          <w:right w:val="single" w:color="auto" w:sz="4" w:space="4"/>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pPr>
        <w:pStyle w:val="82"/>
        <w:pBdr>
          <w:top w:val="single" w:color="auto" w:sz="4" w:space="1"/>
          <w:left w:val="single" w:color="auto" w:sz="4" w:space="4"/>
          <w:bottom w:val="single" w:color="auto" w:sz="4" w:space="1"/>
          <w:right w:val="single" w:color="auto" w:sz="4" w:space="4"/>
        </w:pBdr>
      </w:pPr>
      <w:r>
        <w:t>Agreements via email (from offline 103):</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pPr>
      <w:r>
        <w:t>RAN2 working assumption: Offset for drx-HARQ-RTT-TimerUL is equal to UE-gNB RTT (if RAN1 decides something that requires to change this we can revisit it).</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pPr>
      <w:r>
        <w:t>drx-RetransmissionTimerDL timer length is not extended in NTN</w:t>
      </w:r>
    </w:p>
    <w:p>
      <w:pPr>
        <w:rPr>
          <w:iCs/>
        </w:rPr>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pPr>
      <w:r>
        <w:t>The drx-HARQ-RTT-TimerUL behaviour applied for each HARQ process is up to the network (e.g. to support NW scheduling strategy to avoid HARQ stalling).</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pPr>
      <w:r>
        <w:t>Repetition transmission based HARQ retransmission is always allowed and is explicitly indicated per HARQ process via DCI (as in legacy).</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pPr>
        <w:rPr>
          <w:iCs/>
        </w:rPr>
      </w:pP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pPr>
        <w:pStyle w:val="82"/>
        <w:numPr>
          <w:ilvl w:val="0"/>
          <w:numId w:val="4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pPr>
        <w:pStyle w:val="82"/>
        <w:numPr>
          <w:ilvl w:val="0"/>
          <w:numId w:val="4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pPr>
        <w:pStyle w:val="82"/>
        <w:ind w:left="1619" w:firstLine="0"/>
      </w:pPr>
    </w:p>
    <w:p>
      <w:pPr>
        <w:pStyle w:val="86"/>
      </w:pPr>
    </w:p>
    <w:p>
      <w:pPr>
        <w:pStyle w:val="82"/>
        <w:pBdr>
          <w:top w:val="single" w:color="auto" w:sz="4" w:space="1"/>
          <w:left w:val="single" w:color="auto" w:sz="4" w:space="4"/>
          <w:bottom w:val="single" w:color="auto" w:sz="4" w:space="1"/>
          <w:right w:val="single" w:color="auto" w:sz="4" w:space="4"/>
        </w:pBdr>
      </w:pPr>
      <w:r>
        <w:t>Agreements via email (from offline 104):</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rPr>
          <w:highlight w:val="yellow"/>
        </w:rPr>
      </w:pPr>
      <w:commentRangeStart w:id="1"/>
      <w:r>
        <w:rPr>
          <w:highlight w:val="yellow"/>
        </w:rPr>
        <w:t>The</w:t>
      </w:r>
      <w:commentRangeEnd w:id="1"/>
      <w:r>
        <w:rPr>
          <w:rStyle w:val="37"/>
          <w:rFonts w:eastAsia="Times New Roman" w:cs="Arial"/>
          <w:lang w:val="en-GB" w:eastAsia="ja-JP"/>
        </w:rPr>
        <w:commentReference w:id="1"/>
      </w:r>
      <w:r>
        <w:rPr>
          <w:highlight w:val="yellow"/>
        </w:rPr>
        <w:t xml:space="preserve"> reference location for the event description is defined as cell center.</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pPr>
      <w:r>
        <w:rPr>
          <w:highlight w:val="green"/>
        </w:rPr>
        <w:t>For CHO, joint configuration of location and RSRP as well as time and RSRP triggers are supported.</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idle mode reselection, based on configuration NTN UE can prioritise TN over NTN. Configuration details FFS</w:t>
      </w:r>
    </w:p>
    <w:p>
      <w:pPr>
        <w:pStyle w:val="86"/>
      </w:pP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rPr>
          <w:bCs/>
          <w:highlight w:val="green"/>
        </w:rPr>
      </w:pPr>
      <w:r>
        <w:rPr>
          <w:bCs/>
          <w:highlight w:val="green"/>
        </w:rPr>
        <w:t>Agreements via email (from offline 104 - second round):</w:t>
      </w:r>
    </w:p>
    <w:p>
      <w:pPr>
        <w:pStyle w:val="82"/>
        <w:numPr>
          <w:ilvl w:val="0"/>
          <w:numId w:val="50"/>
        </w:numPr>
        <w:pBdr>
          <w:top w:val="single" w:color="auto" w:sz="4" w:space="1"/>
          <w:left w:val="single" w:color="auto" w:sz="4" w:space="4"/>
          <w:bottom w:val="single" w:color="auto" w:sz="4" w:space="1"/>
          <w:right w:val="single" w:color="auto" w:sz="4" w:space="4"/>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pPr>
        <w:pStyle w:val="82"/>
        <w:numPr>
          <w:ilvl w:val="0"/>
          <w:numId w:val="5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from offline 108:</w:t>
      </w:r>
    </w:p>
    <w:p>
      <w:pPr>
        <w:pStyle w:val="82"/>
        <w:numPr>
          <w:ilvl w:val="0"/>
          <w:numId w:val="5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pPr>
        <w:rPr>
          <w:iCs/>
          <w:highlight w:val="lightGray"/>
        </w:rPr>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(from offline 108 - second round)</w:t>
      </w:r>
    </w:p>
    <w:p>
      <w:pPr>
        <w:pStyle w:val="82"/>
        <w:numPr>
          <w:ilvl w:val="0"/>
          <w:numId w:val="5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pPr>
        <w:rPr>
          <w:iCs/>
        </w:rPr>
      </w:pPr>
    </w:p>
    <w:p>
      <w:pPr>
        <w:rPr>
          <w:iCs/>
        </w:rPr>
      </w:pPr>
    </w:p>
    <w:p>
      <w:pPr>
        <w:rPr>
          <w:iCs/>
        </w:rPr>
      </w:pPr>
      <w:r>
        <w:rPr>
          <w:iCs/>
        </w:rPr>
        <w:t>RAN2#115</w:t>
      </w: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pPr>
      <w:r>
        <w:rPr>
          <w:highlight w:val="yellow"/>
        </w:rPr>
        <w:t>UE specific TA reporting during RACH procedure is enabled/disabled by SI</w:t>
      </w:r>
      <w:r>
        <w:t xml:space="preserve"> (FFS for RACH in connected mode)</w:t>
      </w:r>
    </w:p>
    <w:p>
      <w:pPr>
        <w:pStyle w:val="86"/>
      </w:pPr>
    </w:p>
    <w:p>
      <w:pPr>
        <w:pStyle w:val="82"/>
      </w:pPr>
    </w:p>
    <w:p>
      <w:pPr>
        <w:pStyle w:val="82"/>
        <w:pBdr>
          <w:top w:val="single" w:color="auto" w:sz="4" w:space="1"/>
          <w:left w:val="single" w:color="auto" w:sz="4" w:space="1"/>
          <w:bottom w:val="single" w:color="auto" w:sz="4" w:space="1"/>
          <w:right w:val="single" w:color="auto" w:sz="4" w:space="1"/>
        </w:pBdr>
      </w:pPr>
      <w:r>
        <w:t>Agreements:</w:t>
      </w:r>
    </w:p>
    <w:p>
      <w:pPr>
        <w:pStyle w:val="82"/>
        <w:numPr>
          <w:ilvl w:val="0"/>
          <w:numId w:val="54"/>
        </w:numPr>
        <w:pBdr>
          <w:top w:val="single" w:color="auto" w:sz="4" w:space="1"/>
          <w:left w:val="single" w:color="auto" w:sz="4" w:space="1"/>
          <w:bottom w:val="single" w:color="auto" w:sz="4" w:space="1"/>
          <w:right w:val="single" w:color="auto" w:sz="4" w:space="1"/>
        </w:pBdr>
        <w:spacing w:line="254" w:lineRule="auto"/>
      </w:pPr>
      <w:r>
        <w:t>In the MAC specification section 5.1.5, delay the start of ra-ContentionResolutionTimer by the UE-gNB RTT (i.e. sum of UE's TA and K_mac)</w:t>
      </w:r>
    </w:p>
    <w:p>
      <w:pPr>
        <w:pStyle w:val="82"/>
      </w:pPr>
    </w:p>
    <w:p>
      <w:pPr>
        <w:pStyle w:val="82"/>
        <w:ind w:left="0" w:firstLine="0"/>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lightGray"/>
        </w:rPr>
      </w:pPr>
      <w:r>
        <w:rPr>
          <w:szCs w:val="20"/>
          <w:highlight w:val="lightGray"/>
        </w:rPr>
        <w:t>Reporting on the information about UE specific TA in connected mode is supported, FFS via RRC signalling or MAC CE</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108"/>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108"/>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108"/>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108"/>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Information about UE specific TA pre-compensation is not reported in RA procedures triggered due to “Request for Other SI”</w:t>
      </w:r>
    </w:p>
    <w:p>
      <w:pPr>
        <w:pStyle w:val="82"/>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106 second round:</w:t>
      </w:r>
    </w:p>
    <w:p>
      <w:pPr>
        <w:pStyle w:val="82"/>
        <w:numPr>
          <w:ilvl w:val="0"/>
          <w:numId w:val="56"/>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event-triggers for reporting information about UE specific TA are based on TA values (confirmation from RAN1 is needed)</w:t>
      </w:r>
    </w:p>
    <w:p>
      <w:pPr>
        <w:pStyle w:val="82"/>
        <w:numPr>
          <w:ilvl w:val="0"/>
          <w:numId w:val="56"/>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pPr>
        <w:pStyle w:val="82"/>
        <w:numPr>
          <w:ilvl w:val="0"/>
          <w:numId w:val="56"/>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event-triggers for reporting information about UE specific TA based on time threshold is not supported in NTN.</w:t>
      </w:r>
    </w:p>
    <w:p>
      <w:pPr>
        <w:pStyle w:val="82"/>
        <w:numPr>
          <w:ilvl w:val="0"/>
          <w:numId w:val="56"/>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pPr>
        <w:pStyle w:val="82"/>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106 third round:</w:t>
      </w:r>
    </w:p>
    <w:p>
      <w:pPr>
        <w:pStyle w:val="82"/>
        <w:numPr>
          <w:ilvl w:val="0"/>
          <w:numId w:val="57"/>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82"/>
        <w:numPr>
          <w:ilvl w:val="0"/>
          <w:numId w:val="57"/>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If the reported content of information about UE specific TA is UE location information in connected mode, RRC signalling is used to report.</w:t>
      </w: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online:</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82"/>
        <w:pBdr>
          <w:top w:val="single" w:color="auto" w:sz="4" w:space="1"/>
          <w:left w:val="single" w:color="auto" w:sz="4" w:space="4"/>
          <w:bottom w:val="single" w:color="auto" w:sz="4" w:space="1"/>
          <w:right w:val="single" w:color="auto" w:sz="4" w:space="4"/>
        </w:pBdr>
        <w:ind w:left="1259" w:firstLine="0"/>
      </w:pPr>
      <w:r>
        <w:t>Working Assumption:</w:t>
      </w:r>
    </w:p>
    <w:p>
      <w:pPr>
        <w:pStyle w:val="82"/>
        <w:numPr>
          <w:ilvl w:val="0"/>
          <w:numId w:val="59"/>
        </w:numPr>
        <w:pBdr>
          <w:top w:val="single" w:color="auto" w:sz="4" w:space="1"/>
          <w:left w:val="single" w:color="auto" w:sz="4" w:space="4"/>
          <w:bottom w:val="single" w:color="auto" w:sz="4" w:space="1"/>
          <w:right w:val="single" w:color="auto" w:sz="4" w:space="4"/>
        </w:pBdr>
        <w:spacing w:line="254" w:lineRule="auto"/>
      </w:pPr>
      <w:r>
        <w:t>If the reported content of information about UE specific TA is TA pre-compensation value in connected mode, MAC CE is used to report</w:t>
      </w:r>
    </w:p>
    <w:p>
      <w:pPr>
        <w:pStyle w:val="82"/>
        <w:ind w:left="1259" w:firstLine="0"/>
      </w:pPr>
    </w:p>
    <w:p>
      <w:pPr>
        <w:pStyle w:val="86"/>
      </w:pPr>
    </w:p>
    <w:p>
      <w:pPr>
        <w:pStyle w:val="82"/>
        <w:pBdr>
          <w:top w:val="single" w:color="auto" w:sz="4" w:space="1"/>
          <w:left w:val="single" w:color="auto" w:sz="4" w:space="1"/>
          <w:bottom w:val="single" w:color="auto" w:sz="4" w:space="1"/>
          <w:right w:val="single" w:color="auto" w:sz="4" w:space="1"/>
        </w:pBdr>
      </w:pPr>
      <w:r>
        <w:t>Agreements:</w:t>
      </w:r>
    </w:p>
    <w:p>
      <w:pPr>
        <w:pStyle w:val="82"/>
        <w:numPr>
          <w:ilvl w:val="0"/>
          <w:numId w:val="60"/>
        </w:numPr>
        <w:pBdr>
          <w:top w:val="single" w:color="auto" w:sz="4" w:space="1"/>
          <w:left w:val="single" w:color="auto" w:sz="4" w:space="1"/>
          <w:bottom w:val="single" w:color="auto" w:sz="4" w:space="1"/>
          <w:right w:val="single" w:color="auto" w:sz="4" w:space="1"/>
        </w:pBdr>
        <w:spacing w:line="254" w:lineRule="auto"/>
      </w:pPr>
      <w:r>
        <w:t>Confirm the RAN2 working assumption that offset to drx-HARQ-RTT-TimerUL length is equal to UE-gNB RTT (i.e. sum on UE's TA and K_mac).</w:t>
      </w:r>
    </w:p>
    <w:p>
      <w:pPr>
        <w:pStyle w:val="82"/>
        <w:numPr>
          <w:ilvl w:val="0"/>
          <w:numId w:val="60"/>
        </w:numPr>
        <w:pBdr>
          <w:top w:val="single" w:color="auto" w:sz="4" w:space="1"/>
          <w:left w:val="single" w:color="auto" w:sz="4" w:space="1"/>
          <w:bottom w:val="single" w:color="auto" w:sz="4" w:space="1"/>
          <w:right w:val="single" w:color="auto" w:sz="4" w:space="1"/>
        </w:pBdr>
        <w:spacing w:line="254" w:lineRule="auto"/>
      </w:pPr>
      <w:r>
        <w:t>Confirm the RAN2 working assumption that for HARQ processes with DL HARQ feedback enabled, the drx-HARQ-RTT-TimerDL length is increased by an offset equal to UE-gNB RTT (i.e. sum on UE's TA and K_mac).</w:t>
      </w:r>
    </w:p>
    <w:p>
      <w:pPr>
        <w:pStyle w:val="82"/>
        <w:numPr>
          <w:ilvl w:val="0"/>
          <w:numId w:val="60"/>
        </w:numPr>
        <w:pBdr>
          <w:top w:val="single" w:color="auto" w:sz="4" w:space="1"/>
          <w:left w:val="single" w:color="auto" w:sz="4" w:space="1"/>
          <w:bottom w:val="single" w:color="auto" w:sz="4" w:space="1"/>
          <w:right w:val="single" w:color="auto" w:sz="4" w:space="1"/>
        </w:pBdr>
        <w:spacing w:line="254" w:lineRule="auto"/>
      </w:pPr>
      <w:r>
        <w:t>No new LCP restrictions are introduced for exisiting UL MAC CEs (if new MAC CEs will be introduced we can revisit this)</w:t>
      </w:r>
    </w:p>
    <w:p>
      <w:pPr>
        <w:pStyle w:val="82"/>
        <w:numPr>
          <w:ilvl w:val="0"/>
          <w:numId w:val="60"/>
        </w:numPr>
        <w:pBdr>
          <w:top w:val="single" w:color="auto" w:sz="4" w:space="1"/>
          <w:left w:val="single" w:color="auto" w:sz="4" w:space="1"/>
          <w:bottom w:val="single" w:color="auto" w:sz="4" w:space="1"/>
          <w:right w:val="single" w:color="auto" w:sz="4" w:space="1"/>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pPr>
        <w:pStyle w:val="86"/>
        <w:numPr>
          <w:ilvl w:val="0"/>
          <w:numId w:val="60"/>
        </w:numPr>
        <w:spacing w:line="254" w:lineRule="auto"/>
      </w:pPr>
    </w:p>
    <w:p>
      <w:pPr>
        <w:pStyle w:val="82"/>
        <w:numPr>
          <w:ilvl w:val="0"/>
          <w:numId w:val="60"/>
        </w:numPr>
        <w:pBdr>
          <w:top w:val="single" w:color="auto" w:sz="4" w:space="1"/>
          <w:left w:val="single" w:color="auto" w:sz="4" w:space="4"/>
          <w:bottom w:val="single" w:color="auto" w:sz="4" w:space="1"/>
          <w:right w:val="single" w:color="auto" w:sz="4" w:space="4"/>
        </w:pBdr>
        <w:spacing w:line="254" w:lineRule="auto"/>
      </w:pPr>
      <w:r>
        <w:t>Agreements via email - from offline 101:</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pPr>
      <w:r>
        <w:t>1a.</w:t>
      </w:r>
      <w:r>
        <w:tab/>
      </w:r>
      <w:r>
        <w:t>For at least dynamic grants, the network may optionally configure an UL HARQ retransmission state per HARQ process. Two UL HARQ retransmission states are defined in NTN: HARQ state A and HARQ state B (FFS whether "HARQ state A" and "HARQ state B" should be renamed)</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1b.</w:t>
      </w:r>
      <w:r>
        <w:rPr>
          <w:highlight w:val="yellow"/>
        </w:rPr>
        <w:tab/>
      </w:r>
      <w:r>
        <w:rPr>
          <w:highlight w:val="yellow"/>
        </w:rPr>
        <w:t>HARQ state A/B are defined as follows:</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b/>
      </w:r>
      <w:r>
        <w:rPr>
          <w:highlight w:val="yellow"/>
        </w:rPr>
        <w:t>-</w:t>
      </w:r>
      <w:r>
        <w:rPr>
          <w:highlight w:val="yellow"/>
        </w:rPr>
        <w:tab/>
      </w:r>
      <w:r>
        <w:rPr>
          <w:highlight w:val="yellow"/>
        </w:rPr>
        <w:t>HARQ state A: length of drx-HARQ-RTT-TimerUL is extended by UE-gNB RTT (i.e. UE PDCCH monitoring is optimized to support UL retransmission grant based on UL decoding result).</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b/>
      </w:r>
      <w:r>
        <w:rPr>
          <w:highlight w:val="yellow"/>
        </w:rPr>
        <w:t>-</w:t>
      </w:r>
      <w:r>
        <w:rPr>
          <w:highlight w:val="yellow"/>
        </w:rPr>
        <w:tab/>
      </w:r>
      <w:r>
        <w:rPr>
          <w:highlight w:val="yellow"/>
        </w:rPr>
        <w:t xml:space="preserve">HARQ state B:  drx-HARQ-RTT-TimerUL is not started. </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2.</w:t>
      </w:r>
      <w:r>
        <w:rPr>
          <w:highlight w:val="yellow"/>
        </w:rPr>
        <w:tab/>
      </w:r>
      <w:r>
        <w:rPr>
          <w:highlight w:val="yellow"/>
        </w:rPr>
        <w:t>Configuration of UL HARQ retransmission state is semi-static, signalled via RRC, and the decision and criteria to configure UL HARQ retransmission state is under network control.</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3.</w:t>
      </w:r>
      <w:r>
        <w:rPr>
          <w:highlight w:val="yellow"/>
        </w:rPr>
        <w:tab/>
      </w:r>
      <w:r>
        <w:rPr>
          <w:highlight w:val="yellow"/>
        </w:rPr>
        <w:t>For dynamic grants, each LCH can be optionally mapped to an UL HARQ retransmission state via semi-static RRC configuration. If there is no configuration, the mapping has no effect (legacy behaviour applies).</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pPr>
      <w:r>
        <w:t>4.</w:t>
      </w:r>
      <w:r>
        <w:tab/>
      </w:r>
      <w:r>
        <w:t>If HARQ process has not been configured with an UL HARQ retransmission state, new LCH mapping rule has no effect (i.e. UE applies legacy behaviour).</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pPr>
      <w:r>
        <w:t>5.</w:t>
      </w:r>
      <w:r>
        <w:tab/>
      </w:r>
      <w:r>
        <w:t>The following behaviours are supported for drx-HARQ-RTT-TimerUL in NTN per HARQ process: 1) Timer length is extended by offset; 2) Timer disabled (i.e. not started)</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pPr>
      <w:r>
        <w:t>6.</w:t>
      </w:r>
      <w:r>
        <w:tab/>
      </w:r>
      <w:r>
        <w:t>UE determines drx-HARQ-RTT-TimerUL behaviour per HARQ process based on configured UL HARQ retransmission state.</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7.</w:t>
      </w:r>
      <w:r>
        <w:rPr>
          <w:highlight w:val="lightGray"/>
        </w:rPr>
        <w:tab/>
      </w:r>
      <w:r>
        <w:rPr>
          <w:highlight w:val="lightGray"/>
        </w:rPr>
        <w:t>For HARQ process(es) not configured with an UL HARQ retransmission state, drx-HARQ-RTT-TimerUL and drx-RetransmissionTimerUL behave as per legacy.</w:t>
      </w: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101 second round:</w:t>
      </w:r>
    </w:p>
    <w:p>
      <w:pPr>
        <w:pStyle w:val="82"/>
        <w:numPr>
          <w:ilvl w:val="0"/>
          <w:numId w:val="6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pPr>
        <w:pStyle w:val="82"/>
        <w:pBdr>
          <w:top w:val="single" w:color="auto" w:sz="4" w:space="1"/>
          <w:left w:val="single" w:color="auto" w:sz="4" w:space="4"/>
          <w:bottom w:val="single" w:color="auto" w:sz="4" w:space="1"/>
          <w:right w:val="single" w:color="auto" w:sz="4" w:space="4"/>
        </w:pBdr>
      </w:pPr>
      <w:r>
        <w:t>2.</w:t>
      </w:r>
      <w:r>
        <w:tab/>
      </w:r>
      <w:r>
        <w:rPr>
          <w:highlight w:val="lightGray"/>
        </w:rPr>
        <w:t>The network may consider delay and reliability characteristics of ongoing services when choosing to configure an UL HARQ retransmission state.</w:t>
      </w:r>
    </w:p>
    <w:p>
      <w:pPr>
        <w:pStyle w:val="82"/>
        <w:pBdr>
          <w:top w:val="single" w:color="auto" w:sz="4" w:space="1"/>
          <w:left w:val="single" w:color="auto" w:sz="4" w:space="4"/>
          <w:bottom w:val="single" w:color="auto" w:sz="4" w:space="1"/>
          <w:right w:val="single" w:color="auto" w:sz="4" w:space="4"/>
        </w:pBdr>
      </w:pPr>
      <w:r>
        <w:t>3.</w:t>
      </w:r>
      <w:r>
        <w:tab/>
      </w:r>
      <w:r>
        <w:rPr>
          <w:highlight w:val="yellow"/>
        </w:rPr>
        <w:t>Alternative naming for HARQ state A/B can be further considered during stage 3, however UE behaviour in each state should be defined in specification.</w:t>
      </w:r>
    </w:p>
    <w:p>
      <w:pPr>
        <w:pStyle w:val="82"/>
        <w:pBdr>
          <w:top w:val="single" w:color="auto" w:sz="4" w:space="1"/>
          <w:left w:val="single" w:color="auto" w:sz="4" w:space="4"/>
          <w:bottom w:val="single" w:color="auto" w:sz="4" w:space="1"/>
          <w:right w:val="single" w:color="auto" w:sz="4" w:space="4"/>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pPr>
        <w:pStyle w:val="82"/>
        <w:pBdr>
          <w:top w:val="single" w:color="auto" w:sz="4" w:space="1"/>
          <w:left w:val="single" w:color="auto" w:sz="4" w:space="4"/>
          <w:bottom w:val="single" w:color="auto" w:sz="4" w:space="1"/>
          <w:right w:val="single" w:color="auto" w:sz="4" w:space="4"/>
        </w:pBdr>
      </w:pPr>
      <w:r>
        <w:t>5.</w:t>
      </w:r>
      <w:r>
        <w:tab/>
      </w:r>
      <w:r>
        <w:rPr>
          <w:highlight w:val="lightGray"/>
        </w:rPr>
        <w:t>RAN2 understanding is that UE behaviour in HARQ state B (i.e. not starting drx-HARQ-RTT-TimerUL) best supports no UL retransmission and/or blind UL retransmission. (No RAN2 specification impact)</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6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HARQ state B, FFS to run drx-RetransmissionTimerUL for blind UL retransmission</w:t>
      </w:r>
    </w:p>
    <w:p>
      <w:pPr>
        <w:pStyle w:val="82"/>
        <w:numPr>
          <w:ilvl w:val="0"/>
          <w:numId w:val="6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pPr>
        <w:pStyle w:val="86"/>
      </w:pPr>
    </w:p>
    <w:p>
      <w:pPr>
        <w:pStyle w:val="86"/>
      </w:pPr>
      <w:bookmarkStart w:id="22" w:name="_Hlk82777833"/>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Introduce a new t-ReassemblyExt-r17 IE, which is optional present for NTN network scenario.</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Introduce a new discardTimerExt-r17 IE with a new value ms2000 and several spare bits for future extension. </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22"/>
    <w:p>
      <w:pPr>
        <w:pStyle w:val="82"/>
      </w:pPr>
    </w:p>
    <w:p>
      <w:pPr>
        <w:pStyle w:val="82"/>
      </w:pPr>
    </w:p>
    <w:p>
      <w:pPr>
        <w:pStyle w:val="82"/>
        <w:pBdr>
          <w:top w:val="single" w:color="auto" w:sz="4" w:space="1"/>
          <w:left w:val="single" w:color="auto" w:sz="4" w:space="4"/>
          <w:bottom w:val="single" w:color="auto" w:sz="4" w:space="1"/>
          <w:right w:val="single" w:color="auto" w:sz="4" w:space="4"/>
        </w:pBdr>
        <w:ind w:left="720" w:firstLine="0"/>
      </w:pPr>
      <w:r>
        <w:rPr>
          <w:highlight w:val="green"/>
        </w:rPr>
        <w:t>Agreements:</w:t>
      </w:r>
    </w:p>
    <w:p>
      <w:pPr>
        <w:pStyle w:val="82"/>
        <w:numPr>
          <w:ilvl w:val="0"/>
          <w:numId w:val="6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pPr>
        <w:pStyle w:val="82"/>
        <w:numPr>
          <w:ilvl w:val="0"/>
          <w:numId w:val="6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pPr>
        <w:pStyle w:val="82"/>
        <w:ind w:left="720" w:firstLine="0"/>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Agreements via email - via offline 102:</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For coarse UE location reporting during initial access, the location granularity is not indicated to UE via SIB</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Aperiodic location reporting (e.g., via DCI) is not supported.</w:t>
      </w:r>
    </w:p>
    <w:p>
      <w:pPr>
        <w:pStyle w:val="82"/>
        <w:pBdr>
          <w:top w:val="single" w:color="auto" w:sz="4" w:space="1"/>
          <w:left w:val="single" w:color="auto" w:sz="4" w:space="4"/>
          <w:bottom w:val="single" w:color="auto" w:sz="4" w:space="1"/>
          <w:right w:val="single" w:color="auto" w:sz="4" w:space="4"/>
        </w:pBdr>
      </w:pPr>
      <w:r>
        <w:rPr>
          <w:highlight w:val="green"/>
        </w:rPr>
        <w:t>Working assumption:</w:t>
      </w:r>
    </w:p>
    <w:p>
      <w:pPr>
        <w:pStyle w:val="82"/>
        <w:numPr>
          <w:ilvl w:val="0"/>
          <w:numId w:val="66"/>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Event triggered-based UE location reporting are configured by gNB to obtain UE location update of mobile UEs in RRC_CONNECTED</w:t>
      </w:r>
    </w:p>
    <w:p>
      <w:pPr>
        <w:pStyle w:val="82"/>
      </w:pPr>
    </w:p>
    <w:p>
      <w:pPr>
        <w:pStyle w:val="82"/>
        <w:ind w:left="0" w:firstLine="0"/>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102 second round:</w:t>
      </w:r>
    </w:p>
    <w:p>
      <w:pPr>
        <w:pStyle w:val="82"/>
        <w:numPr>
          <w:ilvl w:val="0"/>
          <w:numId w:val="6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Send new LS to SA3 for the need of NTN specific user consent for obtaining UE location by gNB."</w:t>
      </w:r>
    </w:p>
    <w:p>
      <w:pPr>
        <w:pStyle w:val="82"/>
        <w:ind w:left="0" w:firstLine="0"/>
      </w:pPr>
    </w:p>
    <w:p>
      <w:pPr>
        <w:pStyle w:val="82"/>
        <w:pBdr>
          <w:top w:val="single" w:color="auto" w:sz="4" w:space="1"/>
          <w:left w:val="single" w:color="auto" w:sz="4" w:space="1"/>
          <w:bottom w:val="single" w:color="auto" w:sz="4" w:space="1"/>
          <w:right w:val="single" w:color="auto" w:sz="4" w:space="1"/>
        </w:pBdr>
      </w:pPr>
      <w:r>
        <w:rPr>
          <w:highlight w:val="green"/>
        </w:rPr>
        <w:t>Agreements online:</w:t>
      </w:r>
    </w:p>
    <w:p>
      <w:pPr>
        <w:pStyle w:val="82"/>
        <w:numPr>
          <w:ilvl w:val="0"/>
          <w:numId w:val="68"/>
        </w:numPr>
        <w:pBdr>
          <w:top w:val="single" w:color="auto" w:sz="4" w:space="1"/>
          <w:left w:val="single" w:color="auto" w:sz="4" w:space="1"/>
          <w:bottom w:val="single" w:color="auto" w:sz="4" w:space="1"/>
          <w:right w:val="single" w:color="auto" w:sz="4" w:space="1"/>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pPr>
        <w:pStyle w:val="82"/>
        <w:numPr>
          <w:ilvl w:val="0"/>
          <w:numId w:val="68"/>
        </w:numPr>
        <w:pBdr>
          <w:top w:val="single" w:color="auto" w:sz="4" w:space="1"/>
          <w:left w:val="single" w:color="auto" w:sz="4" w:space="1"/>
          <w:bottom w:val="single" w:color="auto" w:sz="4" w:space="1"/>
          <w:right w:val="single" w:color="auto" w:sz="4" w:space="1"/>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pPr>
        <w:pStyle w:val="82"/>
        <w:ind w:left="0" w:firstLine="0"/>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107:</w:t>
      </w:r>
    </w:p>
    <w:p>
      <w:pPr>
        <w:pStyle w:val="82"/>
        <w:numPr>
          <w:ilvl w:val="0"/>
          <w:numId w:val="6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RAN2 confirms AS indicates to NAS layer all received TACs per PLMN. </w:t>
      </w:r>
    </w:p>
    <w:p>
      <w:pPr>
        <w:pStyle w:val="82"/>
        <w:numPr>
          <w:ilvl w:val="0"/>
          <w:numId w:val="69"/>
        </w:numPr>
        <w:pBdr>
          <w:top w:val="single" w:color="auto" w:sz="4" w:space="1"/>
          <w:left w:val="single" w:color="auto" w:sz="4" w:space="4"/>
          <w:bottom w:val="single" w:color="auto" w:sz="4" w:space="1"/>
          <w:right w:val="single" w:color="auto" w:sz="4" w:space="4"/>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pPr>
        <w:pStyle w:val="82"/>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108:</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yellow"/>
        </w:rPr>
      </w:pPr>
      <w:commentRangeStart w:id="2"/>
      <w:r>
        <w:rPr>
          <w:highlight w:val="yellow"/>
        </w:rPr>
        <w:t xml:space="preserve">For </w:t>
      </w:r>
      <w:commentRangeEnd w:id="2"/>
      <w:r>
        <w:rPr>
          <w:rStyle w:val="37"/>
          <w:rFonts w:eastAsia="Times New Roman" w:cs="Arial"/>
          <w:lang w:val="en-GB" w:eastAsia="ja-JP"/>
        </w:rPr>
        <w:commentReference w:id="2"/>
      </w:r>
      <w:r>
        <w:rPr>
          <w:highlight w:val="yellow"/>
        </w:rPr>
        <w:t>quasi-earth fixed cell, the reference location of the cell (serving cell or the neighbor cells) is broadcast in system information</w:t>
      </w:r>
    </w:p>
    <w:p>
      <w:pPr>
        <w:pStyle w:val="86"/>
      </w:pPr>
    </w:p>
    <w:p>
      <w:pPr>
        <w:pStyle w:val="86"/>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108 third round:</w:t>
      </w:r>
    </w:p>
    <w:p>
      <w:pPr>
        <w:pStyle w:val="82"/>
        <w:numPr>
          <w:ilvl w:val="0"/>
          <w:numId w:val="7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quasi-earth fixed cell, UE should start measurements on neighbour cells before the serving cell stops covering the current area.</w:t>
      </w:r>
    </w:p>
    <w:p>
      <w:pPr>
        <w:pStyle w:val="82"/>
        <w:numPr>
          <w:ilvl w:val="0"/>
          <w:numId w:val="7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pPr>
        <w:pStyle w:val="82"/>
        <w:numPr>
          <w:ilvl w:val="0"/>
          <w:numId w:val="7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Assumptions:</w:t>
      </w:r>
    </w:p>
    <w:p>
      <w:pPr>
        <w:pStyle w:val="82"/>
        <w:numPr>
          <w:ilvl w:val="0"/>
          <w:numId w:val="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Combination of serving and target cell reference location is supported for location report trigger event and for CHO location trigger</w:t>
      </w:r>
    </w:p>
    <w:p>
      <w:pPr>
        <w:pStyle w:val="82"/>
        <w:numPr>
          <w:ilvl w:val="0"/>
          <w:numId w:val="7"/>
        </w:numPr>
        <w:pBdr>
          <w:top w:val="single" w:color="auto" w:sz="4" w:space="1"/>
          <w:left w:val="single" w:color="auto" w:sz="4" w:space="4"/>
          <w:bottom w:val="single" w:color="auto" w:sz="4" w:space="1"/>
          <w:right w:val="single" w:color="auto" w:sz="4" w:space="4"/>
        </w:pBdr>
        <w:spacing w:line="254" w:lineRule="auto"/>
        <w:rPr>
          <w:highlight w:val="yellow"/>
        </w:rPr>
      </w:pPr>
      <w:commentRangeStart w:id="3"/>
      <w:r>
        <w:rPr>
          <w:highlight w:val="yellow"/>
        </w:rPr>
        <w:t>Sp</w:t>
      </w:r>
      <w:commentRangeEnd w:id="3"/>
      <w:r>
        <w:rPr>
          <w:rStyle w:val="37"/>
          <w:rFonts w:eastAsia="Times New Roman" w:cs="Arial"/>
          <w:lang w:val="en-GB" w:eastAsia="ja-JP"/>
        </w:rPr>
        <w:commentReference w:id="3"/>
      </w:r>
      <w:r>
        <w:rPr>
          <w:highlight w:val="yellow"/>
        </w:rPr>
        <w:t>ecify that measurement reports can be configured to be piggybacked with location report when location based event triggers it</w:t>
      </w:r>
    </w:p>
    <w:p>
      <w:pPr>
        <w:pStyle w:val="82"/>
        <w:pBdr>
          <w:top w:val="single" w:color="auto" w:sz="4" w:space="1"/>
          <w:left w:val="single" w:color="auto" w:sz="4" w:space="4"/>
          <w:bottom w:val="single" w:color="auto" w:sz="4" w:space="1"/>
          <w:right w:val="single" w:color="auto" w:sz="4" w:space="4"/>
        </w:pBdr>
        <w:ind w:left="1259" w:firstLine="0"/>
      </w:pPr>
      <w:bookmarkStart w:id="23" w:name="_Hlk82785196"/>
      <w:r>
        <w:rPr>
          <w:highlight w:val="green"/>
        </w:rPr>
        <w:t>Agreements via email - from offline 103:</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pPr>
        <w:pStyle w:val="82"/>
        <w:pBdr>
          <w:top w:val="single" w:color="auto" w:sz="4" w:space="1"/>
          <w:left w:val="single" w:color="auto" w:sz="4" w:space="4"/>
          <w:bottom w:val="single" w:color="auto" w:sz="4" w:space="1"/>
          <w:right w:val="single" w:color="auto" w:sz="4" w:space="4"/>
        </w:pBdr>
      </w:pPr>
      <w:r>
        <w:rPr>
          <w:highlight w:val="green"/>
        </w:rPr>
        <w:tab/>
      </w:r>
      <w:r>
        <w:rPr>
          <w:highlight w:val="green"/>
        </w:rPr>
        <w:t>FFS other options</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Specify hysteresis and time to trigger for the location event for RRM and CHO</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Timing information from RRCReconfiguration message in RRC running CR is removed</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UE is allowed to perform HO only during T1 to T2</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Agree to limit to A or B and continue discussion between options A and B</w:t>
      </w:r>
    </w:p>
    <w:p>
      <w:pPr>
        <w:pStyle w:val="82"/>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Option A: UTC time + duration/timer, e.g. 00:00:01 + 40s</w:t>
      </w:r>
    </w:p>
    <w:p>
      <w:pPr>
        <w:pStyle w:val="82"/>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Option B: Two UTC time to indicate the start (T1) and end time (T2) of the candidate cell, e.g. 00:00:01 + 00:00:41</w:t>
      </w:r>
    </w:p>
    <w:p>
      <w:pPr>
        <w:pStyle w:val="86"/>
        <w:rPr>
          <w:highlight w:val="green"/>
        </w:rPr>
      </w:pPr>
    </w:p>
    <w:p>
      <w:pPr>
        <w:pStyle w:val="86"/>
        <w:rPr>
          <w:highlight w:val="green"/>
        </w:rPr>
      </w:pPr>
    </w:p>
    <w:p>
      <w:pPr>
        <w:pStyle w:val="82"/>
        <w:pBdr>
          <w:top w:val="single" w:color="auto" w:sz="4" w:space="1"/>
          <w:left w:val="single" w:color="auto" w:sz="4" w:space="4"/>
          <w:bottom w:val="single" w:color="auto" w:sz="4" w:space="1"/>
          <w:right w:val="single" w:color="auto" w:sz="4" w:space="4"/>
        </w:pBdr>
        <w:rPr>
          <w:highlight w:val="green"/>
        </w:rPr>
      </w:pPr>
      <w:r>
        <w:rPr>
          <w:highlight w:val="green"/>
        </w:rPr>
        <w:t>Agreements via email - from offline 103 second round:</w:t>
      </w:r>
    </w:p>
    <w:p>
      <w:pPr>
        <w:pStyle w:val="82"/>
        <w:numPr>
          <w:ilvl w:val="0"/>
          <w:numId w:val="74"/>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RAN2 adopts Option 1: UTC time + duration/timer, e.g. 00:00:01 + 40s for representing T1 and T2 for CHO time event.</w:t>
      </w:r>
    </w:p>
    <w:p>
      <w:pPr>
        <w:pStyle w:val="82"/>
        <w:pBdr>
          <w:top w:val="single" w:color="auto" w:sz="4" w:space="1"/>
          <w:left w:val="single" w:color="auto" w:sz="4" w:space="4"/>
          <w:bottom w:val="single" w:color="auto" w:sz="4" w:space="1"/>
          <w:right w:val="single" w:color="auto" w:sz="4" w:space="4"/>
        </w:pBdr>
      </w:pPr>
      <w:r>
        <w:rPr>
          <w:highlight w:val="green"/>
        </w:rPr>
        <w:t>2.</w:t>
      </w:r>
      <w:r>
        <w:rPr>
          <w:highlight w:val="green"/>
        </w:rPr>
        <w:tab/>
      </w:r>
      <w:r>
        <w:rPr>
          <w:highlight w:val="green"/>
        </w:rPr>
        <w:t>RAN2 adopts options C: location and RRM and D: time and RRM to be configuration options for CHO</w:t>
      </w: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3.</w:t>
      </w:r>
      <w:r>
        <w:rPr>
          <w:highlight w:val="lightGray"/>
        </w:rPr>
        <w:tab/>
      </w:r>
      <w:r>
        <w:rPr>
          <w:highlight w:val="lightGray"/>
        </w:rPr>
        <w:t>RAN2 down priorities further enhacnements for connected mode for Rel-17 for TN-NTN mobility</w:t>
      </w:r>
      <w:r>
        <w:rPr>
          <w:highlight w:val="lightGray"/>
        </w:rPr>
        <w:tab/>
      </w:r>
    </w:p>
    <w:p>
      <w:pPr>
        <w:pStyle w:val="82"/>
        <w:pBdr>
          <w:top w:val="single" w:color="auto" w:sz="4" w:space="1"/>
          <w:left w:val="single" w:color="auto" w:sz="4" w:space="4"/>
          <w:bottom w:val="single" w:color="auto" w:sz="4" w:space="1"/>
          <w:right w:val="single" w:color="auto" w:sz="4" w:space="4"/>
        </w:pBdr>
      </w:pPr>
      <w:r>
        <w:rPr>
          <w:highlight w:val="lightGray"/>
        </w:rPr>
        <w:t>4.</w:t>
      </w:r>
      <w:r>
        <w:rPr>
          <w:highlight w:val="lightGray"/>
        </w:rPr>
        <w:tab/>
      </w:r>
      <w:r>
        <w:rPr>
          <w:highlight w:val="lightGray"/>
        </w:rPr>
        <w:t>RAN2 continue discussing the exact solution for TN priorization over NTN for idle mode</w:t>
      </w:r>
      <w:r>
        <w:tab/>
      </w:r>
    </w:p>
    <w:bookmarkEnd w:id="23"/>
    <w:p>
      <w:pPr>
        <w:pStyle w:val="86"/>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112:</w:t>
      </w:r>
    </w:p>
    <w:p>
      <w:pPr>
        <w:pStyle w:val="82"/>
        <w:numPr>
          <w:ilvl w:val="0"/>
          <w:numId w:val="7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pPr>
        <w:pStyle w:val="82"/>
        <w:numPr>
          <w:ilvl w:val="0"/>
          <w:numId w:val="7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pPr>
        <w:pStyle w:val="82"/>
        <w:numPr>
          <w:ilvl w:val="0"/>
          <w:numId w:val="7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pPr>
        <w:pStyle w:val="82"/>
        <w:rPr>
          <w:highlight w:val="green"/>
        </w:rPr>
      </w:pPr>
    </w:p>
    <w:p>
      <w:pPr>
        <w:pStyle w:val="82"/>
        <w:pBdr>
          <w:top w:val="single" w:color="auto" w:sz="4" w:space="1"/>
          <w:left w:val="single" w:color="auto" w:sz="4" w:space="4"/>
          <w:bottom w:val="single" w:color="auto" w:sz="4" w:space="1"/>
          <w:right w:val="single" w:color="auto" w:sz="4" w:space="4"/>
        </w:pBdr>
        <w:rPr>
          <w:highlight w:val="green"/>
        </w:rPr>
      </w:pPr>
      <w:r>
        <w:rPr>
          <w:highlight w:val="green"/>
        </w:rPr>
        <w:t>Agreements:</w:t>
      </w:r>
    </w:p>
    <w:p>
      <w:pPr>
        <w:pStyle w:val="82"/>
        <w:numPr>
          <w:ilvl w:val="0"/>
          <w:numId w:val="7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pPr>
        <w:pStyle w:val="82"/>
      </w:pPr>
    </w:p>
    <w:p>
      <w:pPr>
        <w:rPr>
          <w:iCs/>
        </w:rPr>
      </w:pPr>
    </w:p>
    <w:p>
      <w:pPr>
        <w:rPr>
          <w:iCs/>
        </w:rPr>
      </w:pPr>
      <w:r>
        <w:rPr>
          <w:iCs/>
        </w:rPr>
        <w:t>RAN2#116</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77"/>
        </w:numPr>
        <w:pBdr>
          <w:top w:val="single" w:color="auto" w:sz="4" w:space="1"/>
          <w:left w:val="single" w:color="auto" w:sz="4" w:space="4"/>
          <w:bottom w:val="single" w:color="auto" w:sz="4" w:space="1"/>
          <w:right w:val="single" w:color="auto" w:sz="4" w:space="4"/>
        </w:pBdr>
        <w:rPr>
          <w:highlight w:val="lightGray"/>
        </w:rPr>
      </w:pPr>
      <w:r>
        <w:rPr>
          <w:highlight w:val="lightGray"/>
        </w:rPr>
        <w:t>Enhancements for RA type selection in NTN will not be pursued in Rel-17. FFS for BSR</w:t>
      </w:r>
    </w:p>
    <w:p>
      <w:pPr>
        <w:pStyle w:val="81"/>
        <w:rPr>
          <w:rStyle w:val="36"/>
        </w:rPr>
      </w:pPr>
    </w:p>
    <w:p>
      <w:pPr>
        <w:pStyle w:val="82"/>
      </w:pPr>
    </w:p>
    <w:p>
      <w:pPr>
        <w:pStyle w:val="82"/>
      </w:pPr>
    </w:p>
    <w:p>
      <w:pPr>
        <w:pStyle w:val="82"/>
      </w:pP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78"/>
        </w:numPr>
        <w:pBdr>
          <w:top w:val="single" w:color="auto" w:sz="4" w:space="1"/>
          <w:left w:val="single" w:color="auto" w:sz="4" w:space="4"/>
          <w:bottom w:val="single" w:color="auto" w:sz="4" w:space="1"/>
          <w:right w:val="single" w:color="auto" w:sz="4" w:space="4"/>
        </w:pBdr>
        <w:rPr>
          <w:highlight w:val="lightGray"/>
        </w:rPr>
      </w:pPr>
      <w:r>
        <w:rPr>
          <w:highlight w:val="lightGray"/>
        </w:rPr>
        <w:t>Do not mandate Msg3/MsgA or Msg5 to include TA report MAC CE, and whether it can be included depends on the TB size of Msg3/MsgA or Msg5. No spec change is needed for this</w:t>
      </w:r>
    </w:p>
    <w:p>
      <w:pPr>
        <w:pStyle w:val="82"/>
        <w:numPr>
          <w:ilvl w:val="0"/>
          <w:numId w:val="78"/>
        </w:numPr>
        <w:pBdr>
          <w:top w:val="single" w:color="auto" w:sz="4" w:space="1"/>
          <w:left w:val="single" w:color="auto" w:sz="4" w:space="4"/>
          <w:bottom w:val="single" w:color="auto" w:sz="4" w:space="1"/>
          <w:right w:val="single" w:color="auto" w:sz="4" w:space="4"/>
        </w:pBdr>
        <w:rPr>
          <w:highlight w:val="lightGray"/>
        </w:rPr>
      </w:pPr>
      <w:r>
        <w:rPr>
          <w:highlight w:val="lightGray"/>
        </w:rPr>
        <w:t>Reserved LCID is used for the TA report MAC CE.</w:t>
      </w:r>
    </w:p>
    <w:p>
      <w:pPr>
        <w:pStyle w:val="82"/>
        <w:numPr>
          <w:ilvl w:val="0"/>
          <w:numId w:val="78"/>
        </w:numPr>
        <w:pBdr>
          <w:top w:val="single" w:color="auto" w:sz="4" w:space="1"/>
          <w:left w:val="single" w:color="auto" w:sz="4" w:space="4"/>
          <w:bottom w:val="single" w:color="auto" w:sz="4" w:space="1"/>
          <w:right w:val="single" w:color="auto" w:sz="4" w:space="4"/>
        </w:pBdr>
        <w:rPr>
          <w:highlight w:val="lightGray"/>
        </w:rPr>
      </w:pPr>
      <w:r>
        <w:rPr>
          <w:highlight w:val="lightGray"/>
        </w:rPr>
        <w:t>Postpone the discussion on the size of the TA report MAC CE until RAN2 concludes on the content of TA report.</w:t>
      </w:r>
    </w:p>
    <w:p>
      <w:pPr>
        <w:pStyle w:val="82"/>
        <w:numPr>
          <w:ilvl w:val="0"/>
          <w:numId w:val="78"/>
        </w:numPr>
        <w:pBdr>
          <w:top w:val="single" w:color="auto" w:sz="4" w:space="1"/>
          <w:left w:val="single" w:color="auto" w:sz="4" w:space="4"/>
          <w:bottom w:val="single" w:color="auto" w:sz="4" w:space="1"/>
          <w:right w:val="single" w:color="auto" w:sz="4" w:space="4"/>
        </w:pBdr>
        <w:rPr>
          <w:highlight w:val="lightGray"/>
        </w:rPr>
      </w:pPr>
      <w:r>
        <w:rPr>
          <w:highlight w:val="lightGray"/>
        </w:rPr>
        <w:t>RAN2 do not pursue any enhancements to allow inclusion of TA information without extending Msg3 size.</w:t>
      </w:r>
    </w:p>
    <w:p>
      <w:pPr>
        <w:pStyle w:val="82"/>
        <w:numPr>
          <w:ilvl w:val="0"/>
          <w:numId w:val="78"/>
        </w:numPr>
        <w:pBdr>
          <w:top w:val="single" w:color="auto" w:sz="4" w:space="1"/>
          <w:left w:val="single" w:color="auto" w:sz="4" w:space="4"/>
          <w:bottom w:val="single" w:color="auto" w:sz="4" w:space="1"/>
          <w:right w:val="single" w:color="auto" w:sz="4" w:space="4"/>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pPr>
        <w:pStyle w:val="82"/>
      </w:pP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from offline 106 (second round):</w:t>
      </w:r>
    </w:p>
    <w:p>
      <w:pPr>
        <w:pStyle w:val="82"/>
        <w:numPr>
          <w:ilvl w:val="0"/>
          <w:numId w:val="79"/>
        </w:numPr>
        <w:pBdr>
          <w:top w:val="single" w:color="auto" w:sz="4" w:space="1"/>
          <w:left w:val="single" w:color="auto" w:sz="4" w:space="4"/>
          <w:bottom w:val="single" w:color="auto" w:sz="4" w:space="1"/>
          <w:right w:val="single" w:color="auto" w:sz="4" w:space="4"/>
        </w:pBdr>
        <w:rPr>
          <w:highlight w:val="lightGray"/>
        </w:rPr>
      </w:pPr>
      <w:r>
        <w:rPr>
          <w:highlight w:val="lightGray"/>
        </w:rPr>
        <w:t>Do not introduce additional enhancement on BSR over 2-step RACH in Rel-17.</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online:</w:t>
      </w:r>
    </w:p>
    <w:p>
      <w:pPr>
        <w:pStyle w:val="82"/>
        <w:numPr>
          <w:ilvl w:val="0"/>
          <w:numId w:val="80"/>
        </w:numPr>
        <w:pBdr>
          <w:top w:val="single" w:color="auto" w:sz="4" w:space="1"/>
          <w:left w:val="single" w:color="auto" w:sz="4" w:space="4"/>
          <w:bottom w:val="single" w:color="auto" w:sz="4" w:space="1"/>
          <w:right w:val="single" w:color="auto" w:sz="4" w:space="4"/>
        </w:pBdr>
        <w:rPr>
          <w:highlight w:val="lightGray"/>
        </w:rPr>
      </w:pPr>
      <w:r>
        <w:rPr>
          <w:highlight w:val="lightGray"/>
        </w:rPr>
        <w:t>RAN2 further discuss the exact priority of the TA report MAC CE between “C-RNTI MAC CE or data from UL-CCCH” and “MAC CE for BSR, with exception of BSR included for padding</w:t>
      </w:r>
    </w:p>
    <w:p>
      <w:pPr>
        <w:pStyle w:val="82"/>
        <w:numPr>
          <w:ilvl w:val="0"/>
          <w:numId w:val="80"/>
        </w:numPr>
        <w:pBdr>
          <w:top w:val="single" w:color="auto" w:sz="4" w:space="1"/>
          <w:left w:val="single" w:color="auto" w:sz="4" w:space="4"/>
          <w:bottom w:val="single" w:color="auto" w:sz="4" w:space="1"/>
          <w:right w:val="single" w:color="auto" w:sz="4" w:space="4"/>
        </w:pBdr>
        <w:rPr>
          <w:highlight w:val="lightGray"/>
        </w:rPr>
      </w:pPr>
      <w:r>
        <w:rPr>
          <w:highlight w:val="lightGray"/>
        </w:rPr>
        <w:t>If the reported content of information about UE specific TA is TA pre-compensation value in connected mode, MAC CE is used to report</w:t>
      </w:r>
    </w:p>
    <w:p>
      <w:pPr>
        <w:pStyle w:val="82"/>
        <w:numPr>
          <w:ilvl w:val="0"/>
          <w:numId w:val="80"/>
        </w:numPr>
        <w:pBdr>
          <w:top w:val="single" w:color="auto" w:sz="4" w:space="1"/>
          <w:left w:val="single" w:color="auto" w:sz="4" w:space="4"/>
          <w:bottom w:val="single" w:color="auto" w:sz="4" w:space="1"/>
          <w:right w:val="single" w:color="auto" w:sz="4" w:space="4"/>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pPr>
        <w:pStyle w:val="86"/>
      </w:pPr>
    </w:p>
    <w:p>
      <w:pPr>
        <w:pStyle w:val="82"/>
        <w:ind w:left="1620" w:firstLine="0"/>
      </w:pPr>
    </w:p>
    <w:p>
      <w:pPr>
        <w:pStyle w:val="82"/>
      </w:pPr>
    </w:p>
    <w:p>
      <w:pPr>
        <w:pStyle w:val="82"/>
        <w:ind w:left="0" w:firstLine="0"/>
      </w:pPr>
    </w:p>
    <w:p>
      <w:pPr>
        <w:pStyle w:val="82"/>
        <w:pBdr>
          <w:top w:val="single" w:color="auto" w:sz="4" w:space="1"/>
          <w:left w:val="single" w:color="auto" w:sz="4" w:space="1"/>
          <w:bottom w:val="single" w:color="auto" w:sz="4" w:space="1"/>
          <w:right w:val="single" w:color="auto" w:sz="4" w:space="1"/>
        </w:pBdr>
        <w:ind w:left="1620" w:firstLine="0"/>
      </w:pPr>
      <w:r>
        <w:t>Agreements:</w:t>
      </w:r>
    </w:p>
    <w:p>
      <w:pPr>
        <w:pStyle w:val="82"/>
        <w:numPr>
          <w:ilvl w:val="0"/>
          <w:numId w:val="81"/>
        </w:numPr>
        <w:pBdr>
          <w:top w:val="single" w:color="auto" w:sz="4" w:space="1"/>
          <w:left w:val="single" w:color="auto" w:sz="4" w:space="1"/>
          <w:bottom w:val="single" w:color="auto" w:sz="4" w:space="1"/>
          <w:right w:val="single" w:color="auto" w:sz="4" w:space="1"/>
        </w:pBdr>
      </w:pPr>
      <w:r>
        <w:t xml:space="preserve">The extended values for sr-ProhibitTimer in NTN can include values less than UE-gNB RTT (as in legacy). FFS on the actual values and how this is extended </w:t>
      </w:r>
    </w:p>
    <w:p>
      <w:pPr>
        <w:pStyle w:val="82"/>
        <w:numPr>
          <w:ilvl w:val="0"/>
          <w:numId w:val="81"/>
        </w:numPr>
        <w:pBdr>
          <w:top w:val="single" w:color="auto" w:sz="4" w:space="1"/>
          <w:left w:val="single" w:color="auto" w:sz="4" w:space="1"/>
          <w:bottom w:val="single" w:color="auto" w:sz="4" w:space="1"/>
          <w:right w:val="single" w:color="auto" w:sz="4" w:space="1"/>
        </w:pBdr>
        <w:rPr>
          <w:highlight w:val="yellow"/>
        </w:rPr>
      </w:pPr>
      <w:r>
        <w:rPr>
          <w:highlight w:val="green"/>
        </w:rPr>
        <w:t>RRC parameter “allowedHARQ-DRX-LCP” is included in LogicalChannelConfig (FFS on the actual name of the parameter)</w:t>
      </w:r>
    </w:p>
    <w:p>
      <w:pPr>
        <w:pStyle w:val="82"/>
        <w:numPr>
          <w:ilvl w:val="0"/>
          <w:numId w:val="81"/>
        </w:numPr>
        <w:pBdr>
          <w:top w:val="single" w:color="auto" w:sz="4" w:space="1"/>
          <w:left w:val="single" w:color="auto" w:sz="4" w:space="1"/>
          <w:bottom w:val="single" w:color="auto" w:sz="4" w:space="1"/>
          <w:right w:val="single" w:color="auto" w:sz="4" w:space="1"/>
        </w:pBdr>
      </w:pPr>
      <w:r>
        <w:rPr>
          <w:highlight w:val="yellow"/>
        </w:rPr>
        <w:t>configuredGrantTimer can be extended in NTN. FFS details of when extension is applicable and method of extention.</w:t>
      </w:r>
    </w:p>
    <w:p>
      <w:pPr>
        <w:pStyle w:val="82"/>
        <w:numPr>
          <w:ilvl w:val="0"/>
          <w:numId w:val="81"/>
        </w:numPr>
        <w:pBdr>
          <w:top w:val="single" w:color="auto" w:sz="4" w:space="1"/>
          <w:left w:val="single" w:color="auto" w:sz="4" w:space="1"/>
          <w:bottom w:val="single" w:color="auto" w:sz="4" w:space="1"/>
          <w:right w:val="single" w:color="auto" w:sz="4" w:space="1"/>
        </w:pBdr>
        <w:rPr>
          <w:highlight w:val="green"/>
        </w:rPr>
      </w:pPr>
      <w:r>
        <w:rPr>
          <w:highlight w:val="green"/>
        </w:rPr>
        <w:t>The ConfiguredGrantConfiguration shall allow for up to 32 in nrofHARQ-Processes, and up to 31 in harq-ProcID-Offset and harq-ProcID-Offset2.</w:t>
      </w:r>
    </w:p>
    <w:p>
      <w:pPr>
        <w:pStyle w:val="82"/>
        <w:numPr>
          <w:ilvl w:val="0"/>
          <w:numId w:val="81"/>
        </w:numPr>
        <w:pBdr>
          <w:top w:val="single" w:color="auto" w:sz="4" w:space="1"/>
          <w:left w:val="single" w:color="auto" w:sz="4" w:space="1"/>
          <w:bottom w:val="single" w:color="auto" w:sz="4" w:space="1"/>
          <w:right w:val="single" w:color="auto" w:sz="4" w:space="1"/>
        </w:pBdr>
        <w:rPr>
          <w:highlight w:val="green"/>
        </w:rPr>
      </w:pPr>
      <w:r>
        <w:rPr>
          <w:highlight w:val="green"/>
        </w:rPr>
        <w:t>The SPS-Config shall allow up to 32 for nrofHARQ-Processes, and up to 31 in harq-ProcID-Offset.</w:t>
      </w:r>
    </w:p>
    <w:p>
      <w:pPr>
        <w:pStyle w:val="82"/>
        <w:numPr>
          <w:ilvl w:val="0"/>
          <w:numId w:val="81"/>
        </w:numPr>
        <w:pBdr>
          <w:top w:val="single" w:color="auto" w:sz="4" w:space="1"/>
          <w:left w:val="single" w:color="auto" w:sz="4" w:space="1"/>
          <w:bottom w:val="single" w:color="auto" w:sz="4" w:space="1"/>
          <w:right w:val="single" w:color="auto" w:sz="4" w:space="1"/>
        </w:pBdr>
        <w:rPr>
          <w:highlight w:val="lightGray"/>
        </w:rPr>
      </w:pPr>
      <w:r>
        <w:rPr>
          <w:highlight w:val="lightGray"/>
        </w:rPr>
        <w:t>HARQ feedback shall always be sent for SPS deactivation (i.e. regardless of HARQ feedback enabled/disabled).</w:t>
      </w: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101:</w:t>
      </w:r>
    </w:p>
    <w:p>
      <w:pPr>
        <w:pStyle w:val="82"/>
        <w:numPr>
          <w:ilvl w:val="0"/>
          <w:numId w:val="82"/>
        </w:numPr>
        <w:pBdr>
          <w:top w:val="single" w:color="auto" w:sz="4" w:space="1"/>
          <w:left w:val="single" w:color="auto" w:sz="4" w:space="4"/>
          <w:bottom w:val="single" w:color="auto" w:sz="4" w:space="1"/>
          <w:right w:val="single" w:color="auto" w:sz="4" w:space="4"/>
        </w:pBdr>
        <w:rPr>
          <w:highlight w:val="lightGray"/>
        </w:rPr>
      </w:pPr>
      <w:r>
        <w:rPr>
          <w:highlight w:val="lightGray"/>
        </w:rPr>
        <w:t>For HARQ process(es) not configured with DL HARQ feedback enabled/disabled, drx-HARQ-RTT-TimerDL behaves as per legacy.</w:t>
      </w:r>
    </w:p>
    <w:p>
      <w:pPr>
        <w:pStyle w:val="82"/>
        <w:numPr>
          <w:ilvl w:val="0"/>
          <w:numId w:val="82"/>
        </w:numPr>
        <w:pBdr>
          <w:top w:val="single" w:color="auto" w:sz="4" w:space="1"/>
          <w:left w:val="single" w:color="auto" w:sz="4" w:space="4"/>
          <w:bottom w:val="single" w:color="auto" w:sz="4" w:space="1"/>
          <w:right w:val="single" w:color="auto" w:sz="4" w:space="4"/>
        </w:pBdr>
      </w:pPr>
      <w:r>
        <w:t xml:space="preserve">Introduce a new sr-ProhibitTimerExt-r17 IE. Values FFS </w:t>
      </w:r>
    </w:p>
    <w:p>
      <w:pPr>
        <w:pStyle w:val="82"/>
        <w:numPr>
          <w:ilvl w:val="0"/>
          <w:numId w:val="82"/>
        </w:numPr>
        <w:pBdr>
          <w:top w:val="single" w:color="auto" w:sz="4" w:space="1"/>
          <w:left w:val="single" w:color="auto" w:sz="4" w:space="4"/>
          <w:bottom w:val="single" w:color="auto" w:sz="4" w:space="1"/>
          <w:right w:val="single" w:color="auto" w:sz="4" w:space="4"/>
        </w:pBdr>
        <w:rPr>
          <w:highlight w:val="green"/>
        </w:rPr>
      </w:pPr>
      <w:r>
        <w:rPr>
          <w:highlight w:val="green"/>
        </w:rPr>
        <w:t>If uplinkHARQ-DRX-LCP-Mode-r17 is configured, a HARQ process may be mapped to either ‘HARQ mode A’ or ‘HARQ mode B’.</w:t>
      </w:r>
    </w:p>
    <w:p>
      <w:pPr>
        <w:pStyle w:val="82"/>
        <w:numPr>
          <w:ilvl w:val="0"/>
          <w:numId w:val="82"/>
        </w:numPr>
        <w:pBdr>
          <w:top w:val="single" w:color="auto" w:sz="4" w:space="1"/>
          <w:left w:val="single" w:color="auto" w:sz="4" w:space="4"/>
          <w:bottom w:val="single" w:color="auto" w:sz="4" w:space="1"/>
          <w:right w:val="single" w:color="auto" w:sz="4" w:space="4"/>
        </w:pBdr>
        <w:rPr>
          <w:highlight w:val="green"/>
        </w:rPr>
      </w:pPr>
      <w:r>
        <w:rPr>
          <w:highlight w:val="green"/>
        </w:rPr>
        <w:t>uplinkHARQ-DRX-Mode shall be included in PUSCH-ServingCellConfig.</w:t>
      </w:r>
    </w:p>
    <w:p>
      <w:pPr>
        <w:pStyle w:val="82"/>
      </w:pPr>
    </w:p>
    <w:p>
      <w:pPr>
        <w:pStyle w:val="86"/>
        <w:ind w:left="1619"/>
      </w:pPr>
    </w:p>
    <w:p>
      <w:pPr>
        <w:pStyle w:val="82"/>
        <w:numPr>
          <w:ilvl w:val="0"/>
          <w:numId w:val="83"/>
        </w:numPr>
        <w:pBdr>
          <w:top w:val="single" w:color="auto" w:sz="4" w:space="1"/>
          <w:left w:val="single" w:color="auto" w:sz="4" w:space="4"/>
          <w:bottom w:val="single" w:color="auto" w:sz="4" w:space="1"/>
          <w:right w:val="single" w:color="auto" w:sz="4" w:space="4"/>
        </w:pBdr>
        <w:spacing w:line="254" w:lineRule="auto"/>
      </w:pPr>
      <w:r>
        <w:t>Agreements via email - from offline 101 (second round):</w:t>
      </w:r>
    </w:p>
    <w:p>
      <w:pPr>
        <w:pStyle w:val="82"/>
        <w:numPr>
          <w:ilvl w:val="0"/>
          <w:numId w:val="8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1.</w:t>
      </w:r>
      <w:r>
        <w:rPr>
          <w:highlight w:val="green"/>
        </w:rPr>
        <w:tab/>
      </w:r>
      <w:r>
        <w:rPr>
          <w:highlight w:val="green"/>
        </w:rPr>
        <w:t xml:space="preserve">If uplinkHARQ-DRX-LCP-Mode-r17 is configured, the following LCH to HARQ process mapping rules are supported: </w:t>
      </w:r>
    </w:p>
    <w:p>
      <w:pPr>
        <w:pStyle w:val="82"/>
        <w:numPr>
          <w:ilvl w:val="0"/>
          <w:numId w:val="8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b/>
      </w:r>
      <w:r>
        <w:rPr>
          <w:highlight w:val="green"/>
        </w:rPr>
        <w:t>1) LCH is mapped only to a HARQ process configured with HARQ mode A;</w:t>
      </w:r>
    </w:p>
    <w:p>
      <w:pPr>
        <w:pStyle w:val="82"/>
        <w:numPr>
          <w:ilvl w:val="0"/>
          <w:numId w:val="8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b/>
      </w:r>
      <w:r>
        <w:rPr>
          <w:highlight w:val="green"/>
        </w:rPr>
        <w:t>2) LCH is mapped only to a HARQ process configured with HARQ mode B;</w:t>
      </w:r>
    </w:p>
    <w:p>
      <w:pPr>
        <w:pStyle w:val="82"/>
        <w:numPr>
          <w:ilvl w:val="0"/>
          <w:numId w:val="83"/>
        </w:numPr>
        <w:pBdr>
          <w:top w:val="single" w:color="auto" w:sz="4" w:space="1"/>
          <w:left w:val="single" w:color="auto" w:sz="4" w:space="4"/>
          <w:bottom w:val="single" w:color="auto" w:sz="4" w:space="1"/>
          <w:right w:val="single" w:color="auto" w:sz="4" w:space="4"/>
        </w:pBdr>
        <w:spacing w:line="254" w:lineRule="auto"/>
        <w:rPr>
          <w:highlight w:val="green"/>
        </w:rPr>
      </w:pPr>
      <w:r>
        <w:tab/>
      </w:r>
      <w:r>
        <w:rPr>
          <w:highlight w:val="green"/>
        </w:rPr>
        <w:t>3) If an LCH is not configured with a mapping rule, it may be mapped to any HARQ process (HARQ mode A or B).</w:t>
      </w:r>
    </w:p>
    <w:p>
      <w:pPr>
        <w:pStyle w:val="82"/>
        <w:numPr>
          <w:ilvl w:val="0"/>
          <w:numId w:val="8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2.</w:t>
      </w:r>
      <w:r>
        <w:rPr>
          <w:highlight w:val="green"/>
        </w:rPr>
        <w:tab/>
      </w:r>
      <w:r>
        <w:rPr>
          <w:highlight w:val="green"/>
        </w:rPr>
        <w:t xml:space="preserve">downlinkHARQ-FeedbackDisabled shall be included in PDSCH-ServingCellConfig. </w:t>
      </w:r>
    </w:p>
    <w:p>
      <w:pPr>
        <w:pStyle w:val="82"/>
        <w:ind w:left="0" w:firstLine="0"/>
      </w:pPr>
    </w:p>
    <w:p>
      <w:pPr>
        <w:pStyle w:val="82"/>
        <w:pBdr>
          <w:top w:val="single" w:color="auto" w:sz="4" w:space="1"/>
          <w:left w:val="single" w:color="auto" w:sz="4" w:space="4"/>
          <w:bottom w:val="single" w:color="auto" w:sz="4" w:space="1"/>
          <w:right w:val="single" w:color="auto" w:sz="4" w:space="4"/>
        </w:pBdr>
        <w:ind w:left="1619" w:firstLine="0"/>
      </w:pPr>
      <w:r>
        <w:t>RAN2 assumption:</w:t>
      </w:r>
    </w:p>
    <w:p>
      <w:pPr>
        <w:pStyle w:val="82"/>
        <w:numPr>
          <w:ilvl w:val="0"/>
          <w:numId w:val="84"/>
        </w:numPr>
        <w:pBdr>
          <w:top w:val="single" w:color="auto" w:sz="4" w:space="1"/>
          <w:left w:val="single" w:color="auto" w:sz="4" w:space="4"/>
          <w:bottom w:val="single" w:color="auto" w:sz="4" w:space="1"/>
          <w:right w:val="single" w:color="auto" w:sz="4" w:space="4"/>
        </w:pBdr>
        <w:rPr>
          <w:highlight w:val="green"/>
        </w:rPr>
      </w:pPr>
      <w:r>
        <w:rPr>
          <w:highlight w:val="green"/>
        </w:rPr>
        <w:t>There will be max 12 TACs per NR NTN cell, including same or different PLMNs.</w:t>
      </w:r>
    </w:p>
    <w:p>
      <w:pPr>
        <w:pStyle w:val="82"/>
        <w:ind w:left="0" w:firstLine="0"/>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85"/>
        </w:numPr>
        <w:pBdr>
          <w:top w:val="single" w:color="auto" w:sz="4" w:space="1"/>
          <w:left w:val="single" w:color="auto" w:sz="4" w:space="4"/>
          <w:bottom w:val="single" w:color="auto" w:sz="4" w:space="1"/>
          <w:right w:val="single" w:color="auto" w:sz="4" w:space="4"/>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w:t>
      </w:r>
    </w:p>
    <w:p>
      <w:pPr>
        <w:pStyle w:val="82"/>
        <w:numPr>
          <w:ilvl w:val="0"/>
          <w:numId w:val="86"/>
        </w:numPr>
        <w:pBdr>
          <w:top w:val="single" w:color="auto" w:sz="4" w:space="1"/>
          <w:left w:val="single" w:color="auto" w:sz="4" w:space="4"/>
          <w:bottom w:val="single" w:color="auto" w:sz="4" w:space="1"/>
          <w:right w:val="single" w:color="auto" w:sz="4" w:space="4"/>
        </w:pBdr>
        <w:rPr>
          <w:highlight w:val="lightGray"/>
        </w:rPr>
      </w:pPr>
      <w:r>
        <w:rPr>
          <w:highlight w:val="lightGray"/>
        </w:rPr>
        <w:t>When UE uses location based cell reselection enhancements, it's up to UE implementation to guarantee that a valid location information is available</w:t>
      </w:r>
    </w:p>
    <w:p>
      <w:pPr>
        <w:pStyle w:val="82"/>
        <w:numPr>
          <w:ilvl w:val="0"/>
          <w:numId w:val="86"/>
        </w:numPr>
        <w:pBdr>
          <w:top w:val="single" w:color="auto" w:sz="4" w:space="1"/>
          <w:left w:val="single" w:color="auto" w:sz="4" w:space="4"/>
          <w:bottom w:val="single" w:color="auto" w:sz="4" w:space="1"/>
          <w:right w:val="single" w:color="auto" w:sz="4" w:space="4"/>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102 - second round:</w:t>
      </w:r>
    </w:p>
    <w:p>
      <w:pPr>
        <w:pStyle w:val="82"/>
        <w:numPr>
          <w:ilvl w:val="0"/>
          <w:numId w:val="87"/>
        </w:numPr>
        <w:pBdr>
          <w:top w:val="single" w:color="auto" w:sz="4" w:space="1"/>
          <w:left w:val="single" w:color="auto" w:sz="4" w:space="4"/>
          <w:bottom w:val="single" w:color="auto" w:sz="4" w:space="1"/>
          <w:right w:val="single" w:color="auto" w:sz="4" w:space="4"/>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online:</w:t>
      </w:r>
    </w:p>
    <w:p>
      <w:pPr>
        <w:pStyle w:val="82"/>
        <w:numPr>
          <w:ilvl w:val="0"/>
          <w:numId w:val="88"/>
        </w:numPr>
        <w:pBdr>
          <w:top w:val="single" w:color="auto" w:sz="4" w:space="1"/>
          <w:left w:val="single" w:color="auto" w:sz="4" w:space="4"/>
          <w:bottom w:val="single" w:color="auto" w:sz="4" w:space="1"/>
          <w:right w:val="single" w:color="auto" w:sz="4" w:space="4"/>
        </w:pBdr>
        <w:rPr>
          <w:highlight w:val="lightGray"/>
        </w:rPr>
      </w:pPr>
      <w:r>
        <w:rPr>
          <w:highlight w:val="lightGray"/>
        </w:rPr>
        <w:t>Distance based cell reselection criteria for quasi-earth fixed cell is supported</w:t>
      </w:r>
    </w:p>
    <w:p>
      <w:pPr>
        <w:pStyle w:val="82"/>
        <w:numPr>
          <w:ilvl w:val="0"/>
          <w:numId w:val="88"/>
        </w:numPr>
        <w:pBdr>
          <w:top w:val="single" w:color="auto" w:sz="4" w:space="1"/>
          <w:left w:val="single" w:color="auto" w:sz="4" w:space="4"/>
          <w:bottom w:val="single" w:color="auto" w:sz="4" w:space="1"/>
          <w:right w:val="single" w:color="auto" w:sz="4" w:space="4"/>
        </w:pBdr>
      </w:pPr>
      <w:r>
        <w:t>For quasi-earth fixed cell, the cell stop time of neighbour cell(s) is NOT broadcast</w:t>
      </w:r>
    </w:p>
    <w:p>
      <w:pPr>
        <w:pStyle w:val="86"/>
      </w:pP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t>Agreements</w:t>
      </w:r>
      <w:r>
        <w:rPr>
          <w:highlight w:val="lightGray"/>
        </w:rPr>
        <w:t>:</w:t>
      </w:r>
    </w:p>
    <w:p>
      <w:pPr>
        <w:pStyle w:val="82"/>
        <w:numPr>
          <w:ilvl w:val="0"/>
          <w:numId w:val="89"/>
        </w:numPr>
        <w:pBdr>
          <w:top w:val="single" w:color="auto" w:sz="4" w:space="1"/>
          <w:left w:val="single" w:color="auto" w:sz="4" w:space="4"/>
          <w:bottom w:val="single" w:color="auto" w:sz="4" w:space="1"/>
          <w:right w:val="single" w:color="auto" w:sz="4" w:space="4"/>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103:</w:t>
      </w:r>
    </w:p>
    <w:p>
      <w:pPr>
        <w:pStyle w:val="82"/>
        <w:numPr>
          <w:ilvl w:val="0"/>
          <w:numId w:val="90"/>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RAN2 will decide which option to choose for NTN assistance information for SMTC/MG once SA3 feedback on user consent is received. </w:t>
      </w:r>
    </w:p>
    <w:p>
      <w:pPr>
        <w:pStyle w:val="82"/>
        <w:numPr>
          <w:ilvl w:val="0"/>
          <w:numId w:val="90"/>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If propagation delay based UE assistance information for NTN SMTC is agreed, it is defined in the form of propagation delay difference. </w:t>
      </w:r>
    </w:p>
    <w:p>
      <w:pPr>
        <w:pStyle w:val="82"/>
        <w:numPr>
          <w:ilvl w:val="0"/>
          <w:numId w:val="90"/>
        </w:numPr>
        <w:pBdr>
          <w:top w:val="single" w:color="auto" w:sz="4" w:space="1"/>
          <w:left w:val="single" w:color="auto" w:sz="4" w:space="4"/>
          <w:bottom w:val="single" w:color="auto" w:sz="4" w:space="1"/>
          <w:right w:val="single" w:color="auto" w:sz="4" w:space="4"/>
        </w:pBdr>
        <w:rPr>
          <w:highlight w:val="lightGray"/>
        </w:rPr>
      </w:pPr>
      <w:r>
        <w:rPr>
          <w:highlight w:val="lightGray"/>
        </w:rPr>
        <w:t>RAN2 assumes FL delay is known to and compensated by the network. RAN2 also assumes the UE needs to have neighbour cell ephemeris for the propagation delay estimation.</w:t>
      </w:r>
    </w:p>
    <w:p>
      <w:pPr>
        <w:pStyle w:val="82"/>
        <w:numPr>
          <w:ilvl w:val="0"/>
          <w:numId w:val="90"/>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In NW-based SMTC solution the UE is not allowed to apply shifts to configured SMTCs. </w:t>
      </w:r>
    </w:p>
    <w:p>
      <w:pPr>
        <w:pStyle w:val="82"/>
        <w:numPr>
          <w:ilvl w:val="0"/>
          <w:numId w:val="90"/>
        </w:numPr>
        <w:pBdr>
          <w:top w:val="single" w:color="auto" w:sz="4" w:space="1"/>
          <w:left w:val="single" w:color="auto" w:sz="4" w:space="4"/>
          <w:bottom w:val="single" w:color="auto" w:sz="4" w:space="1"/>
          <w:right w:val="single" w:color="auto" w:sz="4" w:space="4"/>
        </w:pBdr>
        <w:rPr>
          <w:highlight w:val="lightGray"/>
        </w:rPr>
      </w:pPr>
      <w:r>
        <w:rPr>
          <w:highlight w:val="lightGray"/>
        </w:rPr>
        <w:t>Measurement gap related aspects for Rel-17 NTN will be addressed in Rel-17 NTN WI. Coordination and avoiding overlap with other WIs and WGs is recommended.</w:t>
      </w:r>
    </w:p>
    <w:p>
      <w:pPr>
        <w:pStyle w:val="82"/>
        <w:numPr>
          <w:ilvl w:val="0"/>
          <w:numId w:val="90"/>
        </w:numPr>
        <w:pBdr>
          <w:top w:val="single" w:color="auto" w:sz="4" w:space="1"/>
          <w:left w:val="single" w:color="auto" w:sz="4" w:space="4"/>
          <w:bottom w:val="single" w:color="auto" w:sz="4" w:space="1"/>
          <w:right w:val="single" w:color="auto" w:sz="4" w:space="4"/>
        </w:pBdr>
        <w:rPr>
          <w:highlight w:val="yellow"/>
        </w:rPr>
      </w:pPr>
      <w:r>
        <w:rPr>
          <w:highlight w:val="yellow"/>
        </w:rPr>
        <w:t>RAN2 will reuse at least the SMTC agreements made for UE assistance information reporting also in the area of measurement gaps for NTN</w:t>
      </w:r>
    </w:p>
    <w:p>
      <w:pPr>
        <w:pStyle w:val="86"/>
      </w:pPr>
    </w:p>
    <w:p>
      <w:pPr>
        <w:pStyle w:val="86"/>
      </w:pPr>
    </w:p>
    <w:p>
      <w:pPr>
        <w:pStyle w:val="82"/>
        <w:ind w:left="1619" w:firstLine="0"/>
      </w:pPr>
    </w:p>
    <w:p>
      <w:pPr>
        <w:pStyle w:val="82"/>
      </w:pPr>
    </w:p>
    <w:p>
      <w:pPr>
        <w:pStyle w:val="82"/>
      </w:pPr>
    </w:p>
    <w:p>
      <w:pPr>
        <w:pStyle w:val="82"/>
        <w:pBdr>
          <w:top w:val="single" w:color="auto" w:sz="4" w:space="1"/>
          <w:left w:val="single" w:color="auto" w:sz="4" w:space="1"/>
          <w:bottom w:val="single" w:color="auto" w:sz="4" w:space="1"/>
          <w:right w:val="single" w:color="auto" w:sz="4" w:space="1"/>
        </w:pBdr>
      </w:pPr>
      <w:r>
        <w:t>Agreements via email - from offline 103 (second round):</w:t>
      </w:r>
    </w:p>
    <w:p>
      <w:pPr>
        <w:pStyle w:val="82"/>
        <w:numPr>
          <w:ilvl w:val="0"/>
          <w:numId w:val="91"/>
        </w:numPr>
        <w:pBdr>
          <w:top w:val="single" w:color="auto" w:sz="4" w:space="1"/>
          <w:left w:val="single" w:color="auto" w:sz="4" w:space="1"/>
          <w:bottom w:val="single" w:color="auto" w:sz="4" w:space="1"/>
          <w:right w:val="single" w:color="auto" w:sz="4" w:space="1"/>
        </w:pBdr>
        <w:rPr>
          <w:highlight w:val="yellow"/>
        </w:rPr>
      </w:pPr>
      <w:r>
        <w:rPr>
          <w:highlight w:val="yellow"/>
        </w:rPr>
        <w:t>UE assistance information for NTN SMTC adjustments is event-triggered. Details of the triggering event are FFS (pending the decision on supported assistance information type).</w:t>
      </w:r>
    </w:p>
    <w:p>
      <w:pPr>
        <w:pStyle w:val="82"/>
        <w:numPr>
          <w:ilvl w:val="0"/>
          <w:numId w:val="91"/>
        </w:numPr>
        <w:pBdr>
          <w:top w:val="single" w:color="auto" w:sz="4" w:space="1"/>
          <w:left w:val="single" w:color="auto" w:sz="4" w:space="1"/>
          <w:bottom w:val="single" w:color="auto" w:sz="4" w:space="1"/>
          <w:right w:val="single" w:color="auto" w:sz="4" w:space="1"/>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pPr>
        <w:pStyle w:val="82"/>
        <w:numPr>
          <w:ilvl w:val="0"/>
          <w:numId w:val="91"/>
        </w:numPr>
        <w:pBdr>
          <w:top w:val="single" w:color="auto" w:sz="4" w:space="1"/>
          <w:left w:val="single" w:color="auto" w:sz="4" w:space="1"/>
          <w:bottom w:val="single" w:color="auto" w:sz="4" w:space="1"/>
          <w:right w:val="single" w:color="auto" w:sz="4" w:space="1"/>
        </w:pBdr>
        <w:rPr>
          <w:highlight w:val="yellow"/>
        </w:rPr>
      </w:pPr>
      <w:r>
        <w:rPr>
          <w:highlight w:val="yellow"/>
        </w:rPr>
        <w:t>UE-based solution for SMTC adjustments in NTN is supported for IDLE/INACTIVE UEs. FFS how does the UE perform the necessary shifts in SMTC.</w:t>
      </w:r>
    </w:p>
    <w:p>
      <w:pPr>
        <w:pStyle w:val="86"/>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w:t>
      </w:r>
    </w:p>
    <w:p>
      <w:pPr>
        <w:pStyle w:val="82"/>
        <w:numPr>
          <w:ilvl w:val="0"/>
          <w:numId w:val="92"/>
        </w:numPr>
        <w:pBdr>
          <w:top w:val="single" w:color="auto" w:sz="4" w:space="1"/>
          <w:left w:val="single" w:color="auto" w:sz="4" w:space="4"/>
          <w:bottom w:val="single" w:color="auto" w:sz="4" w:space="1"/>
          <w:right w:val="single" w:color="auto" w:sz="4" w:space="4"/>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108"/>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pPr>
        <w:rPr>
          <w:iCs/>
        </w:rPr>
      </w:pPr>
    </w:p>
    <w:p>
      <w:r>
        <w:t>RAN2#116bis</w:t>
      </w:r>
    </w:p>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93"/>
        </w:numPr>
        <w:pBdr>
          <w:top w:val="single" w:color="auto" w:sz="4" w:space="1"/>
          <w:left w:val="single" w:color="auto" w:sz="4" w:space="4"/>
          <w:bottom w:val="single" w:color="auto" w:sz="4" w:space="1"/>
          <w:right w:val="single" w:color="auto" w:sz="4" w:space="4"/>
        </w:pBdr>
      </w:pPr>
      <w:r>
        <w:t xml:space="preserve">Do not support allocating dedicated RA preamble for the RACH procedure triggered by TA reporting. </w:t>
      </w:r>
    </w:p>
    <w:p>
      <w:pPr>
        <w:pStyle w:val="82"/>
        <w:numPr>
          <w:ilvl w:val="0"/>
          <w:numId w:val="93"/>
        </w:numPr>
        <w:pBdr>
          <w:top w:val="single" w:color="auto" w:sz="4" w:space="1"/>
          <w:left w:val="single" w:color="auto" w:sz="4" w:space="4"/>
          <w:bottom w:val="single" w:color="auto" w:sz="4" w:space="1"/>
          <w:right w:val="single" w:color="auto" w:sz="4" w:space="4"/>
        </w:pBdr>
      </w:pPr>
      <w:r>
        <w:t xml:space="preserve">UE does not start or restart the timeAlignmentTimer after the UE reports its TA. </w:t>
      </w:r>
    </w:p>
    <w:p>
      <w:pPr>
        <w:pStyle w:val="82"/>
        <w:numPr>
          <w:ilvl w:val="0"/>
          <w:numId w:val="93"/>
        </w:numPr>
        <w:pBdr>
          <w:top w:val="single" w:color="auto" w:sz="4" w:space="1"/>
          <w:left w:val="single" w:color="auto" w:sz="4" w:space="4"/>
          <w:bottom w:val="single" w:color="auto" w:sz="4" w:space="1"/>
          <w:right w:val="single" w:color="auto" w:sz="4" w:space="4"/>
        </w:pBdr>
      </w:pPr>
      <w:r>
        <w:t>NTN specific parameters, e.g. ephemeris, K_mac, common TA, cell-specific Koffset, network enable/disable TA report, etc., are provided in the new NTN-specific SIB.</w:t>
      </w:r>
    </w:p>
    <w:p>
      <w:pPr>
        <w:pStyle w:val="82"/>
        <w:numPr>
          <w:ilvl w:val="0"/>
          <w:numId w:val="93"/>
        </w:numPr>
        <w:pBdr>
          <w:top w:val="single" w:color="auto" w:sz="4" w:space="1"/>
          <w:left w:val="single" w:color="auto" w:sz="4" w:space="4"/>
          <w:bottom w:val="single" w:color="auto" w:sz="4" w:space="1"/>
          <w:right w:val="single" w:color="auto" w:sz="4" w:space="4"/>
        </w:pBdr>
      </w:pPr>
      <w:r>
        <w:t>The MAC CE for differential UE-specific K_offset has a fixed size of a single octet.</w:t>
      </w:r>
    </w:p>
    <w:p>
      <w:pPr>
        <w:pStyle w:val="82"/>
        <w:numPr>
          <w:ilvl w:val="0"/>
          <w:numId w:val="93"/>
        </w:numPr>
        <w:pBdr>
          <w:top w:val="single" w:color="auto" w:sz="4" w:space="1"/>
          <w:left w:val="single" w:color="auto" w:sz="4" w:space="4"/>
          <w:bottom w:val="single" w:color="auto" w:sz="4" w:space="1"/>
          <w:right w:val="single" w:color="auto" w:sz="4" w:space="4"/>
        </w:pBdr>
      </w:pPr>
      <w:r>
        <w:t>Use an eLCID for the MAC CE for differential UE-specific K_offset</w:t>
      </w:r>
    </w:p>
    <w:p>
      <w:pPr>
        <w:pStyle w:val="82"/>
      </w:pPr>
    </w:p>
    <w:p>
      <w:pPr>
        <w:pStyle w:val="82"/>
      </w:pPr>
    </w:p>
    <w:p>
      <w:pPr>
        <w:pStyle w:val="82"/>
        <w:ind w:left="1619" w:firstLine="0"/>
      </w:pP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 via email - from offline 101 - second round:</w:t>
      </w:r>
    </w:p>
    <w:p>
      <w:pPr>
        <w:pStyle w:val="82"/>
        <w:numPr>
          <w:ilvl w:val="0"/>
          <w:numId w:val="94"/>
        </w:numPr>
        <w:pBdr>
          <w:top w:val="single" w:color="auto" w:sz="4" w:space="1"/>
          <w:left w:val="single" w:color="auto" w:sz="4" w:space="4"/>
          <w:bottom w:val="single" w:color="auto" w:sz="4" w:space="1"/>
          <w:right w:val="single" w:color="auto" w:sz="4" w:space="4"/>
        </w:pBdr>
      </w:pPr>
      <w:r>
        <w:t>priority of the TA report MAC CE is lower than LBT failure MAC CE and higher than MAC CE for SL-BSR prioritized.</w:t>
      </w:r>
    </w:p>
    <w:p>
      <w:pPr>
        <w:pStyle w:val="82"/>
        <w:numPr>
          <w:ilvl w:val="0"/>
          <w:numId w:val="94"/>
        </w:numPr>
        <w:pBdr>
          <w:top w:val="single" w:color="auto" w:sz="4" w:space="1"/>
          <w:left w:val="single" w:color="auto" w:sz="4" w:space="4"/>
          <w:bottom w:val="single" w:color="auto" w:sz="4" w:space="1"/>
          <w:right w:val="single" w:color="auto" w:sz="4" w:space="4"/>
        </w:pBdr>
      </w:pPr>
      <w:r>
        <w:t>UE triggers a TA reporting upon reception of configuration or reconfiguration of TA reporting trigger event if the UE has not reported TA before.</w:t>
      </w:r>
    </w:p>
    <w:p>
      <w:pPr>
        <w:pStyle w:val="82"/>
        <w:numPr>
          <w:ilvl w:val="0"/>
          <w:numId w:val="94"/>
        </w:numPr>
        <w:pBdr>
          <w:top w:val="single" w:color="auto" w:sz="4" w:space="1"/>
          <w:left w:val="single" w:color="auto" w:sz="4" w:space="4"/>
          <w:bottom w:val="single" w:color="auto" w:sz="4" w:space="1"/>
          <w:right w:val="single" w:color="auto" w:sz="4" w:space="4"/>
        </w:pBdr>
      </w:pPr>
      <w:r>
        <w:t xml:space="preserve">Other than event-triggered TA reporting, no more triggers are introduced for TA reporting in connected mode. </w:t>
      </w:r>
    </w:p>
    <w:p>
      <w:pPr>
        <w:pStyle w:val="82"/>
        <w:ind w:left="1619" w:firstLine="0"/>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95"/>
        </w:numPr>
        <w:pBdr>
          <w:top w:val="single" w:color="auto" w:sz="4" w:space="1"/>
          <w:left w:val="single" w:color="auto" w:sz="4" w:space="4"/>
          <w:bottom w:val="single" w:color="auto" w:sz="4" w:space="1"/>
          <w:right w:val="single" w:color="auto" w:sz="4" w:space="4"/>
        </w:pBdr>
      </w:pPr>
      <w:r>
        <w:t>uplinkHARQ-DRX-Mode-r17 controls the DRX behaviour of HARQ processes in the same way for configured grants as for dynamic grants.</w:t>
      </w: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96"/>
        </w:numPr>
        <w:pBdr>
          <w:top w:val="single" w:color="auto" w:sz="4" w:space="1"/>
          <w:left w:val="single" w:color="auto" w:sz="4" w:space="4"/>
          <w:bottom w:val="single" w:color="auto" w:sz="4" w:space="1"/>
          <w:right w:val="single" w:color="auto" w:sz="4" w:space="4"/>
        </w:pBdr>
      </w:pPr>
      <w:r>
        <w:t xml:space="preserve">It is up to network implementation to ensure proper configuration of HARQ feedback (i.e. enabled or disabled) for HARQ processes used by an SPS configuration (no Stage 3 specification impact). FFS if a note in Stage 2 is needed </w:t>
      </w:r>
    </w:p>
    <w:p>
      <w:pPr>
        <w:pStyle w:val="82"/>
        <w:numPr>
          <w:ilvl w:val="0"/>
          <w:numId w:val="96"/>
        </w:numPr>
        <w:pBdr>
          <w:top w:val="single" w:color="auto" w:sz="4" w:space="1"/>
          <w:left w:val="single" w:color="auto" w:sz="4" w:space="4"/>
          <w:bottom w:val="single" w:color="auto" w:sz="4" w:space="1"/>
          <w:right w:val="single" w:color="auto" w:sz="4" w:space="4"/>
        </w:pBdr>
      </w:pPr>
      <w:r>
        <w:t>It is up to network implementation to ensure proper configuration of HARQ mode for HARQ processes used by a CG configuration (no Stage 3 specification impact). FFS if a note in Stage 2 is needed</w:t>
      </w:r>
    </w:p>
    <w:p>
      <w:pPr>
        <w:pStyle w:val="82"/>
        <w:numPr>
          <w:ilvl w:val="0"/>
          <w:numId w:val="96"/>
        </w:numPr>
        <w:pBdr>
          <w:top w:val="single" w:color="auto" w:sz="4" w:space="1"/>
          <w:left w:val="single" w:color="auto" w:sz="4" w:space="4"/>
          <w:bottom w:val="single" w:color="auto" w:sz="4" w:space="1"/>
          <w:right w:val="single" w:color="auto" w:sz="4" w:space="4"/>
        </w:pBdr>
      </w:pPr>
      <w:r>
        <w:t>For HARQ process(es) configured with HARQ Mode B, blind retransmission relies on UE being in DRX Active Time via other means (i.e. drx-RetransmissionTimerUL is not started).</w:t>
      </w:r>
    </w:p>
    <w:p>
      <w:pPr>
        <w:pStyle w:val="82"/>
        <w:numPr>
          <w:ilvl w:val="0"/>
          <w:numId w:val="96"/>
        </w:numPr>
        <w:pBdr>
          <w:top w:val="single" w:color="auto" w:sz="4" w:space="1"/>
          <w:left w:val="single" w:color="auto" w:sz="4" w:space="4"/>
          <w:bottom w:val="single" w:color="auto" w:sz="4" w:space="1"/>
          <w:right w:val="single" w:color="auto" w:sz="4" w:space="4"/>
        </w:pBdr>
      </w:pPr>
      <w:r>
        <w:t>For HARQ process(es) configured with disabled HARQ feedback, blind retransmission relies on UE being in DRX Active Time via other means (i.e. drx-RetransmissionTimerDL is not started).</w:t>
      </w:r>
    </w:p>
    <w:p>
      <w:pPr>
        <w:pStyle w:val="82"/>
        <w:pBdr>
          <w:top w:val="single" w:color="auto" w:sz="4" w:space="1"/>
          <w:left w:val="single" w:color="auto" w:sz="4" w:space="4"/>
          <w:bottom w:val="single" w:color="auto" w:sz="4" w:space="1"/>
          <w:right w:val="single" w:color="auto" w:sz="4" w:space="4"/>
        </w:pBdr>
      </w:pPr>
      <w:r>
        <w:t>RAN2 understanding:</w:t>
      </w:r>
    </w:p>
    <w:p>
      <w:pPr>
        <w:pStyle w:val="82"/>
        <w:numPr>
          <w:ilvl w:val="0"/>
          <w:numId w:val="97"/>
        </w:numPr>
        <w:pBdr>
          <w:top w:val="single" w:color="auto" w:sz="4" w:space="1"/>
          <w:left w:val="single" w:color="auto" w:sz="4" w:space="4"/>
          <w:bottom w:val="single" w:color="auto" w:sz="4" w:space="1"/>
          <w:right w:val="single" w:color="auto" w:sz="4" w:space="4"/>
        </w:pBdr>
      </w:pPr>
      <w:r>
        <w:t xml:space="preserve">RAN2 understanding is that: in general, all HARQ processes used by an SPS configuration are configured with the same HARQ feedback enabled/disabled state. No specification impact. </w:t>
      </w:r>
    </w:p>
    <w:p>
      <w:pPr>
        <w:pStyle w:val="82"/>
        <w:numPr>
          <w:ilvl w:val="0"/>
          <w:numId w:val="97"/>
        </w:numPr>
        <w:pBdr>
          <w:top w:val="single" w:color="auto" w:sz="4" w:space="1"/>
          <w:left w:val="single" w:color="auto" w:sz="4" w:space="4"/>
          <w:bottom w:val="single" w:color="auto" w:sz="4" w:space="1"/>
          <w:right w:val="single" w:color="auto" w:sz="4" w:space="4"/>
        </w:pBdr>
      </w:pPr>
      <w:r>
        <w:rPr>
          <w:sz w:val="18"/>
        </w:rPr>
        <w:t>RAN2 understanding is that: in general, all HARQ processes used by a CG configuration are configured with the same HARQ state (e.g. A or B). No specification impact</w:t>
      </w:r>
    </w:p>
    <w:p>
      <w:pPr>
        <w:pStyle w:val="82"/>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98"/>
        </w:numPr>
        <w:pBdr>
          <w:top w:val="single" w:color="auto" w:sz="4" w:space="1"/>
          <w:left w:val="single" w:color="auto" w:sz="4" w:space="4"/>
          <w:bottom w:val="single" w:color="auto" w:sz="4" w:space="1"/>
          <w:right w:val="single" w:color="auto" w:sz="4" w:space="4"/>
        </w:pBdr>
      </w:pPr>
      <w:r>
        <w:t>A new NTN-specific SIB is introduced (SIBx), scheduled by SIB1</w:t>
      </w:r>
    </w:p>
    <w:p>
      <w:pPr>
        <w:pStyle w:val="82"/>
        <w:numPr>
          <w:ilvl w:val="0"/>
          <w:numId w:val="98"/>
        </w:numPr>
        <w:pBdr>
          <w:top w:val="single" w:color="auto" w:sz="4" w:space="1"/>
          <w:left w:val="single" w:color="auto" w:sz="4" w:space="4"/>
          <w:bottom w:val="single" w:color="auto" w:sz="4" w:space="1"/>
          <w:right w:val="single" w:color="auto" w:sz="4" w:space="4"/>
        </w:pBdr>
      </w:pPr>
      <w:r>
        <w:t>Introduce the following serving cell information to the corresponding SIBx (scheduled by SIB1):</w:t>
      </w:r>
    </w:p>
    <w:p>
      <w:pPr>
        <w:pStyle w:val="82"/>
        <w:pBdr>
          <w:top w:val="single" w:color="auto" w:sz="4" w:space="1"/>
          <w:left w:val="single" w:color="auto" w:sz="4" w:space="4"/>
          <w:bottom w:val="single" w:color="auto" w:sz="4" w:space="1"/>
          <w:right w:val="single" w:color="auto" w:sz="4" w:space="4"/>
        </w:pBdr>
      </w:pPr>
      <w:r>
        <w:tab/>
      </w:r>
      <w:r>
        <w:t>- Ephemeris;</w:t>
      </w:r>
    </w:p>
    <w:p>
      <w:pPr>
        <w:pStyle w:val="82"/>
        <w:pBdr>
          <w:top w:val="single" w:color="auto" w:sz="4" w:space="1"/>
          <w:left w:val="single" w:color="auto" w:sz="4" w:space="4"/>
          <w:bottom w:val="single" w:color="auto" w:sz="4" w:space="1"/>
          <w:right w:val="single" w:color="auto" w:sz="4" w:space="4"/>
        </w:pBdr>
      </w:pPr>
      <w:r>
        <w:tab/>
      </w:r>
      <w:r>
        <w:t>- common TA parameters;</w:t>
      </w:r>
    </w:p>
    <w:p>
      <w:pPr>
        <w:pStyle w:val="82"/>
        <w:pBdr>
          <w:top w:val="single" w:color="auto" w:sz="4" w:space="1"/>
          <w:left w:val="single" w:color="auto" w:sz="4" w:space="4"/>
          <w:bottom w:val="single" w:color="auto" w:sz="4" w:space="1"/>
          <w:right w:val="single" w:color="auto" w:sz="4" w:space="4"/>
        </w:pBdr>
      </w:pPr>
      <w:r>
        <w:tab/>
      </w:r>
      <w:r>
        <w:t>- validity duration for UL sync information;</w:t>
      </w:r>
    </w:p>
    <w:p>
      <w:pPr>
        <w:pStyle w:val="82"/>
        <w:pBdr>
          <w:top w:val="single" w:color="auto" w:sz="4" w:space="1"/>
          <w:left w:val="single" w:color="auto" w:sz="4" w:space="4"/>
          <w:bottom w:val="single" w:color="auto" w:sz="4" w:space="1"/>
          <w:right w:val="single" w:color="auto" w:sz="4" w:space="4"/>
        </w:pBdr>
      </w:pPr>
      <w:r>
        <w:tab/>
      </w:r>
      <w:r>
        <w:t>- t-Service;</w:t>
      </w:r>
    </w:p>
    <w:p>
      <w:pPr>
        <w:pStyle w:val="82"/>
        <w:pBdr>
          <w:top w:val="single" w:color="auto" w:sz="4" w:space="1"/>
          <w:left w:val="single" w:color="auto" w:sz="4" w:space="4"/>
          <w:bottom w:val="single" w:color="auto" w:sz="4" w:space="1"/>
          <w:right w:val="single" w:color="auto" w:sz="4" w:space="4"/>
        </w:pBdr>
      </w:pPr>
      <w:r>
        <w:tab/>
      </w:r>
      <w:r>
        <w:t>- cell reference location;</w:t>
      </w:r>
    </w:p>
    <w:p>
      <w:pPr>
        <w:pStyle w:val="82"/>
        <w:pBdr>
          <w:top w:val="single" w:color="auto" w:sz="4" w:space="1"/>
          <w:left w:val="single" w:color="auto" w:sz="4" w:space="4"/>
          <w:bottom w:val="single" w:color="auto" w:sz="4" w:space="1"/>
          <w:right w:val="single" w:color="auto" w:sz="4" w:space="4"/>
        </w:pBdr>
      </w:pPr>
      <w:r>
        <w:tab/>
      </w:r>
      <w:r>
        <w:t>- Epoch time.</w:t>
      </w:r>
    </w:p>
    <w:p>
      <w:pPr>
        <w:pStyle w:val="82"/>
        <w:pBdr>
          <w:top w:val="single" w:color="auto" w:sz="4" w:space="1"/>
          <w:left w:val="single" w:color="auto" w:sz="4" w:space="4"/>
          <w:bottom w:val="single" w:color="auto" w:sz="4" w:space="1"/>
          <w:right w:val="single" w:color="auto" w:sz="4" w:space="4"/>
        </w:pBdr>
      </w:pPr>
      <w:r>
        <w:tab/>
      </w:r>
      <w:r>
        <w:t>Also send a LS to RAN1 asking whether some parameters might be sent more frequently</w:t>
      </w:r>
    </w:p>
    <w:p>
      <w:pPr>
        <w:pStyle w:val="82"/>
        <w:numPr>
          <w:ilvl w:val="0"/>
          <w:numId w:val="98"/>
        </w:numPr>
        <w:pBdr>
          <w:top w:val="single" w:color="auto" w:sz="4" w:space="1"/>
          <w:left w:val="single" w:color="auto" w:sz="4" w:space="4"/>
          <w:bottom w:val="single" w:color="auto" w:sz="4" w:space="1"/>
          <w:right w:val="single" w:color="auto" w:sz="4" w:space="4"/>
        </w:pBdr>
      </w:pPr>
      <w:r>
        <w:t>For quasi-earth fixed cell, same as legacy, UE shall perform neighbour cell measurements of “higher priority NR inter-frequency or inter-RAT frequencies” regardless of the remaining serving time</w:t>
      </w:r>
    </w:p>
    <w:p>
      <w:pPr>
        <w:pStyle w:val="82"/>
        <w:numPr>
          <w:ilvl w:val="0"/>
          <w:numId w:val="98"/>
        </w:numPr>
        <w:pBdr>
          <w:top w:val="single" w:color="auto" w:sz="4" w:space="1"/>
          <w:left w:val="single" w:color="auto" w:sz="4" w:space="4"/>
          <w:bottom w:val="single" w:color="auto" w:sz="4" w:space="1"/>
          <w:right w:val="single" w:color="auto" w:sz="4" w:space="4"/>
        </w:pBdr>
      </w:pPr>
      <w:r>
        <w:t>RRC_INACTIVE mode is supported for NTN</w:t>
      </w:r>
    </w:p>
    <w:p>
      <w:pPr>
        <w:pStyle w:val="86"/>
      </w:pP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102 - second round:</w:t>
      </w:r>
    </w:p>
    <w:p>
      <w:pPr>
        <w:pStyle w:val="82"/>
        <w:numPr>
          <w:ilvl w:val="0"/>
          <w:numId w:val="99"/>
        </w:numPr>
        <w:pBdr>
          <w:top w:val="single" w:color="auto" w:sz="4" w:space="1"/>
          <w:left w:val="single" w:color="auto" w:sz="4" w:space="4"/>
          <w:bottom w:val="single" w:color="auto" w:sz="4" w:space="1"/>
          <w:right w:val="single" w:color="auto" w:sz="4" w:space="4"/>
        </w:pBdr>
      </w:pPr>
      <w:r>
        <w:t>Regarding UE-based solution for SMTC adjustments, UE autonomously adjust the SMTCs based on location and ephemeris. FFS whether NW assistance information is provided.</w:t>
      </w:r>
    </w:p>
    <w:p>
      <w:pPr>
        <w:pStyle w:val="82"/>
        <w:numPr>
          <w:ilvl w:val="0"/>
          <w:numId w:val="99"/>
        </w:numPr>
        <w:pBdr>
          <w:top w:val="single" w:color="auto" w:sz="4" w:space="1"/>
          <w:left w:val="single" w:color="auto" w:sz="4" w:space="4"/>
          <w:bottom w:val="single" w:color="auto" w:sz="4" w:space="1"/>
          <w:right w:val="single" w:color="auto" w:sz="4" w:space="4"/>
        </w:pBdr>
      </w:pPr>
      <w:r>
        <w:t>UE can know the NW type implicitly no later than SIB1 reception, there is no explicit NW type indication in SIB1.</w:t>
      </w:r>
    </w:p>
    <w:p>
      <w:pPr>
        <w:pStyle w:val="82"/>
        <w:numPr>
          <w:ilvl w:val="0"/>
          <w:numId w:val="99"/>
        </w:numPr>
        <w:pBdr>
          <w:top w:val="single" w:color="auto" w:sz="4" w:space="1"/>
          <w:left w:val="single" w:color="auto" w:sz="4" w:space="4"/>
          <w:bottom w:val="single" w:color="auto" w:sz="4" w:space="1"/>
          <w:right w:val="single" w:color="auto" w:sz="4" w:space="4"/>
        </w:pBdr>
      </w:pPr>
      <w:r>
        <w:t>No LS is sent to RAN3 on the support of RRC_INACTIVE.</w:t>
      </w:r>
    </w:p>
    <w:p>
      <w:pPr>
        <w:pStyle w:val="82"/>
      </w:pPr>
    </w:p>
    <w:p>
      <w:pPr>
        <w:pStyle w:val="86"/>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100"/>
        </w:numPr>
        <w:pBdr>
          <w:top w:val="single" w:color="auto" w:sz="4" w:space="1"/>
          <w:left w:val="single" w:color="auto" w:sz="4" w:space="4"/>
          <w:bottom w:val="single" w:color="auto" w:sz="4" w:space="1"/>
          <w:right w:val="single" w:color="auto" w:sz="4" w:space="4"/>
        </w:pBdr>
      </w:pPr>
      <w:r>
        <w:t>define one single NR NTN UE capability to encompass essential features to support NTN, and UE can further indicate other optional capabilities.</w:t>
      </w:r>
    </w:p>
    <w:p>
      <w:pPr>
        <w:pStyle w:val="82"/>
        <w:numPr>
          <w:ilvl w:val="0"/>
          <w:numId w:val="100"/>
        </w:numPr>
        <w:pBdr>
          <w:top w:val="single" w:color="auto" w:sz="4" w:space="1"/>
          <w:left w:val="single" w:color="auto" w:sz="4" w:space="4"/>
          <w:bottom w:val="single" w:color="auto" w:sz="4" w:space="1"/>
          <w:right w:val="single" w:color="auto" w:sz="4" w:space="4"/>
        </w:pBdr>
      </w:pPr>
      <w:r>
        <w:t>gnss-Location-r16 is conditionally mandatory when UE indicates the support of NR NTN access, and update the field description to cover NTN case.</w:t>
      </w:r>
    </w:p>
    <w:p>
      <w:pPr>
        <w:pStyle w:val="82"/>
        <w:numPr>
          <w:ilvl w:val="0"/>
          <w:numId w:val="100"/>
        </w:numPr>
        <w:pBdr>
          <w:top w:val="single" w:color="auto" w:sz="4" w:space="1"/>
          <w:left w:val="single" w:color="auto" w:sz="4" w:space="4"/>
          <w:bottom w:val="single" w:color="auto" w:sz="4" w:space="1"/>
          <w:right w:val="single" w:color="auto" w:sz="4" w:space="4"/>
        </w:pBdr>
      </w:pPr>
      <w:r>
        <w:t xml:space="preserve">consider the following differentiation of user plane enhancements as baseline: </w:t>
      </w:r>
    </w:p>
    <w:p>
      <w:pPr>
        <w:pStyle w:val="82"/>
        <w:pBdr>
          <w:top w:val="single" w:color="auto" w:sz="4" w:space="1"/>
          <w:left w:val="single" w:color="auto" w:sz="4" w:space="4"/>
          <w:bottom w:val="single" w:color="auto" w:sz="4" w:space="1"/>
          <w:right w:val="single" w:color="auto" w:sz="4" w:space="4"/>
        </w:pBdr>
        <w:rPr>
          <w:u w:val="single"/>
        </w:rPr>
      </w:pPr>
      <w:r>
        <w:tab/>
      </w:r>
      <w:r>
        <w:rPr>
          <w:u w:val="single"/>
        </w:rPr>
        <w:t>Essential sub-features include:</w:t>
      </w:r>
    </w:p>
    <w:p>
      <w:pPr>
        <w:pStyle w:val="82"/>
        <w:pBdr>
          <w:top w:val="single" w:color="auto" w:sz="4" w:space="1"/>
          <w:left w:val="single" w:color="auto" w:sz="4" w:space="4"/>
          <w:bottom w:val="single" w:color="auto" w:sz="4" w:space="1"/>
          <w:right w:val="single" w:color="auto" w:sz="4" w:space="4"/>
        </w:pBdr>
      </w:pPr>
      <w:r>
        <w:tab/>
      </w:r>
      <w:r>
        <w:t>1)</w:t>
      </w:r>
      <w:r>
        <w:tab/>
      </w:r>
      <w:r>
        <w:t>the adaptations of RACH;</w:t>
      </w:r>
    </w:p>
    <w:p>
      <w:pPr>
        <w:pStyle w:val="82"/>
        <w:pBdr>
          <w:top w:val="single" w:color="auto" w:sz="4" w:space="1"/>
          <w:left w:val="single" w:color="auto" w:sz="4" w:space="4"/>
          <w:bottom w:val="single" w:color="auto" w:sz="4" w:space="1"/>
          <w:right w:val="single" w:color="auto" w:sz="4" w:space="4"/>
        </w:pBdr>
        <w:rPr>
          <w:lang w:val="fr-FR"/>
        </w:rPr>
      </w:pPr>
      <w:r>
        <w:tab/>
      </w:r>
      <w:r>
        <w:rPr>
          <w:lang w:val="fr-FR"/>
        </w:rPr>
        <w:t>2)</w:t>
      </w:r>
      <w:r>
        <w:rPr>
          <w:lang w:val="fr-FR"/>
        </w:rPr>
        <w:tab/>
      </w:r>
      <w:r>
        <w:rPr>
          <w:lang w:val="fr-FR"/>
        </w:rPr>
        <w:t>DRX HARQ RTT timer extension;</w:t>
      </w:r>
    </w:p>
    <w:p>
      <w:pPr>
        <w:pStyle w:val="82"/>
        <w:pBdr>
          <w:top w:val="single" w:color="auto" w:sz="4" w:space="1"/>
          <w:left w:val="single" w:color="auto" w:sz="4" w:space="4"/>
          <w:bottom w:val="single" w:color="auto" w:sz="4" w:space="1"/>
          <w:right w:val="single" w:color="auto" w:sz="4" w:space="4"/>
        </w:pBdr>
      </w:pPr>
      <w:r>
        <w:rPr>
          <w:lang w:val="fr-FR"/>
        </w:rPr>
        <w:tab/>
      </w:r>
      <w:r>
        <w:t>3)</w:t>
      </w:r>
      <w:r>
        <w:tab/>
      </w:r>
      <w:r>
        <w:t>the timer extension to accommodate long RTT for other MAC timers (e.g., extended sr-ProhibitTimer);</w:t>
      </w:r>
    </w:p>
    <w:p>
      <w:pPr>
        <w:pStyle w:val="82"/>
        <w:pBdr>
          <w:top w:val="single" w:color="auto" w:sz="4" w:space="1"/>
          <w:left w:val="single" w:color="auto" w:sz="4" w:space="4"/>
          <w:bottom w:val="single" w:color="auto" w:sz="4" w:space="1"/>
          <w:right w:val="single" w:color="auto" w:sz="4" w:space="4"/>
        </w:pBdr>
      </w:pPr>
      <w:r>
        <w:tab/>
      </w:r>
      <w:r>
        <w:t>4)</w:t>
      </w:r>
      <w:r>
        <w:tab/>
      </w:r>
      <w:r>
        <w:t>the timer extension to accommodate long RTT in RLC and PDCP layers (FFS for LEO)</w:t>
      </w:r>
    </w:p>
    <w:p>
      <w:pPr>
        <w:pStyle w:val="82"/>
        <w:pBdr>
          <w:top w:val="single" w:color="auto" w:sz="4" w:space="1"/>
          <w:left w:val="single" w:color="auto" w:sz="4" w:space="4"/>
          <w:bottom w:val="single" w:color="auto" w:sz="4" w:space="1"/>
          <w:right w:val="single" w:color="auto" w:sz="4" w:space="4"/>
        </w:pBdr>
        <w:rPr>
          <w:u w:val="single"/>
        </w:rPr>
      </w:pPr>
      <w:r>
        <w:tab/>
      </w:r>
      <w:r>
        <w:rPr>
          <w:u w:val="single"/>
        </w:rPr>
        <w:t>Optional sub-features include:</w:t>
      </w:r>
    </w:p>
    <w:p>
      <w:pPr>
        <w:pStyle w:val="82"/>
        <w:pBdr>
          <w:top w:val="single" w:color="auto" w:sz="4" w:space="1"/>
          <w:left w:val="single" w:color="auto" w:sz="4" w:space="4"/>
          <w:bottom w:val="single" w:color="auto" w:sz="4" w:space="1"/>
          <w:right w:val="single" w:color="auto" w:sz="4" w:space="4"/>
        </w:pBdr>
      </w:pPr>
      <w:r>
        <w:tab/>
      </w:r>
      <w:r>
        <w:t>1)</w:t>
      </w:r>
      <w:r>
        <w:tab/>
      </w:r>
      <w:r>
        <w:t>TA reporting (TA reporting during RACH using MAC CE, and Event-triggers for TA reporting in connected mode);</w:t>
      </w:r>
    </w:p>
    <w:p>
      <w:pPr>
        <w:pStyle w:val="82"/>
        <w:pBdr>
          <w:top w:val="single" w:color="auto" w:sz="4" w:space="1"/>
          <w:left w:val="single" w:color="auto" w:sz="4" w:space="4"/>
          <w:bottom w:val="single" w:color="auto" w:sz="4" w:space="1"/>
          <w:right w:val="single" w:color="auto" w:sz="4" w:space="4"/>
        </w:pBdr>
      </w:pPr>
      <w:r>
        <w:tab/>
      </w:r>
      <w:r>
        <w:t>2)</w:t>
      </w:r>
      <w:r>
        <w:tab/>
      </w:r>
      <w:r>
        <w:t>disabling HARQ feedback for downlink transmission;</w:t>
      </w:r>
    </w:p>
    <w:p>
      <w:pPr>
        <w:pStyle w:val="82"/>
        <w:pBdr>
          <w:top w:val="single" w:color="auto" w:sz="4" w:space="1"/>
          <w:left w:val="single" w:color="auto" w:sz="4" w:space="4"/>
          <w:bottom w:val="single" w:color="auto" w:sz="4" w:space="1"/>
          <w:right w:val="single" w:color="auto" w:sz="4" w:space="4"/>
        </w:pBdr>
      </w:pPr>
      <w:r>
        <w:tab/>
      </w:r>
      <w:r>
        <w:t>3)</w:t>
      </w:r>
      <w:r>
        <w:tab/>
      </w:r>
      <w:r>
        <w:t>new HARQ state for uplink transmission and the corresponding new LCP mapping rule for dynamic grants.</w:t>
      </w:r>
    </w:p>
    <w:p>
      <w:pPr>
        <w:pStyle w:val="82"/>
        <w:pBdr>
          <w:top w:val="single" w:color="auto" w:sz="4" w:space="1"/>
          <w:left w:val="single" w:color="auto" w:sz="4" w:space="4"/>
          <w:bottom w:val="single" w:color="auto" w:sz="4" w:space="1"/>
          <w:right w:val="single" w:color="auto" w:sz="4" w:space="4"/>
        </w:pBdr>
      </w:pPr>
      <w:r>
        <w:t>4.</w:t>
      </w:r>
      <w:r>
        <w:tab/>
      </w:r>
      <w:r>
        <w:t xml:space="preserve">consider the following differentiation of control plane enhancements as baseline: </w:t>
      </w:r>
    </w:p>
    <w:p>
      <w:pPr>
        <w:pStyle w:val="82"/>
        <w:pBdr>
          <w:top w:val="single" w:color="auto" w:sz="4" w:space="1"/>
          <w:left w:val="single" w:color="auto" w:sz="4" w:space="4"/>
          <w:bottom w:val="single" w:color="auto" w:sz="4" w:space="1"/>
          <w:right w:val="single" w:color="auto" w:sz="4" w:space="4"/>
        </w:pBdr>
        <w:rPr>
          <w:u w:val="single"/>
        </w:rPr>
      </w:pPr>
      <w:r>
        <w:tab/>
      </w:r>
      <w:r>
        <w:rPr>
          <w:u w:val="single"/>
        </w:rPr>
        <w:t>Essential sub-features include (for NGSO, FFS for GEO):</w:t>
      </w:r>
    </w:p>
    <w:p>
      <w:pPr>
        <w:pStyle w:val="82"/>
        <w:pBdr>
          <w:top w:val="single" w:color="auto" w:sz="4" w:space="1"/>
          <w:left w:val="single" w:color="auto" w:sz="4" w:space="4"/>
          <w:bottom w:val="single" w:color="auto" w:sz="4" w:space="1"/>
          <w:right w:val="single" w:color="auto" w:sz="4" w:space="4"/>
        </w:pBdr>
      </w:pPr>
      <w:r>
        <w:tab/>
      </w:r>
      <w:r>
        <w:t>1)</w:t>
      </w:r>
      <w:r>
        <w:tab/>
      </w:r>
      <w:r>
        <w:t>soft TAC update;</w:t>
      </w:r>
    </w:p>
    <w:p>
      <w:pPr>
        <w:pStyle w:val="82"/>
        <w:pBdr>
          <w:top w:val="single" w:color="auto" w:sz="4" w:space="1"/>
          <w:left w:val="single" w:color="auto" w:sz="4" w:space="4"/>
          <w:bottom w:val="single" w:color="auto" w:sz="4" w:space="1"/>
          <w:right w:val="single" w:color="auto" w:sz="4" w:space="4"/>
        </w:pBdr>
      </w:pPr>
      <w:r>
        <w:tab/>
      </w:r>
      <w:r>
        <w:t>2)</w:t>
      </w:r>
      <w:r>
        <w:tab/>
      </w:r>
      <w:r>
        <w:t>SMTC enhancements (event-triggered assistance information reporting, 2 SMTC in parallel);</w:t>
      </w:r>
    </w:p>
    <w:p>
      <w:pPr>
        <w:pStyle w:val="82"/>
        <w:pBdr>
          <w:top w:val="single" w:color="auto" w:sz="4" w:space="1"/>
          <w:left w:val="single" w:color="auto" w:sz="4" w:space="4"/>
          <w:bottom w:val="single" w:color="auto" w:sz="4" w:space="1"/>
          <w:right w:val="single" w:color="auto" w:sz="4" w:space="4"/>
        </w:pBdr>
        <w:rPr>
          <w:u w:val="single"/>
        </w:rPr>
      </w:pPr>
      <w:r>
        <w:tab/>
      </w:r>
      <w:r>
        <w:rPr>
          <w:u w:val="single"/>
        </w:rPr>
        <w:t>Optional sub-features include:</w:t>
      </w:r>
    </w:p>
    <w:p>
      <w:pPr>
        <w:pStyle w:val="82"/>
        <w:pBdr>
          <w:top w:val="single" w:color="auto" w:sz="4" w:space="1"/>
          <w:left w:val="single" w:color="auto" w:sz="4" w:space="4"/>
          <w:bottom w:val="single" w:color="auto" w:sz="4" w:space="1"/>
          <w:right w:val="single" w:color="auto" w:sz="4" w:space="4"/>
        </w:pBdr>
      </w:pPr>
      <w:r>
        <w:tab/>
      </w:r>
      <w:r>
        <w:t>1)</w:t>
      </w:r>
      <w:r>
        <w:tab/>
      </w:r>
      <w:r>
        <w:t>cell stop-time based neighbour cell measurements;</w:t>
      </w:r>
    </w:p>
    <w:p>
      <w:pPr>
        <w:pStyle w:val="82"/>
        <w:pBdr>
          <w:top w:val="single" w:color="auto" w:sz="4" w:space="1"/>
          <w:left w:val="single" w:color="auto" w:sz="4" w:space="4"/>
          <w:bottom w:val="single" w:color="auto" w:sz="4" w:space="1"/>
          <w:right w:val="single" w:color="auto" w:sz="4" w:space="4"/>
        </w:pBdr>
      </w:pPr>
      <w:r>
        <w:tab/>
      </w:r>
      <w:r>
        <w:t>2)</w:t>
      </w:r>
      <w:r>
        <w:tab/>
      </w:r>
      <w:r>
        <w:t>location based cell reselection criteria;</w:t>
      </w:r>
    </w:p>
    <w:p>
      <w:pPr>
        <w:pStyle w:val="82"/>
        <w:pBdr>
          <w:top w:val="single" w:color="auto" w:sz="4" w:space="1"/>
          <w:left w:val="single" w:color="auto" w:sz="4" w:space="4"/>
          <w:bottom w:val="single" w:color="auto" w:sz="4" w:space="1"/>
          <w:right w:val="single" w:color="auto" w:sz="4" w:space="4"/>
        </w:pBdr>
      </w:pPr>
      <w:r>
        <w:tab/>
      </w:r>
      <w:r>
        <w:t>3)</w:t>
      </w:r>
      <w:r>
        <w:tab/>
      </w:r>
      <w:r>
        <w:t>SMTC enhancements (4 SMTC in parallel and UE based solution in idle/inactive);</w:t>
      </w:r>
    </w:p>
    <w:p>
      <w:pPr>
        <w:pStyle w:val="82"/>
        <w:pBdr>
          <w:top w:val="single" w:color="auto" w:sz="4" w:space="1"/>
          <w:left w:val="single" w:color="auto" w:sz="4" w:space="4"/>
          <w:bottom w:val="single" w:color="auto" w:sz="4" w:space="1"/>
          <w:right w:val="single" w:color="auto" w:sz="4" w:space="4"/>
        </w:pBdr>
      </w:pPr>
      <w:r>
        <w:tab/>
      </w:r>
      <w:r>
        <w:t>4)</w:t>
      </w:r>
      <w:r>
        <w:tab/>
      </w:r>
      <w:r>
        <w:t>CHO enhancements (location based CHO).</w:t>
      </w:r>
    </w:p>
    <w:p>
      <w:pPr>
        <w:pStyle w:val="82"/>
        <w:pBdr>
          <w:top w:val="single" w:color="auto" w:sz="4" w:space="1"/>
          <w:left w:val="single" w:color="auto" w:sz="4" w:space="4"/>
          <w:bottom w:val="single" w:color="auto" w:sz="4" w:space="1"/>
          <w:right w:val="single" w:color="auto" w:sz="4" w:space="4"/>
        </w:pBdr>
      </w:pPr>
      <w:r>
        <w:tab/>
      </w:r>
      <w:r>
        <w:t>FFS if CHO enhancements (time based and Event A4 based CHO) is essential or optional</w:t>
      </w:r>
    </w:p>
    <w:p>
      <w:pPr>
        <w:pStyle w:val="82"/>
        <w:numPr>
          <w:ilvl w:val="0"/>
          <w:numId w:val="98"/>
        </w:numPr>
        <w:pBdr>
          <w:top w:val="single" w:color="auto" w:sz="4" w:space="1"/>
          <w:left w:val="single" w:color="auto" w:sz="4" w:space="4"/>
          <w:bottom w:val="single" w:color="auto" w:sz="4" w:space="1"/>
          <w:right w:val="single" w:color="auto" w:sz="4" w:space="4"/>
        </w:pBdr>
      </w:pPr>
      <w:r>
        <w:t xml:space="preserve">Postpone the UE capability discussion on location reporting </w:t>
      </w:r>
    </w:p>
    <w:p>
      <w:pPr>
        <w:pStyle w:val="82"/>
        <w:pBdr>
          <w:top w:val="single" w:color="auto" w:sz="4" w:space="1"/>
          <w:left w:val="single" w:color="auto" w:sz="4" w:space="4"/>
          <w:bottom w:val="single" w:color="auto" w:sz="4" w:space="1"/>
          <w:right w:val="single" w:color="auto" w:sz="4" w:space="4"/>
        </w:pBdr>
        <w:ind w:left="1259" w:firstLine="0"/>
      </w:pPr>
      <w:r>
        <w:t>Working Assumption (further check if anything can be per band):</w:t>
      </w:r>
    </w:p>
    <w:p>
      <w:pPr>
        <w:pStyle w:val="82"/>
        <w:numPr>
          <w:ilvl w:val="0"/>
          <w:numId w:val="101"/>
        </w:numPr>
        <w:pBdr>
          <w:top w:val="single" w:color="auto" w:sz="4" w:space="1"/>
          <w:left w:val="single" w:color="auto" w:sz="4" w:space="4"/>
          <w:bottom w:val="single" w:color="auto" w:sz="4" w:space="1"/>
          <w:right w:val="single" w:color="auto" w:sz="4" w:space="4"/>
        </w:pBdr>
      </w:pPr>
      <w:r>
        <w:t xml:space="preserve">the granularities of all the optional RAN2 determined sub-features with capability signalling are per UE. </w:t>
      </w:r>
    </w:p>
    <w:p>
      <w:pPr>
        <w:pStyle w:val="86"/>
      </w:pPr>
    </w:p>
    <w:p/>
    <w:p>
      <w:r>
        <w:br w:type="page"/>
      </w:r>
    </w:p>
    <w:p>
      <w:r>
        <w:br w:type="page"/>
      </w:r>
    </w:p>
    <w:sectPr>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_115" w:date="2022-01-25T01:32:00Z" w:initials="ER">
    <w:p w14:paraId="5B2C3AB5">
      <w:pPr>
        <w:pStyle w:val="21"/>
      </w:pPr>
      <w:r>
        <w:t>waits RAN1 and further RAN2 progress</w:t>
      </w:r>
    </w:p>
  </w:comment>
  <w:comment w:id="1" w:author="RAN2_115" w:date="2022-01-25T01:32:00Z" w:initials="ER">
    <w:p w14:paraId="31000B68">
      <w:pPr>
        <w:pStyle w:val="21"/>
      </w:pPr>
      <w:r>
        <w:t>waiting RAN1 input on ephemeris</w:t>
      </w:r>
    </w:p>
  </w:comment>
  <w:comment w:id="2" w:author="RAN2_115" w:date="2022-01-25T01:32:00Z" w:initials="ER">
    <w:p w14:paraId="0D951BC0">
      <w:pPr>
        <w:pStyle w:val="21"/>
      </w:pPr>
      <w:r>
        <w:t>waiting for RAN1 input on ephemeris</w:t>
      </w:r>
    </w:p>
  </w:comment>
  <w:comment w:id="3" w:author="RAN2_115" w:date="2022-01-25T01:32:00Z" w:initials="ER">
    <w:p w14:paraId="583A13CB">
      <w:pPr>
        <w:pStyle w:val="21"/>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2C3AB5" w15:done="0"/>
  <w15:commentEx w15:paraId="31000B68" w15:done="0"/>
  <w15:commentEx w15:paraId="0D951BC0" w15:done="0"/>
  <w15:commentEx w15:paraId="583A13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DFKai-SB">
    <w:altName w:val="Microsoft JhengHei Light"/>
    <w:panose1 w:val="00000000000000000000"/>
    <w:charset w:val="88"/>
    <w:family w:val="script"/>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1">
    <w:nsid w:val="022C73D1"/>
    <w:multiLevelType w:val="multilevel"/>
    <w:tmpl w:val="022C73D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04F90742"/>
    <w:multiLevelType w:val="multilevel"/>
    <w:tmpl w:val="04F9074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05C162C9"/>
    <w:multiLevelType w:val="multilevel"/>
    <w:tmpl w:val="05C162C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05D6144F"/>
    <w:multiLevelType w:val="multilevel"/>
    <w:tmpl w:val="05D6144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07712B5A"/>
    <w:multiLevelType w:val="multilevel"/>
    <w:tmpl w:val="07712B5A"/>
    <w:lvl w:ilvl="0" w:tentative="0">
      <w:start w:val="1"/>
      <w:numFmt w:val="decimal"/>
      <w:lvlText w:val="%1."/>
      <w:lvlJc w:val="left"/>
      <w:pPr>
        <w:ind w:left="1980" w:hanging="360"/>
      </w:p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6">
    <w:nsid w:val="08794A76"/>
    <w:multiLevelType w:val="multilevel"/>
    <w:tmpl w:val="08794A76"/>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7">
    <w:nsid w:val="091767E5"/>
    <w:multiLevelType w:val="multilevel"/>
    <w:tmpl w:val="091767E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0A9514C1"/>
    <w:multiLevelType w:val="multilevel"/>
    <w:tmpl w:val="0A9514C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
    <w:nsid w:val="0AA33C35"/>
    <w:multiLevelType w:val="multilevel"/>
    <w:tmpl w:val="0AA33C35"/>
    <w:lvl w:ilvl="0" w:tentative="0">
      <w:start w:val="1"/>
      <w:numFmt w:val="decimal"/>
      <w:lvlText w:val="%1."/>
      <w:lvlJc w:val="left"/>
      <w:pPr>
        <w:ind w:left="1619" w:hanging="360"/>
      </w:pPr>
      <w:rPr>
        <w:b w:val="0"/>
        <w:bCs w:val="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0B0322A0"/>
    <w:multiLevelType w:val="multilevel"/>
    <w:tmpl w:val="0B0322A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0C20534C"/>
    <w:multiLevelType w:val="multilevel"/>
    <w:tmpl w:val="0C20534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0CB24250"/>
    <w:multiLevelType w:val="multilevel"/>
    <w:tmpl w:val="0CB2425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0CBE743C"/>
    <w:multiLevelType w:val="multilevel"/>
    <w:tmpl w:val="0CBE743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0D2A2769"/>
    <w:multiLevelType w:val="multilevel"/>
    <w:tmpl w:val="0D2A276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0E2715B6"/>
    <w:multiLevelType w:val="multilevel"/>
    <w:tmpl w:val="0E2715B6"/>
    <w:lvl w:ilvl="0" w:tentative="0">
      <w:start w:val="1"/>
      <w:numFmt w:val="decimal"/>
      <w:lvlText w:val="%1."/>
      <w:lvlJc w:val="left"/>
      <w:pPr>
        <w:ind w:left="1619" w:hanging="360"/>
      </w:pPr>
      <w:rPr>
        <w:color w:val="00000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0F8B01CE"/>
    <w:multiLevelType w:val="multilevel"/>
    <w:tmpl w:val="0F8B01C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7">
    <w:nsid w:val="12C41F03"/>
    <w:multiLevelType w:val="multilevel"/>
    <w:tmpl w:val="12C41F0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8">
    <w:nsid w:val="130B395C"/>
    <w:multiLevelType w:val="multilevel"/>
    <w:tmpl w:val="130B395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9">
    <w:nsid w:val="17B5386A"/>
    <w:multiLevelType w:val="multilevel"/>
    <w:tmpl w:val="17B5386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186D5466"/>
    <w:multiLevelType w:val="multilevel"/>
    <w:tmpl w:val="186D546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1">
    <w:nsid w:val="191619DC"/>
    <w:multiLevelType w:val="multilevel"/>
    <w:tmpl w:val="191619D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2">
    <w:nsid w:val="1A5616A7"/>
    <w:multiLevelType w:val="multilevel"/>
    <w:tmpl w:val="1A5616A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3">
    <w:nsid w:val="1D365B2C"/>
    <w:multiLevelType w:val="multilevel"/>
    <w:tmpl w:val="1D365B2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4">
    <w:nsid w:val="1DA92239"/>
    <w:multiLevelType w:val="multilevel"/>
    <w:tmpl w:val="1DA9223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5">
    <w:nsid w:val="1DF61FDE"/>
    <w:multiLevelType w:val="multilevel"/>
    <w:tmpl w:val="1DF61FD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6">
    <w:nsid w:val="1E4905D3"/>
    <w:multiLevelType w:val="multilevel"/>
    <w:tmpl w:val="1E4905D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7">
    <w:nsid w:val="1FD61981"/>
    <w:multiLevelType w:val="multilevel"/>
    <w:tmpl w:val="1FD6198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8">
    <w:nsid w:val="210B5384"/>
    <w:multiLevelType w:val="multilevel"/>
    <w:tmpl w:val="210B538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9">
    <w:nsid w:val="245750A9"/>
    <w:multiLevelType w:val="multilevel"/>
    <w:tmpl w:val="245750A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0">
    <w:nsid w:val="24DC42A5"/>
    <w:multiLevelType w:val="multilevel"/>
    <w:tmpl w:val="24DC42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1">
    <w:nsid w:val="262E6F5E"/>
    <w:multiLevelType w:val="multilevel"/>
    <w:tmpl w:val="262E6F5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2">
    <w:nsid w:val="26BF34EA"/>
    <w:multiLevelType w:val="multilevel"/>
    <w:tmpl w:val="26BF34E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3">
    <w:nsid w:val="275B1102"/>
    <w:multiLevelType w:val="multilevel"/>
    <w:tmpl w:val="275B110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4">
    <w:nsid w:val="27872BBF"/>
    <w:multiLevelType w:val="multilevel"/>
    <w:tmpl w:val="27872BB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5">
    <w:nsid w:val="29170465"/>
    <w:multiLevelType w:val="multilevel"/>
    <w:tmpl w:val="2917046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6">
    <w:nsid w:val="2A6061BD"/>
    <w:multiLevelType w:val="multilevel"/>
    <w:tmpl w:val="2A6061B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7">
    <w:nsid w:val="2A955857"/>
    <w:multiLevelType w:val="multilevel"/>
    <w:tmpl w:val="2A955857"/>
    <w:lvl w:ilvl="0" w:tentative="0">
      <w:start w:val="2"/>
      <w:numFmt w:val="decimal"/>
      <w:lvlText w:val="%1."/>
      <w:lvlJc w:val="left"/>
      <w:pPr>
        <w:ind w:left="1619"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CD23BEE"/>
    <w:multiLevelType w:val="multilevel"/>
    <w:tmpl w:val="2CD23BEE"/>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9">
    <w:nsid w:val="2F477E3E"/>
    <w:multiLevelType w:val="multilevel"/>
    <w:tmpl w:val="2F477E3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0">
    <w:nsid w:val="2F6E4B40"/>
    <w:multiLevelType w:val="multilevel"/>
    <w:tmpl w:val="2F6E4B4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1">
    <w:nsid w:val="2FA75B48"/>
    <w:multiLevelType w:val="multilevel"/>
    <w:tmpl w:val="2FA75B4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2">
    <w:nsid w:val="311106AA"/>
    <w:multiLevelType w:val="multilevel"/>
    <w:tmpl w:val="311106A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3">
    <w:nsid w:val="31467924"/>
    <w:multiLevelType w:val="multilevel"/>
    <w:tmpl w:val="3146792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4">
    <w:nsid w:val="3648233D"/>
    <w:multiLevelType w:val="multilevel"/>
    <w:tmpl w:val="3648233D"/>
    <w:lvl w:ilvl="0" w:tentative="0">
      <w:start w:val="1"/>
      <w:numFmt w:val="decimal"/>
      <w:lvlText w:val="%1"/>
      <w:lvlJc w:val="left"/>
      <w:pPr>
        <w:ind w:left="1490" w:hanging="113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3AA46647"/>
    <w:multiLevelType w:val="multilevel"/>
    <w:tmpl w:val="3AA46647"/>
    <w:lvl w:ilvl="0" w:tentative="0">
      <w:start w:val="1"/>
      <w:numFmt w:val="decimal"/>
      <w:pStyle w:val="6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6">
    <w:nsid w:val="3AD1342B"/>
    <w:multiLevelType w:val="multilevel"/>
    <w:tmpl w:val="3AD1342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7">
    <w:nsid w:val="3B7834C6"/>
    <w:multiLevelType w:val="multilevel"/>
    <w:tmpl w:val="3B7834C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8">
    <w:nsid w:val="41DC4D5D"/>
    <w:multiLevelType w:val="multilevel"/>
    <w:tmpl w:val="41DC4D5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9">
    <w:nsid w:val="42FD22CB"/>
    <w:multiLevelType w:val="multilevel"/>
    <w:tmpl w:val="42FD22CB"/>
    <w:lvl w:ilvl="0" w:tentative="0">
      <w:start w:val="4"/>
      <w:numFmt w:val="decimal"/>
      <w:lvlText w:val="%1"/>
      <w:lvlJc w:val="left"/>
      <w:pPr>
        <w:ind w:left="450" w:hanging="450"/>
      </w:pPr>
      <w:rPr>
        <w:rFonts w:hint="default"/>
      </w:rPr>
    </w:lvl>
    <w:lvl w:ilvl="1" w:tentative="0">
      <w:start w:val="4"/>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0">
    <w:nsid w:val="449C5FAD"/>
    <w:multiLevelType w:val="multilevel"/>
    <w:tmpl w:val="449C5FAD"/>
    <w:lvl w:ilvl="0" w:tentative="0">
      <w:start w:val="1"/>
      <w:numFmt w:val="decimal"/>
      <w:lvlText w:val="%1."/>
      <w:lvlJc w:val="left"/>
      <w:pPr>
        <w:ind w:left="1619" w:hanging="360"/>
      </w:pPr>
      <w:rPr>
        <w:strike w:val="0"/>
        <w:dstrike w:val="0"/>
        <w:u w:val="none"/>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1">
    <w:nsid w:val="454E079D"/>
    <w:multiLevelType w:val="multilevel"/>
    <w:tmpl w:val="454E079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2">
    <w:nsid w:val="47037154"/>
    <w:multiLevelType w:val="multilevel"/>
    <w:tmpl w:val="4703715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3">
    <w:nsid w:val="4747442C"/>
    <w:multiLevelType w:val="multilevel"/>
    <w:tmpl w:val="4747442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4">
    <w:nsid w:val="479027A5"/>
    <w:multiLevelType w:val="multilevel"/>
    <w:tmpl w:val="479027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5">
    <w:nsid w:val="4A641878"/>
    <w:multiLevelType w:val="multilevel"/>
    <w:tmpl w:val="4A64187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6">
    <w:nsid w:val="4B5707B0"/>
    <w:multiLevelType w:val="multilevel"/>
    <w:tmpl w:val="4B5707B0"/>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57">
    <w:nsid w:val="4D9937D1"/>
    <w:multiLevelType w:val="multilevel"/>
    <w:tmpl w:val="4D9937D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8">
    <w:nsid w:val="4EDE596B"/>
    <w:multiLevelType w:val="multilevel"/>
    <w:tmpl w:val="4EDE596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9">
    <w:nsid w:val="4FDA2E2A"/>
    <w:multiLevelType w:val="multilevel"/>
    <w:tmpl w:val="4FDA2E2A"/>
    <w:lvl w:ilvl="0" w:tentative="0">
      <w:start w:val="4"/>
      <w:numFmt w:val="decimal"/>
      <w:lvlText w:val="%1."/>
      <w:lvlJc w:val="left"/>
      <w:pPr>
        <w:ind w:left="1619" w:hanging="360"/>
      </w:pPr>
      <w:rPr>
        <w:rFonts w:hint="eastAsia"/>
      </w:rPr>
    </w:lvl>
    <w:lvl w:ilvl="1" w:tentative="0">
      <w:start w:val="1"/>
      <w:numFmt w:val="lowerLetter"/>
      <w:lvlText w:val="%2."/>
      <w:lvlJc w:val="left"/>
      <w:pPr>
        <w:ind w:left="2339" w:hanging="360"/>
      </w:pPr>
      <w:rPr>
        <w:rFonts w:hint="eastAsia"/>
      </w:rPr>
    </w:lvl>
    <w:lvl w:ilvl="2" w:tentative="0">
      <w:start w:val="1"/>
      <w:numFmt w:val="lowerRoman"/>
      <w:lvlText w:val="%3."/>
      <w:lvlJc w:val="right"/>
      <w:pPr>
        <w:ind w:left="3059" w:hanging="180"/>
      </w:pPr>
      <w:rPr>
        <w:rFonts w:hint="eastAsia"/>
      </w:rPr>
    </w:lvl>
    <w:lvl w:ilvl="3" w:tentative="0">
      <w:start w:val="1"/>
      <w:numFmt w:val="decimal"/>
      <w:lvlText w:val="%4."/>
      <w:lvlJc w:val="left"/>
      <w:pPr>
        <w:ind w:left="3779" w:hanging="360"/>
      </w:pPr>
      <w:rPr>
        <w:rFonts w:hint="eastAsia"/>
      </w:rPr>
    </w:lvl>
    <w:lvl w:ilvl="4" w:tentative="0">
      <w:start w:val="1"/>
      <w:numFmt w:val="lowerLetter"/>
      <w:lvlText w:val="%5."/>
      <w:lvlJc w:val="left"/>
      <w:pPr>
        <w:ind w:left="4499" w:hanging="360"/>
      </w:pPr>
      <w:rPr>
        <w:rFonts w:hint="eastAsia"/>
      </w:rPr>
    </w:lvl>
    <w:lvl w:ilvl="5" w:tentative="0">
      <w:start w:val="1"/>
      <w:numFmt w:val="lowerRoman"/>
      <w:lvlText w:val="%6."/>
      <w:lvlJc w:val="right"/>
      <w:pPr>
        <w:ind w:left="5219" w:hanging="180"/>
      </w:pPr>
      <w:rPr>
        <w:rFonts w:hint="eastAsia"/>
      </w:rPr>
    </w:lvl>
    <w:lvl w:ilvl="6" w:tentative="0">
      <w:start w:val="1"/>
      <w:numFmt w:val="decimal"/>
      <w:lvlText w:val="%7."/>
      <w:lvlJc w:val="left"/>
      <w:pPr>
        <w:ind w:left="5939" w:hanging="360"/>
      </w:pPr>
      <w:rPr>
        <w:rFonts w:hint="eastAsia"/>
      </w:rPr>
    </w:lvl>
    <w:lvl w:ilvl="7" w:tentative="0">
      <w:start w:val="1"/>
      <w:numFmt w:val="lowerLetter"/>
      <w:lvlText w:val="%8."/>
      <w:lvlJc w:val="left"/>
      <w:pPr>
        <w:ind w:left="6659" w:hanging="360"/>
      </w:pPr>
      <w:rPr>
        <w:rFonts w:hint="eastAsia"/>
      </w:rPr>
    </w:lvl>
    <w:lvl w:ilvl="8" w:tentative="0">
      <w:start w:val="1"/>
      <w:numFmt w:val="lowerRoman"/>
      <w:lvlText w:val="%9."/>
      <w:lvlJc w:val="right"/>
      <w:pPr>
        <w:ind w:left="7379" w:hanging="180"/>
      </w:pPr>
      <w:rPr>
        <w:rFonts w:hint="eastAsia"/>
      </w:rPr>
    </w:lvl>
  </w:abstractNum>
  <w:abstractNum w:abstractNumId="60">
    <w:nsid w:val="50CD0E76"/>
    <w:multiLevelType w:val="multilevel"/>
    <w:tmpl w:val="50CD0E7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1">
    <w:nsid w:val="51AB51C0"/>
    <w:multiLevelType w:val="multilevel"/>
    <w:tmpl w:val="51AB51C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2">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3">
    <w:nsid w:val="558E6751"/>
    <w:multiLevelType w:val="multilevel"/>
    <w:tmpl w:val="558E675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4">
    <w:nsid w:val="57CF63CE"/>
    <w:multiLevelType w:val="multilevel"/>
    <w:tmpl w:val="57CF63C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5">
    <w:nsid w:val="5B47060F"/>
    <w:multiLevelType w:val="multilevel"/>
    <w:tmpl w:val="5B47060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6">
    <w:nsid w:val="5BD366C5"/>
    <w:multiLevelType w:val="multilevel"/>
    <w:tmpl w:val="5BD366C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7">
    <w:nsid w:val="5BE3522F"/>
    <w:multiLevelType w:val="multilevel"/>
    <w:tmpl w:val="5BE3522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8">
    <w:nsid w:val="5D2C19FE"/>
    <w:multiLevelType w:val="multilevel"/>
    <w:tmpl w:val="5D2C19F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9">
    <w:nsid w:val="5D8F0BE2"/>
    <w:multiLevelType w:val="multilevel"/>
    <w:tmpl w:val="5D8F0BE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0">
    <w:nsid w:val="5E012929"/>
    <w:multiLevelType w:val="multilevel"/>
    <w:tmpl w:val="5E01292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1">
    <w:nsid w:val="5FB733C8"/>
    <w:multiLevelType w:val="multilevel"/>
    <w:tmpl w:val="5FB733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2">
    <w:nsid w:val="61B52318"/>
    <w:multiLevelType w:val="multilevel"/>
    <w:tmpl w:val="61B5231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3">
    <w:nsid w:val="63370190"/>
    <w:multiLevelType w:val="multilevel"/>
    <w:tmpl w:val="633701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4">
    <w:nsid w:val="648A3D31"/>
    <w:multiLevelType w:val="multilevel"/>
    <w:tmpl w:val="648A3D3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5">
    <w:nsid w:val="64C22B40"/>
    <w:multiLevelType w:val="multilevel"/>
    <w:tmpl w:val="64C22B4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6">
    <w:nsid w:val="651114EA"/>
    <w:multiLevelType w:val="multilevel"/>
    <w:tmpl w:val="651114E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7">
    <w:nsid w:val="654B2955"/>
    <w:multiLevelType w:val="multilevel"/>
    <w:tmpl w:val="654B2955"/>
    <w:lvl w:ilvl="0" w:tentative="0">
      <w:start w:val="1"/>
      <w:numFmt w:val="decimal"/>
      <w:pStyle w:val="109"/>
      <w:lvlText w:val="Proposal %1"/>
      <w:lvlJc w:val="left"/>
      <w:pPr>
        <w:ind w:left="1080" w:hanging="360"/>
      </w:pPr>
      <w:rPr>
        <w:rFonts w:hint="default"/>
        <w:lang w:val="en-U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8">
    <w:nsid w:val="66FB6EFB"/>
    <w:multiLevelType w:val="multilevel"/>
    <w:tmpl w:val="66FB6EF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9">
    <w:nsid w:val="67E46F4B"/>
    <w:multiLevelType w:val="multilevel"/>
    <w:tmpl w:val="67E46F4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0">
    <w:nsid w:val="682E7EE7"/>
    <w:multiLevelType w:val="multilevel"/>
    <w:tmpl w:val="682E7EE7"/>
    <w:lvl w:ilvl="0" w:tentative="0">
      <w:start w:val="1"/>
      <w:numFmt w:val="bullet"/>
      <w:lvlText w:val=""/>
      <w:lvlJc w:val="left"/>
      <w:pPr>
        <w:ind w:left="1619" w:hanging="360"/>
      </w:pPr>
      <w:rPr>
        <w:rFonts w:hint="default" w:ascii="Symbol" w:hAnsi="Symbo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81">
    <w:nsid w:val="6B2D5C6B"/>
    <w:multiLevelType w:val="multilevel"/>
    <w:tmpl w:val="6B2D5C6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2">
    <w:nsid w:val="6DA23B5A"/>
    <w:multiLevelType w:val="multilevel"/>
    <w:tmpl w:val="6DA23B5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3">
    <w:nsid w:val="6E8B139C"/>
    <w:multiLevelType w:val="multilevel"/>
    <w:tmpl w:val="6E8B139C"/>
    <w:lvl w:ilvl="0" w:tentative="0">
      <w:start w:val="1"/>
      <w:numFmt w:val="decimal"/>
      <w:lvlText w:val="%1."/>
      <w:lvlJc w:val="left"/>
      <w:pPr>
        <w:ind w:left="1619" w:hanging="360"/>
      </w:pPr>
      <w:rPr>
        <w:rFonts w:ascii="Arial" w:hAnsi="Arial" w:eastAsia="MS Mincho" w:cs="Times New Roman"/>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4">
    <w:nsid w:val="6FB71C27"/>
    <w:multiLevelType w:val="multilevel"/>
    <w:tmpl w:val="6FB71C2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5">
    <w:nsid w:val="7009474B"/>
    <w:multiLevelType w:val="multilevel"/>
    <w:tmpl w:val="7009474B"/>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86">
    <w:nsid w:val="70146DC0"/>
    <w:multiLevelType w:val="multilevel"/>
    <w:tmpl w:val="70146DC0"/>
    <w:lvl w:ilvl="0" w:tentative="0">
      <w:start w:val="1"/>
      <w:numFmt w:val="bullet"/>
      <w:pStyle w:val="93"/>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7">
    <w:nsid w:val="709F4C96"/>
    <w:multiLevelType w:val="multilevel"/>
    <w:tmpl w:val="709F4C9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8">
    <w:nsid w:val="71EC3EE8"/>
    <w:multiLevelType w:val="multilevel"/>
    <w:tmpl w:val="71EC3EE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9">
    <w:nsid w:val="729A5EA5"/>
    <w:multiLevelType w:val="multilevel"/>
    <w:tmpl w:val="729A5E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0">
    <w:nsid w:val="73CB0E52"/>
    <w:multiLevelType w:val="multilevel"/>
    <w:tmpl w:val="73CB0E5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1">
    <w:nsid w:val="74774217"/>
    <w:multiLevelType w:val="multilevel"/>
    <w:tmpl w:val="7477421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2">
    <w:nsid w:val="74DE31B8"/>
    <w:multiLevelType w:val="multilevel"/>
    <w:tmpl w:val="74DE31B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3">
    <w:nsid w:val="76AE543E"/>
    <w:multiLevelType w:val="multilevel"/>
    <w:tmpl w:val="76AE543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4">
    <w:nsid w:val="7722135A"/>
    <w:multiLevelType w:val="multilevel"/>
    <w:tmpl w:val="7722135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5">
    <w:nsid w:val="77513736"/>
    <w:multiLevelType w:val="multilevel"/>
    <w:tmpl w:val="7751373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6">
    <w:nsid w:val="785652A4"/>
    <w:multiLevelType w:val="multilevel"/>
    <w:tmpl w:val="785652A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7">
    <w:nsid w:val="7A474860"/>
    <w:multiLevelType w:val="multilevel"/>
    <w:tmpl w:val="7A47486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8">
    <w:nsid w:val="7BC470BB"/>
    <w:multiLevelType w:val="multilevel"/>
    <w:tmpl w:val="7BC470B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9">
    <w:nsid w:val="7CA400C2"/>
    <w:multiLevelType w:val="multilevel"/>
    <w:tmpl w:val="7CA400C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D6D"/>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C1284"/>
    <w:rsid w:val="000C1436"/>
    <w:rsid w:val="000C4F3C"/>
    <w:rsid w:val="000C6364"/>
    <w:rsid w:val="000C76B4"/>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6F"/>
    <w:rsid w:val="001D64C2"/>
    <w:rsid w:val="001D7FDA"/>
    <w:rsid w:val="001E52CE"/>
    <w:rsid w:val="001E6F4D"/>
    <w:rsid w:val="001E7BB0"/>
    <w:rsid w:val="001F1394"/>
    <w:rsid w:val="001F5DDF"/>
    <w:rsid w:val="002051D4"/>
    <w:rsid w:val="00207782"/>
    <w:rsid w:val="00210D6F"/>
    <w:rsid w:val="00220760"/>
    <w:rsid w:val="00221AD5"/>
    <w:rsid w:val="00234041"/>
    <w:rsid w:val="002341B9"/>
    <w:rsid w:val="00235265"/>
    <w:rsid w:val="00235987"/>
    <w:rsid w:val="002375E2"/>
    <w:rsid w:val="00243336"/>
    <w:rsid w:val="00246EAC"/>
    <w:rsid w:val="00247991"/>
    <w:rsid w:val="00252D99"/>
    <w:rsid w:val="0025730B"/>
    <w:rsid w:val="0025737D"/>
    <w:rsid w:val="00260B59"/>
    <w:rsid w:val="00260BD7"/>
    <w:rsid w:val="00260CF4"/>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46C"/>
    <w:rsid w:val="004D1C11"/>
    <w:rsid w:val="004D1FE9"/>
    <w:rsid w:val="004D27AB"/>
    <w:rsid w:val="004E1B10"/>
    <w:rsid w:val="004E656E"/>
    <w:rsid w:val="004F2223"/>
    <w:rsid w:val="00501ED4"/>
    <w:rsid w:val="005065E9"/>
    <w:rsid w:val="005135F4"/>
    <w:rsid w:val="00515836"/>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80046D"/>
    <w:rsid w:val="008007AF"/>
    <w:rsid w:val="0080086A"/>
    <w:rsid w:val="00800B8D"/>
    <w:rsid w:val="00800DF3"/>
    <w:rsid w:val="00804CA2"/>
    <w:rsid w:val="00804FCC"/>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36F0"/>
    <w:rsid w:val="00904745"/>
    <w:rsid w:val="00905FCA"/>
    <w:rsid w:val="0091433C"/>
    <w:rsid w:val="00921E02"/>
    <w:rsid w:val="009230E1"/>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90E"/>
    <w:rsid w:val="00BA544E"/>
    <w:rsid w:val="00BA7E00"/>
    <w:rsid w:val="00BB1BDA"/>
    <w:rsid w:val="00BB62E9"/>
    <w:rsid w:val="00BB6823"/>
    <w:rsid w:val="00BC597C"/>
    <w:rsid w:val="00BC6DF5"/>
    <w:rsid w:val="00BD066B"/>
    <w:rsid w:val="00BD137C"/>
    <w:rsid w:val="00BD1A9B"/>
    <w:rsid w:val="00BD34E8"/>
    <w:rsid w:val="00BD4AEA"/>
    <w:rsid w:val="00BD6A73"/>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5260"/>
    <w:rsid w:val="00C86616"/>
    <w:rsid w:val="00C964AB"/>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Calibri" w:eastAsiaTheme="minorEastAsia"/>
      <w:sz w:val="22"/>
      <w:szCs w:val="22"/>
      <w:lang w:val="en-US" w:eastAsia="ko-KR"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List Bullet"/>
    <w:basedOn w:val="1"/>
    <w:uiPriority w:val="0"/>
    <w:pPr>
      <w:numPr>
        <w:ilvl w:val="0"/>
        <w:numId w:val="1"/>
      </w:numPr>
      <w:contextualSpacing/>
    </w:pPr>
  </w:style>
  <w:style w:type="paragraph" w:styleId="20">
    <w:name w:val="Document Map"/>
    <w:basedOn w:val="1"/>
    <w:link w:val="76"/>
    <w:qFormat/>
    <w:uiPriority w:val="0"/>
    <w:rPr>
      <w:sz w:val="24"/>
      <w:szCs w:val="24"/>
    </w:rPr>
  </w:style>
  <w:style w:type="paragraph" w:styleId="21">
    <w:name w:val="annotation text"/>
    <w:basedOn w:val="1"/>
    <w:link w:val="90"/>
    <w:qFormat/>
    <w:uiPriority w:val="99"/>
  </w:style>
  <w:style w:type="paragraph" w:styleId="22">
    <w:name w:val="Body Text"/>
    <w:basedOn w:val="1"/>
    <w:link w:val="94"/>
    <w:qFormat/>
    <w:uiPriority w:val="0"/>
    <w:pPr>
      <w:overflowPunct w:val="0"/>
      <w:autoSpaceDE w:val="0"/>
      <w:autoSpaceDN w:val="0"/>
      <w:adjustRightInd w:val="0"/>
      <w:spacing w:after="120"/>
      <w:textAlignment w:val="baseline"/>
    </w:pPr>
    <w:rPr>
      <w:rFonts w:ascii="Arial" w:hAnsi="Arial" w:eastAsia="Times New Roman"/>
      <w:lang w:eastAsia="zh-CN"/>
    </w:r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38"/>
    <w:qFormat/>
    <w:uiPriority w:val="0"/>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Normal (Web)"/>
    <w:basedOn w:val="1"/>
    <w:qFormat/>
    <w:uiPriority w:val="99"/>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29">
    <w:name w:val="annotation subject"/>
    <w:basedOn w:val="21"/>
    <w:next w:val="21"/>
    <w:link w:val="91"/>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lang w:val="en-US"/>
    </w:rPr>
  </w:style>
  <w:style w:type="character" w:styleId="34">
    <w:name w:val="FollowedHyperlink"/>
    <w:basedOn w:val="32"/>
    <w:qFormat/>
    <w:uiPriority w:val="0"/>
    <w:rPr>
      <w:color w:val="954F72" w:themeColor="followedHyperlink"/>
      <w:u w:val="single"/>
      <w14:textFill>
        <w14:solidFill>
          <w14:schemeClr w14:val="folHlink"/>
        </w14:solidFill>
      </w14:textFill>
    </w:rPr>
  </w:style>
  <w:style w:type="character" w:styleId="35">
    <w:name w:val="Emphasis"/>
    <w:basedOn w:val="32"/>
    <w:qFormat/>
    <w:uiPriority w:val="20"/>
    <w:rPr>
      <w:i/>
      <w:iCs/>
    </w:rPr>
  </w:style>
  <w:style w:type="character" w:styleId="36">
    <w:name w:val="Hyperlink"/>
    <w:qFormat/>
    <w:uiPriority w:val="99"/>
    <w:rPr>
      <w:color w:val="0000FF"/>
      <w:u w:val="single"/>
    </w:rPr>
  </w:style>
  <w:style w:type="character" w:styleId="37">
    <w:name w:val="annotation reference"/>
    <w:basedOn w:val="32"/>
    <w:qFormat/>
    <w:uiPriority w:val="0"/>
    <w:rPr>
      <w:sz w:val="16"/>
      <w:szCs w:val="16"/>
    </w:rPr>
  </w:style>
  <w:style w:type="character" w:customStyle="1" w:styleId="38">
    <w:name w:val="Balloon Text Char"/>
    <w:basedOn w:val="32"/>
    <w:link w:val="24"/>
    <w:qFormat/>
    <w:uiPriority w:val="0"/>
    <w:rPr>
      <w:rFonts w:ascii="Helvetica" w:hAnsi="Helvetica"/>
      <w:sz w:val="18"/>
      <w:szCs w:val="18"/>
      <w:lang w:eastAsia="en-US"/>
    </w:r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pPr>
    <w:rPr>
      <w:rFonts w:ascii="Arial" w:hAnsi="Arial"/>
      <w:sz w:val="18"/>
    </w:rPr>
  </w:style>
  <w:style w:type="paragraph" w:customStyle="1" w:styleId="44">
    <w:name w:val="NO"/>
    <w:basedOn w:val="1"/>
    <w:link w:val="103"/>
    <w:qFormat/>
    <w:uiPriority w:val="0"/>
    <w:pPr>
      <w:keepLines/>
      <w:ind w:left="1135" w:hanging="851"/>
    </w:pPr>
  </w:style>
  <w:style w:type="paragraph" w:customStyle="1" w:styleId="45">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link w:val="112"/>
    <w:qFormat/>
    <w:uiPriority w:val="0"/>
    <w:pPr>
      <w:keepNext/>
      <w:keepLines/>
    </w:pPr>
    <w:rPr>
      <w:rFonts w:ascii="Arial" w:hAnsi="Arial"/>
      <w:sz w:val="18"/>
    </w:rPr>
  </w:style>
  <w:style w:type="paragraph" w:customStyle="1" w:styleId="48">
    <w:name w:val="TAH"/>
    <w:basedOn w:val="49"/>
    <w:link w:val="113"/>
    <w:qFormat/>
    <w:uiPriority w:val="0"/>
    <w:rPr>
      <w:b/>
    </w:rPr>
  </w:style>
  <w:style w:type="paragraph" w:customStyle="1" w:styleId="49">
    <w:name w:val="TAC"/>
    <w:basedOn w:val="47"/>
    <w:qFormat/>
    <w:uiPriority w:val="0"/>
    <w:pPr>
      <w:jc w:val="center"/>
    </w:pPr>
  </w:style>
  <w:style w:type="paragraph" w:customStyle="1" w:styleId="50">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1">
    <w:name w:val="EX"/>
    <w:basedOn w:val="1"/>
    <w:qFormat/>
    <w:uiPriority w:val="0"/>
    <w:pPr>
      <w:keepLines/>
      <w:ind w:left="1702" w:hanging="1418"/>
    </w:pPr>
  </w:style>
  <w:style w:type="paragraph" w:customStyle="1" w:styleId="52">
    <w:name w:val="FP"/>
    <w:basedOn w:val="1"/>
    <w:qFormat/>
    <w:uiPriority w:val="0"/>
  </w:style>
  <w:style w:type="paragraph" w:customStyle="1" w:styleId="53">
    <w:name w:val="NW"/>
    <w:basedOn w:val="44"/>
    <w:qFormat/>
    <w:uiPriority w:val="0"/>
  </w:style>
  <w:style w:type="paragraph" w:customStyle="1" w:styleId="54">
    <w:name w:val="EW"/>
    <w:basedOn w:val="51"/>
    <w:qFormat/>
    <w:uiPriority w:val="0"/>
  </w:style>
  <w:style w:type="paragraph" w:customStyle="1" w:styleId="55">
    <w:name w:val="B1"/>
    <w:basedOn w:val="1"/>
    <w:link w:val="104"/>
    <w:qFormat/>
    <w:uiPriority w:val="0"/>
    <w:pPr>
      <w:ind w:left="568" w:hanging="284"/>
    </w:pPr>
  </w:style>
  <w:style w:type="paragraph" w:customStyle="1" w:styleId="56">
    <w:name w:val="Editor's Note"/>
    <w:basedOn w:val="44"/>
    <w:qFormat/>
    <w:uiPriority w:val="0"/>
    <w:rPr>
      <w:color w:val="FF0000"/>
    </w:r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1">
    <w:name w:val="ZU"/>
    <w:qFormat/>
    <w:uiPriority w:val="0"/>
    <w:pPr>
      <w:framePr w:w="10206" w:wrap="notBeside" w:vAnchor="page" w:hAnchor="margin" w:y="6238"/>
      <w:widowControl w:val="0"/>
      <w:numPr>
        <w:ilvl w:val="0"/>
        <w:numId w:val="2"/>
      </w:numPr>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2">
    <w:name w:val="TAN"/>
    <w:basedOn w:val="47"/>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4">
    <w:name w:val="TF"/>
    <w:basedOn w:val="57"/>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6">
    <w:name w:val="B2"/>
    <w:basedOn w:val="1"/>
    <w:link w:val="105"/>
    <w:qFormat/>
    <w:uiPriority w:val="0"/>
    <w:pPr>
      <w:ind w:left="851" w:hanging="284"/>
    </w:pPr>
  </w:style>
  <w:style w:type="paragraph" w:customStyle="1" w:styleId="67">
    <w:name w:val="B3"/>
    <w:basedOn w:val="1"/>
    <w:link w:val="106"/>
    <w:qFormat/>
    <w:uiPriority w:val="0"/>
    <w:pPr>
      <w:ind w:left="1135" w:hanging="284"/>
    </w:pPr>
  </w:style>
  <w:style w:type="paragraph" w:customStyle="1" w:styleId="68">
    <w:name w:val="B4"/>
    <w:basedOn w:val="1"/>
    <w:link w:val="107"/>
    <w:qFormat/>
    <w:uiPriority w:val="0"/>
    <w:pPr>
      <w:ind w:left="1418" w:hanging="284"/>
    </w:pPr>
  </w:style>
  <w:style w:type="paragraph" w:customStyle="1" w:styleId="69">
    <w:name w:val="B5"/>
    <w:basedOn w:val="1"/>
    <w:qFormat/>
    <w:uiPriority w:val="0"/>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qFormat/>
    <w:uiPriority w:val="0"/>
  </w:style>
  <w:style w:type="paragraph" w:customStyle="1" w:styleId="73">
    <w:name w:val="Guidance"/>
    <w:basedOn w:val="1"/>
    <w:qFormat/>
    <w:uiPriority w:val="0"/>
    <w:rPr>
      <w:i/>
      <w:color w:val="0000FF"/>
    </w:rPr>
  </w:style>
  <w:style w:type="character" w:customStyle="1" w:styleId="74">
    <w:name w:val="Header Char"/>
    <w:link w:val="26"/>
    <w:qFormat/>
    <w:uiPriority w:val="0"/>
    <w:rPr>
      <w:rFonts w:ascii="Arial" w:hAnsi="Arial"/>
      <w:b/>
      <w:sz w:val="18"/>
      <w:lang w:val="en-GB" w:eastAsia="ja-JP" w:bidi="ar-SA"/>
    </w:rPr>
  </w:style>
  <w:style w:type="paragraph" w:customStyle="1" w:styleId="75">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76">
    <w:name w:val="Document Map Char"/>
    <w:basedOn w:val="32"/>
    <w:link w:val="20"/>
    <w:qFormat/>
    <w:uiPriority w:val="0"/>
    <w:rPr>
      <w:sz w:val="24"/>
      <w:szCs w:val="24"/>
      <w:lang w:eastAsia="en-US"/>
    </w:rPr>
  </w:style>
  <w:style w:type="character" w:customStyle="1" w:styleId="77">
    <w:name w:val="Unresolved Mention1"/>
    <w:basedOn w:val="32"/>
    <w:qFormat/>
    <w:uiPriority w:val="0"/>
    <w:rPr>
      <w:color w:val="605E5C"/>
      <w:shd w:val="clear" w:color="auto" w:fill="E1DFDD"/>
    </w:rPr>
  </w:style>
  <w:style w:type="paragraph" w:customStyle="1" w:styleId="78">
    <w:name w:val="EmailDiscussion"/>
    <w:basedOn w:val="1"/>
    <w:next w:val="79"/>
    <w:link w:val="80"/>
    <w:qFormat/>
    <w:uiPriority w:val="0"/>
    <w:pPr>
      <w:numPr>
        <w:ilvl w:val="0"/>
        <w:numId w:val="3"/>
      </w:numPr>
      <w:spacing w:before="40"/>
    </w:pPr>
    <w:rPr>
      <w:rFonts w:ascii="Arial" w:hAnsi="Arial" w:eastAsia="MS Mincho"/>
      <w:b/>
      <w:szCs w:val="24"/>
      <w:lang w:eastAsia="en-GB"/>
    </w:rPr>
  </w:style>
  <w:style w:type="paragraph" w:customStyle="1" w:styleId="79">
    <w:name w:val="EmailDiscussion2"/>
    <w:basedOn w:val="1"/>
    <w:qFormat/>
    <w:uiPriority w:val="0"/>
    <w:pPr>
      <w:tabs>
        <w:tab w:val="left" w:pos="1622"/>
      </w:tabs>
      <w:ind w:left="1622" w:hanging="363"/>
    </w:pPr>
    <w:rPr>
      <w:rFonts w:ascii="Arial" w:hAnsi="Arial" w:eastAsia="MS Mincho"/>
      <w:szCs w:val="24"/>
      <w:lang w:eastAsia="en-GB"/>
    </w:rPr>
  </w:style>
  <w:style w:type="character" w:customStyle="1" w:styleId="80">
    <w:name w:val="EmailDiscussion Char"/>
    <w:link w:val="78"/>
    <w:qFormat/>
    <w:uiPriority w:val="0"/>
    <w:rPr>
      <w:rFonts w:ascii="Arial" w:hAnsi="Arial" w:eastAsia="MS Mincho" w:cs="Calibri"/>
      <w:b/>
      <w:sz w:val="22"/>
      <w:szCs w:val="24"/>
      <w:lang w:eastAsia="en-GB"/>
    </w:rPr>
  </w:style>
  <w:style w:type="paragraph" w:customStyle="1" w:styleId="81">
    <w:name w:val="Doc-title"/>
    <w:basedOn w:val="1"/>
    <w:next w:val="82"/>
    <w:link w:val="83"/>
    <w:qFormat/>
    <w:uiPriority w:val="0"/>
    <w:pPr>
      <w:spacing w:before="60"/>
      <w:ind w:left="1259" w:hanging="1259"/>
    </w:pPr>
    <w:rPr>
      <w:rFonts w:ascii="Arial" w:hAnsi="Arial" w:eastAsia="MS Mincho"/>
      <w:szCs w:val="24"/>
      <w:lang w:eastAsia="en-GB"/>
    </w:rPr>
  </w:style>
  <w:style w:type="paragraph" w:customStyle="1" w:styleId="82">
    <w:name w:val="Doc-text2"/>
    <w:basedOn w:val="1"/>
    <w:link w:val="84"/>
    <w:qFormat/>
    <w:uiPriority w:val="0"/>
    <w:pPr>
      <w:tabs>
        <w:tab w:val="left" w:pos="1622"/>
      </w:tabs>
      <w:ind w:left="1622" w:hanging="363"/>
    </w:pPr>
    <w:rPr>
      <w:rFonts w:ascii="Arial" w:hAnsi="Arial" w:eastAsia="MS Mincho"/>
      <w:szCs w:val="24"/>
      <w:lang w:eastAsia="en-GB"/>
    </w:rPr>
  </w:style>
  <w:style w:type="character" w:customStyle="1" w:styleId="83">
    <w:name w:val="Doc-title Char"/>
    <w:link w:val="81"/>
    <w:qFormat/>
    <w:locked/>
    <w:uiPriority w:val="0"/>
    <w:rPr>
      <w:rFonts w:ascii="Arial" w:hAnsi="Arial" w:eastAsia="MS Mincho"/>
      <w:szCs w:val="24"/>
    </w:rPr>
  </w:style>
  <w:style w:type="character" w:customStyle="1" w:styleId="84">
    <w:name w:val="Doc-text2 Char"/>
    <w:link w:val="82"/>
    <w:qFormat/>
    <w:locked/>
    <w:uiPriority w:val="0"/>
    <w:rPr>
      <w:rFonts w:ascii="Arial" w:hAnsi="Arial" w:eastAsia="MS Mincho"/>
      <w:szCs w:val="24"/>
    </w:rPr>
  </w:style>
  <w:style w:type="character" w:customStyle="1" w:styleId="85">
    <w:name w:val="Comments Char"/>
    <w:link w:val="86"/>
    <w:qFormat/>
    <w:locked/>
    <w:uiPriority w:val="0"/>
    <w:rPr>
      <w:rFonts w:ascii="Arial" w:hAnsi="Arial" w:eastAsia="MS Mincho" w:cs="Arial"/>
      <w:i/>
      <w:sz w:val="18"/>
      <w:szCs w:val="24"/>
    </w:rPr>
  </w:style>
  <w:style w:type="paragraph" w:customStyle="1" w:styleId="86">
    <w:name w:val="Comments"/>
    <w:basedOn w:val="1"/>
    <w:link w:val="85"/>
    <w:qFormat/>
    <w:uiPriority w:val="0"/>
    <w:pPr>
      <w:spacing w:before="40"/>
    </w:pPr>
    <w:rPr>
      <w:rFonts w:ascii="Arial" w:hAnsi="Arial" w:eastAsia="MS Mincho" w:cs="Arial"/>
      <w:i/>
      <w:sz w:val="18"/>
      <w:szCs w:val="24"/>
      <w:lang w:eastAsia="en-GB"/>
    </w:rPr>
  </w:style>
  <w:style w:type="character" w:customStyle="1" w:styleId="87">
    <w:name w:val="Bold Comments Char"/>
    <w:link w:val="88"/>
    <w:qFormat/>
    <w:locked/>
    <w:uiPriority w:val="0"/>
    <w:rPr>
      <w:rFonts w:ascii="Arial" w:hAnsi="Arial" w:eastAsia="MS Mincho" w:cs="Arial"/>
      <w:b/>
      <w:szCs w:val="24"/>
      <w:lang w:val="zh-CN" w:eastAsia="zh-CN"/>
    </w:rPr>
  </w:style>
  <w:style w:type="paragraph" w:customStyle="1" w:styleId="88">
    <w:name w:val="Bold Comments"/>
    <w:basedOn w:val="1"/>
    <w:link w:val="87"/>
    <w:qFormat/>
    <w:uiPriority w:val="0"/>
    <w:pPr>
      <w:spacing w:before="240" w:after="60"/>
      <w:outlineLvl w:val="8"/>
    </w:pPr>
    <w:rPr>
      <w:rFonts w:ascii="Arial" w:hAnsi="Arial" w:eastAsia="MS Mincho" w:cs="Arial"/>
      <w:b/>
      <w:szCs w:val="24"/>
      <w:lang w:val="zh-CN" w:eastAsia="zh-CN"/>
    </w:rPr>
  </w:style>
  <w:style w:type="paragraph" w:styleId="89">
    <w:name w:val="List Paragraph"/>
    <w:basedOn w:val="1"/>
    <w:link w:val="98"/>
    <w:qFormat/>
    <w:uiPriority w:val="34"/>
    <w:pPr>
      <w:ind w:left="720"/>
      <w:contextualSpacing/>
    </w:pPr>
  </w:style>
  <w:style w:type="character" w:customStyle="1" w:styleId="90">
    <w:name w:val="Comment Text Char"/>
    <w:basedOn w:val="32"/>
    <w:link w:val="21"/>
    <w:qFormat/>
    <w:uiPriority w:val="99"/>
    <w:rPr>
      <w:lang w:eastAsia="en-US"/>
    </w:rPr>
  </w:style>
  <w:style w:type="character" w:customStyle="1" w:styleId="91">
    <w:name w:val="Comment Subject Char"/>
    <w:basedOn w:val="90"/>
    <w:link w:val="29"/>
    <w:qFormat/>
    <w:uiPriority w:val="0"/>
    <w:rPr>
      <w:b/>
      <w:bCs/>
      <w:lang w:eastAsia="en-US"/>
    </w:rPr>
  </w:style>
  <w:style w:type="paragraph" w:customStyle="1" w:styleId="92">
    <w:name w:val="Doc-comment"/>
    <w:basedOn w:val="1"/>
    <w:next w:val="82"/>
    <w:qFormat/>
    <w:uiPriority w:val="0"/>
    <w:pPr>
      <w:tabs>
        <w:tab w:val="left" w:pos="1622"/>
      </w:tabs>
      <w:ind w:left="1622" w:hanging="363"/>
    </w:pPr>
    <w:rPr>
      <w:rFonts w:ascii="Arial" w:hAnsi="Arial" w:eastAsia="MS Mincho"/>
      <w:i/>
      <w:szCs w:val="24"/>
      <w:lang w:eastAsia="en-GB"/>
    </w:rPr>
  </w:style>
  <w:style w:type="paragraph" w:customStyle="1" w:styleId="93">
    <w:name w:val="Agreement"/>
    <w:basedOn w:val="1"/>
    <w:next w:val="82"/>
    <w:qFormat/>
    <w:uiPriority w:val="0"/>
    <w:pPr>
      <w:numPr>
        <w:ilvl w:val="0"/>
        <w:numId w:val="4"/>
      </w:numPr>
      <w:tabs>
        <w:tab w:val="left" w:pos="1620"/>
        <w:tab w:val="clear" w:pos="6930"/>
      </w:tabs>
      <w:spacing w:before="60"/>
      <w:ind w:left="1620"/>
    </w:pPr>
    <w:rPr>
      <w:rFonts w:ascii="Arial" w:hAnsi="Arial" w:eastAsia="MS Mincho"/>
      <w:b/>
      <w:szCs w:val="24"/>
      <w:lang w:eastAsia="en-GB"/>
    </w:rPr>
  </w:style>
  <w:style w:type="character" w:customStyle="1" w:styleId="94">
    <w:name w:val="Body Text Char"/>
    <w:basedOn w:val="32"/>
    <w:link w:val="22"/>
    <w:qFormat/>
    <w:uiPriority w:val="0"/>
    <w:rPr>
      <w:rFonts w:ascii="Arial" w:hAnsi="Arial" w:eastAsia="Times New Roman"/>
      <w:lang w:eastAsia="zh-CN"/>
    </w:rPr>
  </w:style>
  <w:style w:type="character" w:customStyle="1" w:styleId="95">
    <w:name w:val="Unresolved Mention2"/>
    <w:basedOn w:val="32"/>
    <w:semiHidden/>
    <w:unhideWhenUsed/>
    <w:qFormat/>
    <w:uiPriority w:val="99"/>
    <w:rPr>
      <w:color w:val="605E5C"/>
      <w:shd w:val="clear" w:color="auto" w:fill="E1DFDD"/>
    </w:rPr>
  </w:style>
  <w:style w:type="character" w:customStyle="1" w:styleId="96">
    <w:name w:val="Unresolved Mention3"/>
    <w:basedOn w:val="32"/>
    <w:semiHidden/>
    <w:unhideWhenUsed/>
    <w:qFormat/>
    <w:uiPriority w:val="99"/>
    <w:rPr>
      <w:color w:val="605E5C"/>
      <w:shd w:val="clear" w:color="auto" w:fill="E1DFDD"/>
    </w:rPr>
  </w:style>
  <w:style w:type="paragraph" w:customStyle="1" w:styleId="97">
    <w:name w:val="00 BodyText"/>
    <w:basedOn w:val="1"/>
    <w:qFormat/>
    <w:uiPriority w:val="0"/>
    <w:pPr>
      <w:overflowPunct w:val="0"/>
      <w:autoSpaceDE w:val="0"/>
      <w:autoSpaceDN w:val="0"/>
      <w:adjustRightInd w:val="0"/>
      <w:spacing w:after="220"/>
      <w:textAlignment w:val="baseline"/>
    </w:pPr>
    <w:rPr>
      <w:rFonts w:ascii="Arial" w:hAnsi="Arial" w:eastAsia="Times New Roman"/>
    </w:rPr>
  </w:style>
  <w:style w:type="character" w:customStyle="1" w:styleId="98">
    <w:name w:val="List Paragraph Char"/>
    <w:link w:val="89"/>
    <w:qFormat/>
    <w:uiPriority w:val="34"/>
    <w:rPr>
      <w:lang w:val="en-GB" w:eastAsia="en-US"/>
    </w:rPr>
  </w:style>
  <w:style w:type="paragraph" w:customStyle="1" w:styleId="99">
    <w:name w:val="xmsonormal"/>
    <w:basedOn w:val="1"/>
    <w:qFormat/>
    <w:uiPriority w:val="99"/>
    <w:pPr>
      <w:spacing w:before="100" w:beforeAutospacing="1" w:after="100" w:afterAutospacing="1"/>
    </w:pPr>
    <w:rPr>
      <w:rFonts w:eastAsia="Calibri"/>
    </w:rPr>
  </w:style>
  <w:style w:type="paragraph" w:customStyle="1" w:styleId="100">
    <w:name w:val="x_xxmsonormal"/>
    <w:basedOn w:val="1"/>
    <w:qFormat/>
    <w:uiPriority w:val="99"/>
    <w:rPr>
      <w:rFonts w:eastAsia="Malgun Gothic"/>
      <w:sz w:val="24"/>
      <w:szCs w:val="24"/>
    </w:rPr>
  </w:style>
  <w:style w:type="character" w:customStyle="1" w:styleId="101">
    <w:name w:val="PL Char"/>
    <w:link w:val="45"/>
    <w:qFormat/>
    <w:uiPriority w:val="0"/>
    <w:rPr>
      <w:rFonts w:ascii="Courier New" w:hAnsi="Courier New"/>
      <w:sz w:val="16"/>
      <w:lang w:val="en-GB" w:eastAsia="en-US"/>
    </w:rPr>
  </w:style>
  <w:style w:type="paragraph" w:customStyle="1" w:styleId="102">
    <w:name w:val="Revision1"/>
    <w:hidden/>
    <w:semiHidden/>
    <w:qFormat/>
    <w:uiPriority w:val="99"/>
    <w:pPr>
      <w:spacing w:after="160" w:line="259" w:lineRule="auto"/>
    </w:pPr>
    <w:rPr>
      <w:rFonts w:ascii="Calibri" w:hAnsi="Calibri" w:cs="Calibri" w:eastAsiaTheme="minorEastAsia"/>
      <w:sz w:val="22"/>
      <w:szCs w:val="22"/>
      <w:lang w:val="en-US" w:eastAsia="ko-KR" w:bidi="ar-SA"/>
    </w:rPr>
  </w:style>
  <w:style w:type="character" w:customStyle="1" w:styleId="103">
    <w:name w:val="NO Char"/>
    <w:link w:val="44"/>
    <w:qFormat/>
    <w:uiPriority w:val="0"/>
    <w:rPr>
      <w:rFonts w:ascii="Calibri" w:hAnsi="Calibri" w:cs="Calibri" w:eastAsiaTheme="minorEastAsia"/>
      <w:sz w:val="22"/>
      <w:szCs w:val="22"/>
      <w:lang w:eastAsia="ko-KR"/>
    </w:rPr>
  </w:style>
  <w:style w:type="character" w:customStyle="1" w:styleId="104">
    <w:name w:val="B1 Char1"/>
    <w:link w:val="55"/>
    <w:qFormat/>
    <w:uiPriority w:val="0"/>
    <w:rPr>
      <w:rFonts w:ascii="Calibri" w:hAnsi="Calibri" w:cs="Calibri" w:eastAsiaTheme="minorEastAsia"/>
      <w:sz w:val="22"/>
      <w:szCs w:val="22"/>
      <w:lang w:eastAsia="ko-KR"/>
    </w:rPr>
  </w:style>
  <w:style w:type="character" w:customStyle="1" w:styleId="105">
    <w:name w:val="B2 Char"/>
    <w:link w:val="66"/>
    <w:qFormat/>
    <w:uiPriority w:val="0"/>
    <w:rPr>
      <w:rFonts w:ascii="Calibri" w:hAnsi="Calibri" w:cs="Calibri" w:eastAsiaTheme="minorEastAsia"/>
      <w:sz w:val="22"/>
      <w:szCs w:val="22"/>
      <w:lang w:eastAsia="ko-KR"/>
    </w:rPr>
  </w:style>
  <w:style w:type="character" w:customStyle="1" w:styleId="106">
    <w:name w:val="B3 Char2"/>
    <w:link w:val="67"/>
    <w:qFormat/>
    <w:uiPriority w:val="0"/>
    <w:rPr>
      <w:rFonts w:ascii="Calibri" w:hAnsi="Calibri" w:cs="Calibri" w:eastAsiaTheme="minorEastAsia"/>
      <w:sz w:val="22"/>
      <w:szCs w:val="22"/>
      <w:lang w:eastAsia="ko-KR"/>
    </w:rPr>
  </w:style>
  <w:style w:type="character" w:customStyle="1" w:styleId="107">
    <w:name w:val="B4 Char"/>
    <w:link w:val="68"/>
    <w:qFormat/>
    <w:uiPriority w:val="0"/>
    <w:rPr>
      <w:rFonts w:ascii="Calibri" w:hAnsi="Calibri" w:cs="Calibri" w:eastAsiaTheme="minorEastAsia"/>
      <w:sz w:val="22"/>
      <w:szCs w:val="22"/>
      <w:lang w:eastAsia="ko-KR"/>
    </w:rPr>
  </w:style>
  <w:style w:type="character" w:customStyle="1" w:styleId="108">
    <w:name w:val="apple-converted-space"/>
    <w:basedOn w:val="32"/>
    <w:qFormat/>
    <w:uiPriority w:val="0"/>
  </w:style>
  <w:style w:type="paragraph" w:customStyle="1" w:styleId="109">
    <w:name w:val="Proposal"/>
    <w:basedOn w:val="89"/>
    <w:link w:val="110"/>
    <w:qFormat/>
    <w:uiPriority w:val="0"/>
    <w:pPr>
      <w:numPr>
        <w:ilvl w:val="0"/>
        <w:numId w:val="5"/>
      </w:numPr>
      <w:overflowPunct w:val="0"/>
      <w:autoSpaceDE w:val="0"/>
      <w:autoSpaceDN w:val="0"/>
      <w:adjustRightInd w:val="0"/>
      <w:spacing w:before="240" w:after="240" w:line="360" w:lineRule="auto"/>
      <w:textAlignment w:val="baseline"/>
    </w:pPr>
    <w:rPr>
      <w:rFonts w:ascii="Times New Roman" w:hAnsi="Times New Roman" w:eastAsia="Times New Roman" w:cs="Times New Roman"/>
      <w:b/>
      <w:sz w:val="20"/>
      <w:szCs w:val="20"/>
      <w:lang w:val="en-GB" w:eastAsia="en-US"/>
    </w:rPr>
  </w:style>
  <w:style w:type="character" w:customStyle="1" w:styleId="110">
    <w:name w:val="Proposal Char"/>
    <w:link w:val="109"/>
    <w:qFormat/>
    <w:uiPriority w:val="0"/>
    <w:rPr>
      <w:rFonts w:eastAsia="Times New Roman"/>
      <w:b/>
      <w:lang w:val="en-GB" w:eastAsia="en-US"/>
    </w:rPr>
  </w:style>
  <w:style w:type="character" w:customStyle="1" w:styleId="111">
    <w:name w:val="B1 Char"/>
    <w:basedOn w:val="32"/>
    <w:qFormat/>
    <w:locked/>
    <w:uiPriority w:val="0"/>
  </w:style>
  <w:style w:type="character" w:customStyle="1" w:styleId="112">
    <w:name w:val="TAL Car"/>
    <w:link w:val="47"/>
    <w:qFormat/>
    <w:uiPriority w:val="0"/>
    <w:rPr>
      <w:rFonts w:ascii="Arial" w:hAnsi="Arial" w:cs="Calibri" w:eastAsiaTheme="minorEastAsia"/>
      <w:sz w:val="18"/>
      <w:szCs w:val="22"/>
      <w:lang w:eastAsia="ko-KR"/>
    </w:rPr>
  </w:style>
  <w:style w:type="character" w:customStyle="1" w:styleId="113">
    <w:name w:val="TAH Car"/>
    <w:link w:val="48"/>
    <w:qFormat/>
    <w:locked/>
    <w:uiPriority w:val="0"/>
    <w:rPr>
      <w:rFonts w:ascii="Arial" w:hAnsi="Arial" w:cs="Calibri" w:eastAsiaTheme="minorEastAsia"/>
      <w:b/>
      <w:sz w:val="18"/>
      <w:szCs w:val="22"/>
      <w:lang w:eastAsia="ko-KR"/>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BE64D-AEB9-4F0E-A86C-7930344E0637}">
  <ds:schemaRefs/>
</ds:datastoreItem>
</file>

<file path=customXml/itemProps3.xml><?xml version="1.0" encoding="utf-8"?>
<ds:datastoreItem xmlns:ds="http://schemas.openxmlformats.org/officeDocument/2006/customXml" ds:itemID="{E9C2D189-B372-4CDB-BD7B-9DDE09592886}">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71</Pages>
  <Words>10776</Words>
  <Characters>61427</Characters>
  <Lines>511</Lines>
  <Paragraphs>144</Paragraphs>
  <TotalTime>1</TotalTime>
  <ScaleCrop>false</ScaleCrop>
  <LinksUpToDate>false</LinksUpToDate>
  <CharactersWithSpaces>72059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2022-02-21T09:06:00Z</dcterms:created>
  <dc:creator>Benoist</dc:creator>
  <cp:lastModifiedBy>ZTE-qzh</cp:lastModifiedBy>
  <dcterms:modified xsi:type="dcterms:W3CDTF">2022-02-21T14:25:37Z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