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[AT116bis-e][107][NTN]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[AT116bis-e][107][NTN] Other MAC aspects (</w:t>
      </w:r>
      <w:proofErr w:type="spellStart"/>
      <w:r>
        <w:t>InterDigital</w:t>
      </w:r>
      <w:proofErr w:type="spellEnd"/>
      <w:r>
        <w:t>)</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Heading1"/>
      </w:pPr>
      <w:r>
        <w:t>DRX Timers</w:t>
      </w:r>
    </w:p>
    <w:p w14:paraId="76DE6F94" w14:textId="77777777" w:rsidR="00283F2B" w:rsidRDefault="006D0C0A">
      <w:pPr>
        <w:pStyle w:val="Heading2"/>
        <w:rPr>
          <w:lang w:val="fr-FR"/>
        </w:rPr>
      </w:pPr>
      <w:r>
        <w:rPr>
          <w:lang w:val="fr-FR"/>
        </w:rPr>
        <w:t>Drx-RetransmissionTimerUL</w:t>
      </w:r>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w:t>
      </w:r>
      <w:proofErr w:type="spellStart"/>
      <w:r>
        <w:rPr>
          <w:i/>
          <w:iCs/>
          <w:lang w:val="en-US" w:eastAsia="ko-KR"/>
        </w:rPr>
        <w:t>DRX</w:t>
      </w:r>
      <w:proofErr w:type="spellEnd"/>
      <w:r>
        <w:rPr>
          <w:i/>
          <w:iCs/>
          <w:lang w:val="en-US" w:eastAsia="ko-KR"/>
        </w:rPr>
        <w:t>-LCP-Mode</w:t>
      </w:r>
      <w:r>
        <w:rPr>
          <w:lang w:val="en-US"/>
        </w:rPr>
        <w:t xml:space="preserve"> </w:t>
      </w:r>
      <w:r>
        <w:rPr>
          <w:lang w:eastAsia="ko-KR"/>
        </w:rPr>
        <w:t xml:space="preserve">and a </w:t>
      </w:r>
      <w:proofErr w:type="spellStart"/>
      <w:r>
        <w:rPr>
          <w:lang w:eastAsia="ko-KR"/>
        </w:rPr>
        <w:t>HARQ</w:t>
      </w:r>
      <w:proofErr w:type="spellEnd"/>
      <w:r>
        <w:rPr>
          <w:lang w:eastAsia="ko-KR"/>
        </w:rPr>
        <w:t xml:space="preserve"> process is configured with </w:t>
      </w:r>
      <w:proofErr w:type="spellStart"/>
      <w:r>
        <w:rPr>
          <w:lang w:eastAsia="ko-KR"/>
        </w:rPr>
        <w:t>DRX</w:t>
      </w:r>
      <w:proofErr w:type="spellEnd"/>
      <w:r>
        <w:rPr>
          <w:lang w:eastAsia="ko-KR"/>
        </w:rPr>
        <w:t>-LCP Mode B,</w:t>
      </w:r>
      <w:r>
        <w:rPr>
          <w:lang w:val="en-US"/>
        </w:rPr>
        <w:t xml:space="preserve"> </w:t>
      </w:r>
      <w:proofErr w:type="spellStart"/>
      <w:r>
        <w:rPr>
          <w:i/>
          <w:iCs/>
        </w:rPr>
        <w:t>drx-HARQ-RTT-TimerUL</w:t>
      </w:r>
      <w:proofErr w:type="spellEnd"/>
      <w:r>
        <w:t xml:space="preserve"> is not started for the corresponding </w:t>
      </w:r>
      <w:proofErr w:type="spellStart"/>
      <w:r>
        <w:t>HARQ</w:t>
      </w:r>
      <w:proofErr w:type="spellEnd"/>
      <w:r>
        <w:t xml:space="preserve">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w:t>
            </w:r>
            <w:proofErr w:type="spellStart"/>
            <w:r>
              <w:rPr>
                <w:i w:val="0"/>
                <w:iCs/>
              </w:rPr>
              <w:t>HARQ</w:t>
            </w:r>
            <w:proofErr w:type="spellEnd"/>
            <w:r>
              <w:rPr>
                <w:i w:val="0"/>
                <w:iCs/>
              </w:rPr>
              <w:t xml:space="preserve">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w:t>
            </w:r>
            <w:proofErr w:type="spellStart"/>
            <w:r>
              <w:rPr>
                <w:i w:val="0"/>
                <w:iCs/>
              </w:rPr>
              <w:t>HARQ</w:t>
            </w:r>
            <w:proofErr w:type="spellEnd"/>
            <w:r>
              <w:rPr>
                <w:i w:val="0"/>
                <w:iCs/>
              </w:rPr>
              <w:t xml:space="preserve">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w:t>
            </w:r>
            <w:proofErr w:type="spellStart"/>
            <w:r>
              <w:rPr>
                <w:i w:val="0"/>
                <w:iCs/>
              </w:rPr>
              <w:t>HARQ</w:t>
            </w:r>
            <w:proofErr w:type="spellEnd"/>
            <w:r>
              <w:rPr>
                <w:i w:val="0"/>
                <w:iCs/>
              </w:rPr>
              <w:t xml:space="preserve">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To support blind retransmission for UL HARQ process(es) configured with HARQ state B, it is gNB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 xml:space="preserve">In </w:t>
            </w:r>
            <w:proofErr w:type="spellStart"/>
            <w:r>
              <w:rPr>
                <w:i w:val="0"/>
                <w:iCs/>
              </w:rPr>
              <w:t>HARQ</w:t>
            </w:r>
            <w:proofErr w:type="spellEnd"/>
            <w:r>
              <w:rPr>
                <w:i w:val="0"/>
                <w:iCs/>
              </w:rPr>
              <w:t xml:space="preserve"> State B (</w:t>
            </w:r>
            <w:proofErr w:type="spellStart"/>
            <w:r>
              <w:rPr>
                <w:i w:val="0"/>
                <w:iCs/>
              </w:rPr>
              <w:t>RTT</w:t>
            </w:r>
            <w:proofErr w:type="spellEnd"/>
            <w:r>
              <w:rPr>
                <w:i w:val="0"/>
                <w:iCs/>
              </w:rPr>
              <w: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r>
              <w:rPr>
                <w:sz w:val="18"/>
                <w:szCs w:val="18"/>
              </w:rPr>
              <w:t>Mediatek</w:t>
            </w:r>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proofErr w:type="spellStart"/>
            <w:r>
              <w:rPr>
                <w:sz w:val="18"/>
                <w:szCs w:val="22"/>
              </w:rPr>
              <w:t>InterDigital</w:t>
            </w:r>
            <w:proofErr w:type="spellEnd"/>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Start Retransmission Timer  [1,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The reason for not reusing inactivity timer is two folder:</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lastRenderedPageBreak/>
              <w:t>schedulings</w:t>
            </w:r>
            <w:proofErr w:type="spellEnd"/>
            <w:r>
              <w:rPr>
                <w:rFonts w:eastAsiaTheme="minorEastAsia"/>
              </w:rPr>
              <w:t xml:space="preserve"> 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w:t>
            </w:r>
            <w:proofErr w:type="spellStart"/>
            <w:r>
              <w:rPr>
                <w:rFonts w:eastAsiaTheme="minorEastAsia"/>
              </w:rPr>
              <w:t>DRX</w:t>
            </w:r>
            <w:proofErr w:type="spellEnd"/>
            <w:r>
              <w:rPr>
                <w:rFonts w:eastAsiaTheme="minorEastAsia"/>
              </w:rPr>
              <w:t xml:space="preserve">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r>
              <w:rPr>
                <w:rFonts w:eastAsiaTheme="minorEastAsia"/>
              </w:rPr>
              <w:t>ther</w:t>
            </w:r>
            <w:proofErr w:type="spellEnd"/>
            <w:r>
              <w:rPr>
                <w:rFonts w:eastAsiaTheme="minorEastAsia"/>
              </w:rPr>
              <w:t xml:space="preserve">  retransmissions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DengXian"/>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gNB is well aware of when UE is in active time via other timers, e.g. inactivity timer. So gNB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DengXian"/>
                <w:lang w:val="en-US"/>
              </w:rPr>
            </w:pPr>
            <w:r>
              <w:rPr>
                <w:rFonts w:eastAsia="DengXian" w:hint="eastAsia"/>
                <w:lang w:val="en-US"/>
              </w:rPr>
              <w:t>ZTE</w:t>
            </w:r>
          </w:p>
        </w:tc>
        <w:tc>
          <w:tcPr>
            <w:tcW w:w="1739" w:type="dxa"/>
          </w:tcPr>
          <w:p w14:paraId="136942C5" w14:textId="77777777" w:rsidR="00283F2B" w:rsidRDefault="006D0C0A">
            <w:pPr>
              <w:rPr>
                <w:rFonts w:eastAsia="DengXian"/>
                <w:lang w:val="en-US"/>
              </w:rPr>
            </w:pPr>
            <w:r>
              <w:rPr>
                <w:rFonts w:eastAsia="DengXian" w:hint="eastAsia"/>
                <w:lang w:val="en-US"/>
              </w:rPr>
              <w:t>Agree</w:t>
            </w:r>
          </w:p>
        </w:tc>
        <w:tc>
          <w:tcPr>
            <w:tcW w:w="6480" w:type="dxa"/>
          </w:tcPr>
          <w:p w14:paraId="48332E9F" w14:textId="77777777" w:rsidR="00283F2B" w:rsidRDefault="006D0C0A">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approach, if there are other DRX timer that can keep UE in ACTIVE time UE will still </w:t>
            </w:r>
            <w:r>
              <w:rPr>
                <w:rFonts w:eastAsia="DengXian" w:hint="eastAsia"/>
                <w:lang w:val="en-US"/>
              </w:rPr>
              <w:lastRenderedPageBreak/>
              <w:t xml:space="preserve">monitor PDCCH anyway. </w:t>
            </w:r>
          </w:p>
        </w:tc>
      </w:tr>
      <w:tr w:rsidR="00EE1581" w14:paraId="77B3B27D" w14:textId="77777777">
        <w:tc>
          <w:tcPr>
            <w:tcW w:w="1496" w:type="dxa"/>
          </w:tcPr>
          <w:p w14:paraId="34B157F6" w14:textId="77777777" w:rsidR="00EE1581" w:rsidRDefault="00EE1581" w:rsidP="00EE1581">
            <w:pPr>
              <w:rPr>
                <w:rFonts w:eastAsia="DengXian"/>
              </w:rPr>
            </w:pPr>
            <w:proofErr w:type="spellStart"/>
            <w:r>
              <w:rPr>
                <w:rFonts w:eastAsia="DengXian" w:hint="eastAsia"/>
              </w:rPr>
              <w:lastRenderedPageBreak/>
              <w:t>S</w:t>
            </w:r>
            <w:r>
              <w:rPr>
                <w:rFonts w:eastAsia="DengXian"/>
              </w:rPr>
              <w:t>preadtrum</w:t>
            </w:r>
            <w:proofErr w:type="spellEnd"/>
          </w:p>
        </w:tc>
        <w:tc>
          <w:tcPr>
            <w:tcW w:w="1739" w:type="dxa"/>
          </w:tcPr>
          <w:p w14:paraId="12885701" w14:textId="77777777" w:rsidR="00EE1581" w:rsidRDefault="00EE1581" w:rsidP="00EE1581">
            <w:pPr>
              <w:rPr>
                <w:rFonts w:eastAsia="DengXian"/>
              </w:rPr>
            </w:pPr>
            <w:r>
              <w:rPr>
                <w:rFonts w:eastAsia="DengXian" w:hint="eastAsia"/>
              </w:rPr>
              <w:t>D</w:t>
            </w:r>
            <w:r>
              <w:rPr>
                <w:rFonts w:eastAsia="DengXian"/>
              </w:rPr>
              <w:t>isagree</w:t>
            </w:r>
          </w:p>
        </w:tc>
        <w:tc>
          <w:tcPr>
            <w:tcW w:w="6480" w:type="dxa"/>
          </w:tcPr>
          <w:p w14:paraId="137E84A7" w14:textId="77777777" w:rsidR="00EE1581" w:rsidRPr="00A55A94" w:rsidRDefault="00EE1581" w:rsidP="00EE1581">
            <w:pPr>
              <w:rPr>
                <w:rFonts w:eastAsia="DengXian"/>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DengXian"/>
              </w:rPr>
              <w:t>Qualcomm</w:t>
            </w:r>
          </w:p>
        </w:tc>
        <w:tc>
          <w:tcPr>
            <w:tcW w:w="1739" w:type="dxa"/>
          </w:tcPr>
          <w:p w14:paraId="1C089696" w14:textId="7CE4705C" w:rsidR="00173B40" w:rsidRDefault="00173B40" w:rsidP="00173B40">
            <w:pPr>
              <w:rPr>
                <w:rFonts w:eastAsiaTheme="minorEastAsia"/>
              </w:rPr>
            </w:pPr>
            <w:r>
              <w:rPr>
                <w:rFonts w:eastAsia="DengXian"/>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r w:rsidR="006770BB" w14:paraId="31484D31" w14:textId="77777777">
        <w:tc>
          <w:tcPr>
            <w:tcW w:w="1496" w:type="dxa"/>
          </w:tcPr>
          <w:p w14:paraId="0772010C" w14:textId="45018F4A" w:rsidR="006770BB" w:rsidRPr="006770BB" w:rsidRDefault="006770BB" w:rsidP="00D45DF2">
            <w:pPr>
              <w:rPr>
                <w:lang w:eastAsia="sv-SE"/>
              </w:rPr>
            </w:pPr>
            <w:r>
              <w:rPr>
                <w:rFonts w:eastAsia="DengXian" w:hint="eastAsia"/>
              </w:rPr>
              <w:t>CATT</w:t>
            </w:r>
          </w:p>
        </w:tc>
        <w:tc>
          <w:tcPr>
            <w:tcW w:w="1739" w:type="dxa"/>
          </w:tcPr>
          <w:p w14:paraId="3B9ED1AC" w14:textId="67E2E106" w:rsidR="006770BB" w:rsidRDefault="006770BB" w:rsidP="00D45DF2">
            <w:pPr>
              <w:rPr>
                <w:lang w:eastAsia="sv-SE"/>
              </w:rPr>
            </w:pPr>
            <w:r>
              <w:rPr>
                <w:rFonts w:eastAsia="DengXian" w:hint="eastAsia"/>
              </w:rPr>
              <w:t>Agree</w:t>
            </w:r>
          </w:p>
        </w:tc>
        <w:tc>
          <w:tcPr>
            <w:tcW w:w="6480" w:type="dxa"/>
          </w:tcPr>
          <w:p w14:paraId="56DE82AF" w14:textId="05DF868A" w:rsidR="006770BB" w:rsidRDefault="006770BB" w:rsidP="00D45DF2">
            <w:pPr>
              <w:rPr>
                <w:lang w:eastAsia="sv-SE"/>
              </w:rPr>
            </w:pPr>
            <w:r>
              <w:rPr>
                <w:rFonts w:eastAsiaTheme="minorEastAsia" w:hint="eastAsia"/>
              </w:rPr>
              <w:t xml:space="preserve">In the current </w:t>
            </w:r>
            <w:proofErr w:type="spellStart"/>
            <w:r>
              <w:rPr>
                <w:rFonts w:eastAsiaTheme="minorEastAsia" w:hint="eastAsia"/>
              </w:rPr>
              <w:t>DRX</w:t>
            </w:r>
            <w:proofErr w:type="spellEnd"/>
            <w:r>
              <w:rPr>
                <w:rFonts w:eastAsiaTheme="minorEastAsia" w:hint="eastAsia"/>
              </w:rPr>
              <w:t xml:space="preserve"> </w:t>
            </w:r>
            <w:r>
              <w:rPr>
                <w:rFonts w:eastAsiaTheme="minorEastAsia"/>
              </w:rPr>
              <w:t>m</w:t>
            </w:r>
            <w:r>
              <w:rPr>
                <w:rFonts w:eastAsiaTheme="minorEastAsia" w:hint="eastAsia"/>
              </w:rPr>
              <w:t xml:space="preserve">echanism, the </w:t>
            </w:r>
            <w:proofErr w:type="spellStart"/>
            <w:r>
              <w:rPr>
                <w:i/>
                <w:lang w:eastAsia="ko-KR"/>
              </w:rPr>
              <w:t>drx-InactivityTimer</w:t>
            </w:r>
            <w:proofErr w:type="spellEnd"/>
            <w:r>
              <w:rPr>
                <w:rFonts w:eastAsiaTheme="minorEastAsia" w:hint="eastAsia"/>
              </w:rPr>
              <w:t xml:space="preserve"> is started or restarted when the PDCCH indicates a new transmission,</w:t>
            </w:r>
            <w:r>
              <w:rPr>
                <w:rFonts w:eastAsiaTheme="minorEastAsia" w:hint="eastAsia"/>
                <w:i/>
              </w:rPr>
              <w:t xml:space="preserve"> </w:t>
            </w:r>
            <w:r>
              <w:rPr>
                <w:rFonts w:eastAsiaTheme="minorEastAsia" w:hint="eastAsia"/>
              </w:rPr>
              <w:t xml:space="preserve">allowing UE receives the subsequent retransmission </w:t>
            </w:r>
            <w:r w:rsidRPr="007B2F77">
              <w:rPr>
                <w:lang w:eastAsia="ko-KR"/>
              </w:rPr>
              <w:t xml:space="preserve">within </w:t>
            </w:r>
            <w:r>
              <w:rPr>
                <w:rFonts w:eastAsiaTheme="minorEastAsia" w:hint="eastAsia"/>
              </w:rPr>
              <w:t>same</w:t>
            </w:r>
            <w:r w:rsidRPr="007B2F77">
              <w:rPr>
                <w:lang w:eastAsia="ko-KR"/>
              </w:rPr>
              <w:t xml:space="preserve"> bundle </w:t>
            </w:r>
            <w:r>
              <w:rPr>
                <w:rFonts w:eastAsiaTheme="minorEastAsia" w:hint="eastAsia"/>
              </w:rPr>
              <w:t xml:space="preserve">after </w:t>
            </w:r>
            <w:r>
              <w:rPr>
                <w:rFonts w:eastAsiaTheme="minorEastAsia"/>
              </w:rPr>
              <w:t>the</w:t>
            </w:r>
            <w:r>
              <w:rPr>
                <w:rFonts w:eastAsiaTheme="minorEastAsia" w:hint="eastAsia"/>
              </w:rPr>
              <w:t xml:space="preserve"> first DL transmission of blind retransmission</w:t>
            </w:r>
            <w:r w:rsidRPr="007B2F77">
              <w:rPr>
                <w:lang w:eastAsia="ko-KR"/>
              </w:rPr>
              <w:t xml:space="preserve"> </w:t>
            </w:r>
            <w:r>
              <w:rPr>
                <w:rFonts w:eastAsiaTheme="minorEastAsia" w:hint="eastAsia"/>
              </w:rPr>
              <w:t xml:space="preserve">in the duration of </w:t>
            </w:r>
            <w:proofErr w:type="spellStart"/>
            <w:r>
              <w:rPr>
                <w:i/>
                <w:lang w:eastAsia="ko-KR"/>
              </w:rPr>
              <w:t>drx-InactivityTimer</w:t>
            </w:r>
            <w:proofErr w:type="spellEnd"/>
            <w:r>
              <w:rPr>
                <w:rFonts w:eastAsiaTheme="minorEastAsia" w:hint="eastAsia"/>
              </w:rPr>
              <w:t>.</w:t>
            </w:r>
          </w:p>
        </w:tc>
      </w:tr>
      <w:tr w:rsidR="00AD05A3" w14:paraId="32F69EF0" w14:textId="77777777">
        <w:tc>
          <w:tcPr>
            <w:tcW w:w="1496" w:type="dxa"/>
          </w:tcPr>
          <w:p w14:paraId="2C705344" w14:textId="37E71249" w:rsidR="00AD05A3" w:rsidRDefault="00AD05A3" w:rsidP="00AD05A3">
            <w:pPr>
              <w:rPr>
                <w:rFonts w:eastAsia="DengXian"/>
              </w:rPr>
            </w:pPr>
            <w:r>
              <w:rPr>
                <w:rFonts w:eastAsiaTheme="minorEastAsia"/>
              </w:rPr>
              <w:t>Nokia</w:t>
            </w:r>
          </w:p>
        </w:tc>
        <w:tc>
          <w:tcPr>
            <w:tcW w:w="1739" w:type="dxa"/>
          </w:tcPr>
          <w:p w14:paraId="6C3721E1" w14:textId="36B53A49" w:rsidR="00AD05A3" w:rsidRDefault="00AD05A3" w:rsidP="00AD05A3">
            <w:pPr>
              <w:rPr>
                <w:rFonts w:eastAsia="DengXian"/>
              </w:rPr>
            </w:pPr>
            <w:r>
              <w:rPr>
                <w:rFonts w:eastAsiaTheme="minorEastAsia"/>
              </w:rPr>
              <w:t>Agree</w:t>
            </w:r>
          </w:p>
        </w:tc>
        <w:tc>
          <w:tcPr>
            <w:tcW w:w="6480" w:type="dxa"/>
          </w:tcPr>
          <w:p w14:paraId="1A1BAE33" w14:textId="71A4A5E9" w:rsidR="00AD05A3" w:rsidRDefault="00BC27EF" w:rsidP="00AD05A3">
            <w:pPr>
              <w:rPr>
                <w:rFonts w:eastAsiaTheme="minorEastAsia"/>
              </w:rPr>
            </w:pPr>
            <w:r>
              <w:rPr>
                <w:rFonts w:eastAsiaTheme="minorEastAsia"/>
              </w:rPr>
              <w:t xml:space="preserve"> </w:t>
            </w:r>
          </w:p>
        </w:tc>
      </w:tr>
      <w:tr w:rsidR="00AD05A3" w14:paraId="1ACFD5C2" w14:textId="77777777">
        <w:tc>
          <w:tcPr>
            <w:tcW w:w="1496" w:type="dxa"/>
          </w:tcPr>
          <w:p w14:paraId="162A6D66" w14:textId="22D86DBC" w:rsidR="00AD05A3" w:rsidRDefault="006670ED" w:rsidP="00AD05A3">
            <w:pPr>
              <w:rPr>
                <w:rFonts w:eastAsiaTheme="minorEastAsia"/>
              </w:rPr>
            </w:pPr>
            <w:r>
              <w:rPr>
                <w:rFonts w:eastAsiaTheme="minorEastAsia"/>
              </w:rPr>
              <w:t>Sequans</w:t>
            </w:r>
          </w:p>
        </w:tc>
        <w:tc>
          <w:tcPr>
            <w:tcW w:w="1739" w:type="dxa"/>
          </w:tcPr>
          <w:p w14:paraId="74B3AACF" w14:textId="08197AAA" w:rsidR="00AD05A3" w:rsidRDefault="006670ED" w:rsidP="00AD05A3">
            <w:pPr>
              <w:rPr>
                <w:rFonts w:eastAsiaTheme="minorEastAsia"/>
              </w:rPr>
            </w:pPr>
            <w:r>
              <w:rPr>
                <w:rFonts w:eastAsiaTheme="minorEastAsia"/>
              </w:rPr>
              <w:t>Agree</w:t>
            </w:r>
          </w:p>
        </w:tc>
        <w:tc>
          <w:tcPr>
            <w:tcW w:w="6480" w:type="dxa"/>
          </w:tcPr>
          <w:p w14:paraId="2BACAF5A" w14:textId="77777777" w:rsidR="00AD05A3" w:rsidRDefault="00AD05A3" w:rsidP="00AD05A3">
            <w:pPr>
              <w:rPr>
                <w:rFonts w:eastAsiaTheme="minorEastAsia"/>
              </w:rPr>
            </w:pPr>
          </w:p>
        </w:tc>
      </w:tr>
    </w:tbl>
    <w:p w14:paraId="4463A851" w14:textId="77777777" w:rsidR="00283F2B" w:rsidRDefault="006D0C0A">
      <w:pPr>
        <w:pStyle w:val="Heading2"/>
        <w:rPr>
          <w:lang w:val="fr-FR"/>
        </w:rPr>
      </w:pPr>
      <w:proofErr w:type="spellStart"/>
      <w:r>
        <w:rPr>
          <w:lang w:val="fr-FR"/>
        </w:rPr>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w:t>
      </w:r>
      <w:proofErr w:type="spellStart"/>
      <w:r>
        <w:rPr>
          <w:lang w:eastAsia="ko-KR"/>
        </w:rPr>
        <w:t>HARQ</w:t>
      </w:r>
      <w:proofErr w:type="spellEnd"/>
      <w:r>
        <w:rPr>
          <w:lang w:eastAsia="ko-KR"/>
        </w:rPr>
        <w:t xml:space="preserve"> process, </w:t>
      </w:r>
      <w:proofErr w:type="spellStart"/>
      <w:r>
        <w:rPr>
          <w:i/>
          <w:lang w:eastAsia="ko-KR"/>
        </w:rPr>
        <w:t>drx-HARQ-RTT-TimerDL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w:t>
      </w:r>
      <w:proofErr w:type="spellStart"/>
      <w:r>
        <w:rPr>
          <w:iCs/>
          <w:lang w:eastAsia="ko-KR"/>
        </w:rPr>
        <w:t>HARQ</w:t>
      </w:r>
      <w:proofErr w:type="spellEnd"/>
      <w:r>
        <w:rPr>
          <w:iCs/>
          <w:lang w:eastAsia="ko-KR"/>
        </w:rPr>
        <w:t xml:space="preserve">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w:t>
            </w:r>
            <w:proofErr w:type="spellStart"/>
            <w:r>
              <w:rPr>
                <w:i w:val="0"/>
                <w:iCs/>
              </w:rPr>
              <w:t>HARQ</w:t>
            </w:r>
            <w:proofErr w:type="spellEnd"/>
            <w:r>
              <w:rPr>
                <w:i w:val="0"/>
                <w:iCs/>
              </w:rPr>
              <w:t xml:space="preserve">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w:t>
            </w:r>
            <w:proofErr w:type="spellStart"/>
            <w:r>
              <w:rPr>
                <w:i w:val="0"/>
                <w:iCs/>
              </w:rPr>
              <w:t>HARQ</w:t>
            </w:r>
            <w:proofErr w:type="spellEnd"/>
            <w:r>
              <w:rPr>
                <w:i w:val="0"/>
                <w:iCs/>
              </w:rPr>
              <w:t xml:space="preserve">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w:t>
            </w:r>
            <w:r>
              <w:rPr>
                <w:i w:val="0"/>
                <w:iCs/>
              </w:rPr>
              <w:lastRenderedPageBreak/>
              <w:t>T_proc,1) for HARQ process(es) configured with disabled DL HARQ feedback.</w:t>
            </w:r>
          </w:p>
        </w:tc>
        <w:tc>
          <w:tcPr>
            <w:tcW w:w="1354" w:type="dxa"/>
          </w:tcPr>
          <w:p w14:paraId="76CCCA83" w14:textId="77777777" w:rsidR="00283F2B" w:rsidRDefault="006D0C0A">
            <w:pPr>
              <w:pStyle w:val="NoSpacing"/>
              <w:rPr>
                <w:sz w:val="18"/>
                <w:szCs w:val="22"/>
              </w:rPr>
            </w:pPr>
            <w:proofErr w:type="spellStart"/>
            <w:r>
              <w:rPr>
                <w:sz w:val="18"/>
                <w:szCs w:val="22"/>
              </w:rPr>
              <w:lastRenderedPageBreak/>
              <w:t>InterDigital</w:t>
            </w:r>
            <w:proofErr w:type="spellEnd"/>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proofErr w:type="spellStart"/>
            <w:r>
              <w:rPr>
                <w:sz w:val="18"/>
                <w:szCs w:val="18"/>
              </w:rPr>
              <w:t>ZTE</w:t>
            </w:r>
            <w:proofErr w:type="spellEnd"/>
            <w:r>
              <w:rPr>
                <w:sz w:val="18"/>
                <w:szCs w:val="18"/>
              </w:rPr>
              <w:t xml:space="preserv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w:t>
            </w:r>
            <w:proofErr w:type="spellStart"/>
            <w:r>
              <w:rPr>
                <w:rFonts w:eastAsiaTheme="minorEastAsia"/>
              </w:rPr>
              <w:t>HARQ</w:t>
            </w:r>
            <w:proofErr w:type="spellEnd"/>
            <w:r>
              <w:rPr>
                <w:rFonts w:eastAsiaTheme="minorEastAsia"/>
              </w:rPr>
              <w:t xml:space="preserve">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DengXian"/>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DengXian"/>
                <w:lang w:val="en-US"/>
              </w:rPr>
            </w:pPr>
            <w:r>
              <w:rPr>
                <w:rFonts w:eastAsia="DengXian" w:hint="eastAsia"/>
                <w:lang w:val="en-US"/>
              </w:rPr>
              <w:t>ZTE</w:t>
            </w:r>
          </w:p>
        </w:tc>
        <w:tc>
          <w:tcPr>
            <w:tcW w:w="1739" w:type="dxa"/>
          </w:tcPr>
          <w:p w14:paraId="6925F965" w14:textId="77777777" w:rsidR="00283F2B" w:rsidRDefault="006D0C0A">
            <w:pPr>
              <w:rPr>
                <w:rFonts w:eastAsia="DengXian"/>
                <w:lang w:val="en-US"/>
              </w:rPr>
            </w:pPr>
            <w:r>
              <w:rPr>
                <w:rFonts w:eastAsia="DengXian" w:hint="eastAsia"/>
                <w:lang w:val="en-US"/>
              </w:rPr>
              <w:t>Agree</w:t>
            </w:r>
          </w:p>
        </w:tc>
        <w:tc>
          <w:tcPr>
            <w:tcW w:w="6480" w:type="dxa"/>
          </w:tcPr>
          <w:p w14:paraId="70DD87DB" w14:textId="77777777" w:rsidR="00283F2B" w:rsidRDefault="006D0C0A">
            <w:pPr>
              <w:rPr>
                <w:rFonts w:eastAsia="DengXian"/>
                <w:lang w:val="en-US"/>
              </w:rPr>
            </w:pPr>
            <w:r>
              <w:rPr>
                <w:rFonts w:eastAsia="DengXian" w:hint="eastAsia"/>
                <w:lang w:val="en-US"/>
              </w:rPr>
              <w:t>Please refer to comment in Q1.</w:t>
            </w:r>
          </w:p>
        </w:tc>
      </w:tr>
      <w:tr w:rsidR="00996EF7" w14:paraId="617E3BEB" w14:textId="77777777">
        <w:tc>
          <w:tcPr>
            <w:tcW w:w="1496" w:type="dxa"/>
          </w:tcPr>
          <w:p w14:paraId="2AF35C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55200FC1" w14:textId="77777777" w:rsidR="00996EF7" w:rsidRDefault="00996EF7" w:rsidP="00996EF7">
            <w:pPr>
              <w:rPr>
                <w:rFonts w:eastAsia="DengXian"/>
              </w:rPr>
            </w:pPr>
            <w:r>
              <w:rPr>
                <w:rFonts w:eastAsia="Malgun Gothic" w:hint="eastAsia"/>
                <w:lang w:eastAsia="ko-KR"/>
              </w:rPr>
              <w:t>Disagree</w:t>
            </w:r>
          </w:p>
        </w:tc>
        <w:tc>
          <w:tcPr>
            <w:tcW w:w="6480" w:type="dxa"/>
          </w:tcPr>
          <w:p w14:paraId="4A094A8F" w14:textId="77777777" w:rsidR="00996EF7" w:rsidRDefault="00996EF7" w:rsidP="00996EF7">
            <w:pPr>
              <w:rPr>
                <w:rFonts w:eastAsia="DengXian"/>
              </w:rPr>
            </w:pPr>
            <w:r>
              <w:rPr>
                <w:rFonts w:eastAsia="DengXian"/>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DengXian"/>
              </w:rPr>
              <w:t>Qualcomm</w:t>
            </w:r>
          </w:p>
        </w:tc>
        <w:tc>
          <w:tcPr>
            <w:tcW w:w="1739" w:type="dxa"/>
          </w:tcPr>
          <w:p w14:paraId="65039804" w14:textId="22E240C4" w:rsidR="00173B40" w:rsidRDefault="00173B40" w:rsidP="00173B40">
            <w:pPr>
              <w:rPr>
                <w:rFonts w:eastAsiaTheme="minorEastAsia"/>
              </w:rPr>
            </w:pPr>
            <w:r>
              <w:rPr>
                <w:rFonts w:eastAsia="DengXian"/>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r w:rsidR="006770BB" w14:paraId="74A40B5D" w14:textId="77777777">
        <w:tc>
          <w:tcPr>
            <w:tcW w:w="1496" w:type="dxa"/>
          </w:tcPr>
          <w:p w14:paraId="58E79CE4" w14:textId="1E7E3E0F" w:rsidR="006770BB" w:rsidRDefault="006770BB" w:rsidP="00D45DF2">
            <w:pPr>
              <w:rPr>
                <w:lang w:eastAsia="sv-SE"/>
              </w:rPr>
            </w:pPr>
            <w:r>
              <w:rPr>
                <w:rFonts w:eastAsiaTheme="minorEastAsia" w:hint="eastAsia"/>
              </w:rPr>
              <w:t>CATT</w:t>
            </w:r>
          </w:p>
        </w:tc>
        <w:tc>
          <w:tcPr>
            <w:tcW w:w="1739" w:type="dxa"/>
          </w:tcPr>
          <w:p w14:paraId="487AC87F" w14:textId="6C1F7B8C" w:rsidR="006770BB" w:rsidRDefault="006770BB" w:rsidP="00D45DF2">
            <w:pPr>
              <w:rPr>
                <w:lang w:eastAsia="sv-SE"/>
              </w:rPr>
            </w:pPr>
            <w:r>
              <w:rPr>
                <w:rFonts w:eastAsiaTheme="minorEastAsia" w:hint="eastAsia"/>
              </w:rPr>
              <w:t>Agree</w:t>
            </w:r>
          </w:p>
        </w:tc>
        <w:tc>
          <w:tcPr>
            <w:tcW w:w="6480" w:type="dxa"/>
          </w:tcPr>
          <w:p w14:paraId="296A78AB" w14:textId="77777777" w:rsidR="006770BB" w:rsidRDefault="006770BB" w:rsidP="00D45DF2">
            <w:pPr>
              <w:rPr>
                <w:lang w:eastAsia="sv-SE"/>
              </w:rPr>
            </w:pPr>
          </w:p>
        </w:tc>
      </w:tr>
      <w:tr w:rsidR="00AD05A3" w14:paraId="036548F3" w14:textId="77777777">
        <w:tc>
          <w:tcPr>
            <w:tcW w:w="1496" w:type="dxa"/>
          </w:tcPr>
          <w:p w14:paraId="22C9FD22" w14:textId="1B81AA6B" w:rsidR="00AD05A3" w:rsidRDefault="00AD05A3" w:rsidP="00AD05A3">
            <w:pPr>
              <w:rPr>
                <w:rFonts w:eastAsiaTheme="minorEastAsia"/>
              </w:rPr>
            </w:pPr>
            <w:r>
              <w:rPr>
                <w:rFonts w:eastAsiaTheme="minorEastAsia"/>
              </w:rPr>
              <w:t>Nokia</w:t>
            </w:r>
          </w:p>
        </w:tc>
        <w:tc>
          <w:tcPr>
            <w:tcW w:w="1739" w:type="dxa"/>
          </w:tcPr>
          <w:p w14:paraId="3A00C589" w14:textId="58738012" w:rsidR="00AD05A3" w:rsidRDefault="00AD05A3" w:rsidP="00AD05A3">
            <w:pPr>
              <w:rPr>
                <w:rFonts w:eastAsiaTheme="minorEastAsia"/>
              </w:rPr>
            </w:pPr>
            <w:r>
              <w:rPr>
                <w:rFonts w:eastAsiaTheme="minorEastAsia"/>
              </w:rPr>
              <w:t>Agree</w:t>
            </w:r>
          </w:p>
        </w:tc>
        <w:tc>
          <w:tcPr>
            <w:tcW w:w="6480" w:type="dxa"/>
          </w:tcPr>
          <w:p w14:paraId="4AA6FDD9" w14:textId="77777777" w:rsidR="00AD05A3" w:rsidRDefault="00AD05A3" w:rsidP="00AD05A3">
            <w:pPr>
              <w:rPr>
                <w:lang w:eastAsia="sv-SE"/>
              </w:rPr>
            </w:pPr>
          </w:p>
        </w:tc>
      </w:tr>
      <w:tr w:rsidR="00AD05A3" w14:paraId="43B4056A" w14:textId="77777777">
        <w:tc>
          <w:tcPr>
            <w:tcW w:w="1496" w:type="dxa"/>
          </w:tcPr>
          <w:p w14:paraId="02085379" w14:textId="2B6D8982" w:rsidR="00AD05A3" w:rsidRDefault="00FA08D5" w:rsidP="00D45DF2">
            <w:pPr>
              <w:rPr>
                <w:rFonts w:eastAsiaTheme="minorEastAsia"/>
              </w:rPr>
            </w:pPr>
            <w:r>
              <w:rPr>
                <w:rFonts w:eastAsiaTheme="minorEastAsia"/>
              </w:rPr>
              <w:t>Sequans</w:t>
            </w:r>
          </w:p>
        </w:tc>
        <w:tc>
          <w:tcPr>
            <w:tcW w:w="1739" w:type="dxa"/>
          </w:tcPr>
          <w:p w14:paraId="1476F086" w14:textId="14527572" w:rsidR="00AD05A3" w:rsidRDefault="00FA08D5" w:rsidP="00D45DF2">
            <w:pPr>
              <w:rPr>
                <w:rFonts w:eastAsiaTheme="minorEastAsia"/>
              </w:rPr>
            </w:pPr>
            <w:r>
              <w:rPr>
                <w:rFonts w:eastAsiaTheme="minorEastAsia"/>
              </w:rPr>
              <w:t>Agree</w:t>
            </w:r>
          </w:p>
        </w:tc>
        <w:tc>
          <w:tcPr>
            <w:tcW w:w="6480" w:type="dxa"/>
          </w:tcPr>
          <w:p w14:paraId="31F5F490" w14:textId="77777777" w:rsidR="00AD05A3" w:rsidRDefault="00AD05A3" w:rsidP="00D45DF2">
            <w:pPr>
              <w:rPr>
                <w:lang w:eastAsia="sv-SE"/>
              </w:rPr>
            </w:pPr>
          </w:p>
        </w:tc>
      </w:tr>
    </w:tbl>
    <w:p w14:paraId="347DF76F" w14:textId="77777777" w:rsidR="00283F2B" w:rsidRDefault="006D0C0A">
      <w:pPr>
        <w:pStyle w:val="Heading2"/>
        <w:rPr>
          <w:lang w:val="en-US"/>
        </w:rPr>
      </w:pPr>
      <w:proofErr w:type="spellStart"/>
      <w:r>
        <w:rPr>
          <w:lang w:val="en-US"/>
        </w:rPr>
        <w:lastRenderedPageBreak/>
        <w:t>Drx-HARQ-RTT-TimerUL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drx-HARQ-RTT-TimerUL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drx-HARQ-RTT-TimerUL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r>
              <w:rPr>
                <w:i w:val="0"/>
                <w:iCs/>
              </w:rPr>
              <w:t>a.For</w:t>
            </w:r>
            <w:proofErr w:type="spellEnd"/>
            <w:r>
              <w:rPr>
                <w:i w:val="0"/>
                <w:iCs/>
              </w:rPr>
              <w:t xml:space="preserve"> </w:t>
            </w:r>
            <w:proofErr w:type="spellStart"/>
            <w:r>
              <w:rPr>
                <w:i w:val="0"/>
                <w:iCs/>
              </w:rPr>
              <w:t>HARQ</w:t>
            </w:r>
            <w:proofErr w:type="spellEnd"/>
            <w:r>
              <w:rPr>
                <w:i w:val="0"/>
                <w:iCs/>
              </w:rPr>
              <w:t xml:space="preserve"> processes with DL </w:t>
            </w:r>
            <w:proofErr w:type="spellStart"/>
            <w:r>
              <w:rPr>
                <w:i w:val="0"/>
                <w:iCs/>
              </w:rPr>
              <w:t>HARQ</w:t>
            </w:r>
            <w:proofErr w:type="spellEnd"/>
            <w:r>
              <w:rPr>
                <w:i w:val="0"/>
                <w:iCs/>
              </w:rPr>
              <w:t xml:space="preserve"> feedback disabled, </w:t>
            </w:r>
            <w:proofErr w:type="spellStart"/>
            <w:r>
              <w:rPr>
                <w:i w:val="0"/>
                <w:iCs/>
              </w:rPr>
              <w:t>drx-HARQ-RTT-TimerDL</w:t>
            </w:r>
            <w:proofErr w:type="spellEnd"/>
            <w:r>
              <w:rPr>
                <w:i w:val="0"/>
                <w:iCs/>
              </w:rPr>
              <w:t xml:space="preserve"> is not started. </w:t>
            </w:r>
          </w:p>
          <w:p w14:paraId="77568429" w14:textId="77777777" w:rsidR="00283F2B" w:rsidRDefault="006D0C0A">
            <w:pPr>
              <w:pStyle w:val="Comments0"/>
              <w:rPr>
                <w:i w:val="0"/>
                <w:iCs/>
              </w:rPr>
            </w:pPr>
            <w:proofErr w:type="spellStart"/>
            <w:r>
              <w:rPr>
                <w:i w:val="0"/>
                <w:iCs/>
              </w:rPr>
              <w:t>b.For</w:t>
            </w:r>
            <w:proofErr w:type="spellEnd"/>
            <w:r>
              <w:rPr>
                <w:i w:val="0"/>
                <w:iCs/>
              </w:rPr>
              <w:t xml:space="preserve"> </w:t>
            </w:r>
            <w:proofErr w:type="spellStart"/>
            <w:r>
              <w:rPr>
                <w:i w:val="0"/>
                <w:iCs/>
              </w:rPr>
              <w:t>HARQ</w:t>
            </w:r>
            <w:proofErr w:type="spellEnd"/>
            <w:r>
              <w:rPr>
                <w:i w:val="0"/>
                <w:iCs/>
              </w:rPr>
              <w:t xml:space="preserve"> processes with UL HARQ retransmission not based on decode result, </w:t>
            </w:r>
            <w:proofErr w:type="spellStart"/>
            <w:r>
              <w:rPr>
                <w:i w:val="0"/>
                <w:iCs/>
              </w:rPr>
              <w:t>drx-HARQ-RTT-TimerUL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drx-HARQ-RTT-TimerUL</w:t>
            </w:r>
            <w:proofErr w:type="spellEnd"/>
            <w:r>
              <w:rPr>
                <w:i w:val="0"/>
                <w:iCs/>
              </w:rPr>
              <w:t xml:space="preserve"> behaviour for a corresponding HARQ process is indicated by </w:t>
            </w:r>
            <w:proofErr w:type="spellStart"/>
            <w:r>
              <w:rPr>
                <w:i w:val="0"/>
                <w:iCs/>
              </w:rPr>
              <w:t>uplinkHARQ</w:t>
            </w:r>
            <w:proofErr w:type="spellEnd"/>
            <w:r>
              <w:rPr>
                <w:i w:val="0"/>
                <w:iCs/>
              </w:rPr>
              <w:t>-</w:t>
            </w:r>
            <w:proofErr w:type="spellStart"/>
            <w:r>
              <w:rPr>
                <w:i w:val="0"/>
                <w:iCs/>
              </w:rPr>
              <w:t>DRX</w:t>
            </w:r>
            <w:proofErr w:type="spellEnd"/>
            <w:r>
              <w:rPr>
                <w:i w:val="0"/>
                <w:iCs/>
              </w:rPr>
              <w:t xml:space="preserve">-LCP-Mode, if configured. </w:t>
            </w:r>
          </w:p>
        </w:tc>
        <w:tc>
          <w:tcPr>
            <w:tcW w:w="1354" w:type="dxa"/>
          </w:tcPr>
          <w:p w14:paraId="355049EB" w14:textId="77777777" w:rsidR="00283F2B" w:rsidRDefault="006D0C0A">
            <w:pPr>
              <w:pStyle w:val="NoSpacing"/>
              <w:rPr>
                <w:sz w:val="18"/>
                <w:szCs w:val="18"/>
              </w:rPr>
            </w:pPr>
            <w:proofErr w:type="spellStart"/>
            <w:r>
              <w:rPr>
                <w:sz w:val="18"/>
                <w:szCs w:val="18"/>
              </w:rPr>
              <w:t>InterDigital</w:t>
            </w:r>
            <w:proofErr w:type="spellEnd"/>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proofErr w:type="spellStart"/>
            <w:r>
              <w:rPr>
                <w:sz w:val="18"/>
                <w:szCs w:val="18"/>
              </w:rPr>
              <w:t>ZTE</w:t>
            </w:r>
            <w:proofErr w:type="spellEnd"/>
            <w:r>
              <w:rPr>
                <w:sz w:val="18"/>
                <w:szCs w:val="18"/>
              </w:rPr>
              <w:t xml:space="preserv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DengXian"/>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lastRenderedPageBreak/>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DengXian"/>
                <w:lang w:val="en-US"/>
              </w:rPr>
            </w:pPr>
            <w:r>
              <w:rPr>
                <w:rFonts w:eastAsia="DengXian" w:hint="eastAsia"/>
                <w:lang w:val="en-US"/>
              </w:rPr>
              <w:t>ZTE</w:t>
            </w:r>
          </w:p>
        </w:tc>
        <w:tc>
          <w:tcPr>
            <w:tcW w:w="1739" w:type="dxa"/>
          </w:tcPr>
          <w:p w14:paraId="12C0708A" w14:textId="77777777" w:rsidR="00283F2B" w:rsidRDefault="006D0C0A">
            <w:pPr>
              <w:rPr>
                <w:rFonts w:eastAsia="DengXian"/>
                <w:lang w:val="en-US"/>
              </w:rPr>
            </w:pPr>
            <w:r>
              <w:rPr>
                <w:rFonts w:eastAsia="DengXian" w:hint="eastAsia"/>
                <w:lang w:val="en-US"/>
              </w:rPr>
              <w:t>Disagree</w:t>
            </w:r>
          </w:p>
        </w:tc>
        <w:tc>
          <w:tcPr>
            <w:tcW w:w="6480" w:type="dxa"/>
          </w:tcPr>
          <w:p w14:paraId="7BAA1115" w14:textId="77777777" w:rsidR="00283F2B" w:rsidRDefault="006D0C0A">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w:t>
            </w:r>
            <w:proofErr w:type="spellStart"/>
            <w:r>
              <w:rPr>
                <w:rFonts w:eastAsia="DengXian" w:hint="eastAsia"/>
                <w:lang w:val="en-US"/>
              </w:rPr>
              <w:t>HARQ</w:t>
            </w:r>
            <w:proofErr w:type="spellEnd"/>
            <w:r>
              <w:rPr>
                <w:rFonts w:eastAsia="DengXian" w:hint="eastAsia"/>
                <w:lang w:val="en-US"/>
              </w:rPr>
              <w:t>-</w:t>
            </w:r>
            <w:proofErr w:type="spellStart"/>
            <w:r>
              <w:rPr>
                <w:rFonts w:eastAsia="DengXian" w:hint="eastAsia"/>
                <w:lang w:val="en-US"/>
              </w:rPr>
              <w:t>RTT</w:t>
            </w:r>
            <w:proofErr w:type="spellEnd"/>
            <w:r>
              <w:rPr>
                <w:rFonts w:eastAsia="DengXian" w:hint="eastAsia"/>
                <w:lang w:val="en-US"/>
              </w:rPr>
              <w:t xml:space="preserve">-Timer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 needed which has lease specs impact. </w:t>
            </w: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r w:rsidR="006770BB" w14:paraId="5762BF2F" w14:textId="77777777">
        <w:tc>
          <w:tcPr>
            <w:tcW w:w="1496" w:type="dxa"/>
          </w:tcPr>
          <w:p w14:paraId="090AF48F" w14:textId="30652169" w:rsidR="006770BB" w:rsidRDefault="006770BB" w:rsidP="00D45DF2">
            <w:pPr>
              <w:rPr>
                <w:lang w:eastAsia="sv-SE"/>
              </w:rPr>
            </w:pPr>
            <w:r>
              <w:rPr>
                <w:rFonts w:eastAsiaTheme="minorEastAsia" w:hint="eastAsia"/>
              </w:rPr>
              <w:t>CATT</w:t>
            </w:r>
          </w:p>
        </w:tc>
        <w:tc>
          <w:tcPr>
            <w:tcW w:w="1739" w:type="dxa"/>
          </w:tcPr>
          <w:p w14:paraId="0454B9F7" w14:textId="32BF8B58" w:rsidR="006770BB" w:rsidRDefault="006770BB" w:rsidP="00D45DF2">
            <w:pPr>
              <w:rPr>
                <w:lang w:eastAsia="sv-SE"/>
              </w:rPr>
            </w:pPr>
            <w:r>
              <w:rPr>
                <w:rFonts w:eastAsiaTheme="minorEastAsia" w:hint="eastAsia"/>
              </w:rPr>
              <w:t>Agree</w:t>
            </w:r>
          </w:p>
        </w:tc>
        <w:tc>
          <w:tcPr>
            <w:tcW w:w="6480" w:type="dxa"/>
          </w:tcPr>
          <w:p w14:paraId="416EEC0E" w14:textId="77777777" w:rsidR="006770BB" w:rsidRDefault="006770BB" w:rsidP="00D45DF2">
            <w:pPr>
              <w:rPr>
                <w:rFonts w:eastAsiaTheme="minorEastAsia"/>
              </w:rPr>
            </w:pPr>
          </w:p>
        </w:tc>
      </w:tr>
      <w:tr w:rsidR="00AD05A3" w14:paraId="6E9BDB23" w14:textId="77777777">
        <w:tc>
          <w:tcPr>
            <w:tcW w:w="1496" w:type="dxa"/>
          </w:tcPr>
          <w:p w14:paraId="36879DEC" w14:textId="13250C52" w:rsidR="00AD05A3" w:rsidRDefault="00AD05A3" w:rsidP="00AD05A3">
            <w:pPr>
              <w:rPr>
                <w:rFonts w:eastAsiaTheme="minorEastAsia"/>
              </w:rPr>
            </w:pPr>
            <w:r>
              <w:rPr>
                <w:rFonts w:eastAsiaTheme="minorEastAsia"/>
              </w:rPr>
              <w:t>Nokia</w:t>
            </w:r>
          </w:p>
        </w:tc>
        <w:tc>
          <w:tcPr>
            <w:tcW w:w="1739" w:type="dxa"/>
          </w:tcPr>
          <w:p w14:paraId="0BC22C1F" w14:textId="0F5671FF" w:rsidR="00AD05A3" w:rsidRDefault="00AD05A3" w:rsidP="00AD05A3">
            <w:pPr>
              <w:rPr>
                <w:rFonts w:eastAsiaTheme="minorEastAsia"/>
              </w:rPr>
            </w:pPr>
            <w:r>
              <w:rPr>
                <w:rFonts w:eastAsiaTheme="minorEastAsia"/>
              </w:rPr>
              <w:t>Agree</w:t>
            </w:r>
          </w:p>
        </w:tc>
        <w:tc>
          <w:tcPr>
            <w:tcW w:w="6480" w:type="dxa"/>
          </w:tcPr>
          <w:p w14:paraId="33235C62" w14:textId="77777777" w:rsidR="00AD05A3" w:rsidRDefault="00AD05A3" w:rsidP="00AD05A3">
            <w:pPr>
              <w:rPr>
                <w:rFonts w:eastAsiaTheme="minorEastAsia"/>
              </w:rPr>
            </w:pPr>
          </w:p>
        </w:tc>
      </w:tr>
      <w:tr w:rsidR="00AD05A3" w14:paraId="46CE8138" w14:textId="77777777">
        <w:tc>
          <w:tcPr>
            <w:tcW w:w="1496" w:type="dxa"/>
          </w:tcPr>
          <w:p w14:paraId="03CA2646" w14:textId="1A9A4DB4" w:rsidR="00AD05A3" w:rsidRDefault="00FA08D5" w:rsidP="00D45DF2">
            <w:pPr>
              <w:rPr>
                <w:rFonts w:eastAsiaTheme="minorEastAsia"/>
              </w:rPr>
            </w:pPr>
            <w:r>
              <w:rPr>
                <w:rFonts w:eastAsiaTheme="minorEastAsia"/>
              </w:rPr>
              <w:t>Sequans</w:t>
            </w:r>
          </w:p>
        </w:tc>
        <w:tc>
          <w:tcPr>
            <w:tcW w:w="1739" w:type="dxa"/>
          </w:tcPr>
          <w:p w14:paraId="7D2B086B" w14:textId="3FD15706" w:rsidR="00AD05A3" w:rsidRDefault="00FA08D5" w:rsidP="00D45DF2">
            <w:pPr>
              <w:rPr>
                <w:rFonts w:eastAsiaTheme="minorEastAsia"/>
              </w:rPr>
            </w:pPr>
            <w:r>
              <w:rPr>
                <w:rFonts w:eastAsiaTheme="minorEastAsia"/>
              </w:rPr>
              <w:t>Agree</w:t>
            </w:r>
          </w:p>
        </w:tc>
        <w:tc>
          <w:tcPr>
            <w:tcW w:w="6480" w:type="dxa"/>
          </w:tcPr>
          <w:p w14:paraId="76EEEB87" w14:textId="77777777" w:rsidR="00AD05A3" w:rsidRDefault="00AD05A3" w:rsidP="00D45DF2">
            <w:pPr>
              <w:rPr>
                <w:rFonts w:eastAsiaTheme="minorEastAsia"/>
              </w:rPr>
            </w:pPr>
          </w:p>
        </w:tc>
      </w:tr>
    </w:tbl>
    <w:p w14:paraId="3747935E" w14:textId="77777777" w:rsidR="00283F2B" w:rsidRDefault="006D0C0A">
      <w:pPr>
        <w:pStyle w:val="Heading1"/>
      </w:pPr>
      <w:r>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FFS:RAN2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w:t>
      </w:r>
      <w:proofErr w:type="spellStart"/>
      <w:r>
        <w:rPr>
          <w:rFonts w:ascii="Arial" w:hAnsi="Arial" w:cs="Arial"/>
          <w:i/>
          <w:iCs/>
          <w:sz w:val="20"/>
          <w:szCs w:val="20"/>
          <w:lang w:eastAsia="sv-SE"/>
        </w:rPr>
        <w:t>RTT</w:t>
      </w:r>
      <w:proofErr w:type="spellEnd"/>
      <w:r>
        <w:rPr>
          <w:rFonts w:ascii="Arial" w:hAnsi="Arial" w:cs="Arial"/>
          <w:i/>
          <w:iCs/>
          <w:sz w:val="20"/>
          <w:szCs w:val="20"/>
          <w:lang w:eastAsia="sv-SE"/>
        </w:rPr>
        <w: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UE-gNB </w:t>
            </w:r>
            <w:proofErr w:type="spellStart"/>
            <w:r>
              <w:rPr>
                <w:i w:val="0"/>
                <w:iCs/>
              </w:rPr>
              <w:t>RTT</w:t>
            </w:r>
            <w:proofErr w:type="spellEnd"/>
            <w:r>
              <w:rPr>
                <w:i w:val="0"/>
                <w:iCs/>
              </w:rPr>
              <w:t xml:space="preserve">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UE-gNB-</w:t>
            </w:r>
            <w:proofErr w:type="spellStart"/>
            <w:r>
              <w:rPr>
                <w:i w:val="0"/>
                <w:iCs/>
              </w:rPr>
              <w:t>RTT</w:t>
            </w:r>
            <w:proofErr w:type="spellEnd"/>
            <w:r>
              <w:rPr>
                <w:i w:val="0"/>
                <w:iCs/>
              </w:rPr>
              <w:t xml:space="preserve">.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UE-gNB-</w:t>
            </w:r>
            <w:proofErr w:type="spellStart"/>
            <w:r>
              <w:rPr>
                <w:i w:val="0"/>
                <w:iCs/>
              </w:rPr>
              <w:t>RTT</w:t>
            </w:r>
            <w:proofErr w:type="spellEnd"/>
            <w:r>
              <w:rPr>
                <w:i w:val="0"/>
                <w:iCs/>
              </w:rPr>
              <w:t xml:space="preserve">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UE-gNB-</w:t>
            </w:r>
            <w:proofErr w:type="spellStart"/>
            <w:r>
              <w:rPr>
                <w:i w:val="0"/>
                <w:iCs/>
              </w:rPr>
              <w:t>RTT</w:t>
            </w:r>
            <w:proofErr w:type="spellEnd"/>
            <w:r>
              <w:rPr>
                <w:i w:val="0"/>
                <w:iCs/>
              </w:rPr>
              <w:t xml:space="preserve">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UE-gNB </w:t>
            </w:r>
            <w:proofErr w:type="spellStart"/>
            <w:r>
              <w:rPr>
                <w:i w:val="0"/>
                <w:iCs/>
              </w:rPr>
              <w:t>RTT</w:t>
            </w:r>
            <w:proofErr w:type="spellEnd"/>
            <w:r>
              <w:rPr>
                <w:i w:val="0"/>
                <w:iCs/>
              </w:rPr>
              <w: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UE-gNB-</w:t>
            </w:r>
            <w:proofErr w:type="spellStart"/>
            <w:r>
              <w:rPr>
                <w:i w:val="0"/>
                <w:iCs/>
              </w:rPr>
              <w:t>RTT</w:t>
            </w:r>
            <w:proofErr w:type="spellEnd"/>
            <w:r>
              <w:rPr>
                <w:i w:val="0"/>
                <w:iCs/>
              </w:rPr>
              <w:t xml:space="preserve">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 xml:space="preserve">It is proposed that CGT is extended by UE-gNB </w:t>
            </w:r>
            <w:proofErr w:type="spellStart"/>
            <w:r>
              <w:rPr>
                <w:i w:val="0"/>
                <w:iCs/>
              </w:rPr>
              <w:t>RTT</w:t>
            </w:r>
            <w:proofErr w:type="spellEnd"/>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UE-gNB </w:t>
            </w:r>
            <w:proofErr w:type="spellStart"/>
            <w:r>
              <w:rPr>
                <w:i w:val="0"/>
                <w:iCs/>
              </w:rPr>
              <w:t>RTT</w:t>
            </w:r>
            <w:proofErr w:type="spellEnd"/>
            <w:r>
              <w:rPr>
                <w:i w:val="0"/>
                <w:iCs/>
              </w:rPr>
              <w: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proofErr w:type="spellStart"/>
            <w:r>
              <w:rPr>
                <w:sz w:val="18"/>
                <w:szCs w:val="18"/>
              </w:rPr>
              <w:t>InterDigital</w:t>
            </w:r>
            <w:proofErr w:type="spellEnd"/>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NoSpacing"/>
              <w:rPr>
                <w:sz w:val="18"/>
                <w:szCs w:val="18"/>
              </w:rPr>
            </w:pPr>
            <w:proofErr w:type="spellStart"/>
            <w:r>
              <w:rPr>
                <w:sz w:val="18"/>
                <w:szCs w:val="18"/>
              </w:rPr>
              <w:t>ZTE</w:t>
            </w:r>
            <w:proofErr w:type="spellEnd"/>
            <w:r>
              <w:rPr>
                <w:sz w:val="18"/>
                <w:szCs w:val="18"/>
              </w:rPr>
              <w:t xml:space="preserv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lastRenderedPageBreak/>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UE-gNB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w:t>
      </w:r>
      <w:proofErr w:type="spellStart"/>
      <w:r>
        <w:rPr>
          <w:bCs/>
          <w:lang w:eastAsia="sv-SE"/>
        </w:rPr>
        <w:t>RTT</w:t>
      </w:r>
      <w:proofErr w:type="spellEnd"/>
      <w:r>
        <w:rPr>
          <w:bCs/>
          <w:lang w:eastAsia="sv-SE"/>
        </w:rPr>
        <w:t xml:space="preserve">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w:t>
      </w:r>
      <w:proofErr w:type="spellStart"/>
      <w:r>
        <w:rPr>
          <w:bCs/>
          <w:lang w:eastAsia="sv-SE"/>
        </w:rPr>
        <w:t>RTT</w:t>
      </w:r>
      <w:proofErr w:type="spellEnd"/>
      <w:r>
        <w:rPr>
          <w:bCs/>
          <w:lang w:eastAsia="sv-SE"/>
        </w:rPr>
        <w:t xml:space="preserve">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 xml:space="preserve">Proponents of extending the CGT by additional values note that this method is simple [4, 13], and that extension by UE-gNB </w:t>
      </w:r>
      <w:proofErr w:type="spellStart"/>
      <w:r>
        <w:rPr>
          <w:bCs/>
          <w:lang w:eastAsia="sv-SE"/>
        </w:rPr>
        <w:t>RTT</w:t>
      </w:r>
      <w:proofErr w:type="spellEnd"/>
      <w:r>
        <w:rPr>
          <w:bCs/>
          <w:lang w:eastAsia="sv-SE"/>
        </w:rPr>
        <w:t xml:space="preserve">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UE-gNB-</w:t>
      </w:r>
      <w:proofErr w:type="spellStart"/>
      <w:r>
        <w:rPr>
          <w:b/>
          <w:lang w:eastAsia="sv-SE"/>
        </w:rPr>
        <w:t>RTT</w:t>
      </w:r>
      <w:proofErr w:type="spellEnd"/>
      <w:r>
        <w:rPr>
          <w:b/>
          <w:lang w:eastAsia="sv-SE"/>
        </w:rPr>
        <w: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UE-gNB </w:t>
            </w:r>
            <w:proofErr w:type="spellStart"/>
            <w:r>
              <w:rPr>
                <w:rFonts w:eastAsia="DengXian"/>
              </w:rPr>
              <w:t>RTT</w:t>
            </w:r>
            <w:proofErr w:type="spellEnd"/>
            <w:r>
              <w:rPr>
                <w:rFonts w:eastAsia="DengXian"/>
              </w:rPr>
              <w:t xml:space="preserve">. </w:t>
            </w:r>
            <w:r>
              <w:rPr>
                <w:rFonts w:eastAsia="DengXian" w:hint="eastAsia"/>
              </w:rPr>
              <w:t>As</w:t>
            </w:r>
            <w:r>
              <w:rPr>
                <w:rFonts w:eastAsia="DengXian"/>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UE-gNB </w:t>
            </w:r>
            <w:proofErr w:type="spellStart"/>
            <w:r>
              <w:rPr>
                <w:rFonts w:eastAsiaTheme="minorEastAsia"/>
              </w:rPr>
              <w:t>RTT</w:t>
            </w:r>
            <w:proofErr w:type="spellEnd"/>
            <w:r>
              <w:rPr>
                <w:rFonts w:eastAsiaTheme="minorEastAsia"/>
              </w:rPr>
              <w: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 xml:space="preserve">A simple solution is to make the extension optional (by introducing a flag that indicates that CGT will be extended by UE-gNB </w:t>
            </w:r>
            <w:proofErr w:type="spellStart"/>
            <w:r>
              <w:rPr>
                <w:rFonts w:eastAsiaTheme="minorEastAsia"/>
              </w:rPr>
              <w:t>RTT</w:t>
            </w:r>
            <w:proofErr w:type="spellEnd"/>
            <w:r>
              <w:rPr>
                <w:rFonts w:eastAsiaTheme="minorEastAsia"/>
              </w:rPr>
              <w:t xml:space="preserve">), and make it conditional on if CGT is configured. So, the network can configure a small value for CGT, say X, and optionally indicate that UE-gNB </w:t>
            </w:r>
            <w:proofErr w:type="spellStart"/>
            <w:r>
              <w:rPr>
                <w:rFonts w:eastAsiaTheme="minorEastAsia"/>
              </w:rPr>
              <w:t>RTT</w:t>
            </w:r>
            <w:proofErr w:type="spellEnd"/>
            <w:r>
              <w:rPr>
                <w:rFonts w:eastAsiaTheme="minorEastAsia"/>
              </w:rPr>
              <w:t xml:space="preserve">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w:t>
            </w:r>
            <w:proofErr w:type="spellStart"/>
            <w:r>
              <w:rPr>
                <w:rFonts w:eastAsiaTheme="minorEastAsia"/>
              </w:rPr>
              <w:t>RTT</w:t>
            </w:r>
            <w:proofErr w:type="spellEnd"/>
            <w:r>
              <w:rPr>
                <w:rFonts w:eastAsiaTheme="minorEastAsia"/>
              </w:rPr>
              <w:t>.</w:t>
            </w:r>
          </w:p>
          <w:p w14:paraId="76E2E1EF" w14:textId="77777777" w:rsidR="00283F2B" w:rsidRDefault="006D0C0A">
            <w:pPr>
              <w:rPr>
                <w:rFonts w:eastAsiaTheme="minorEastAsia"/>
                <w:highlight w:val="yellow"/>
              </w:rPr>
            </w:pPr>
            <w:r>
              <w:rPr>
                <w:rFonts w:eastAsiaTheme="minorEastAsia"/>
              </w:rPr>
              <w:t xml:space="preserve">Another alternative (as a compromise) is to support both Options 1 and 2 (making Option 1 as optional, and conditional on CGT as mentioned above) so the network can decide which option (1 or 2) to </w:t>
            </w:r>
            <w:r>
              <w:rPr>
                <w:rFonts w:eastAsiaTheme="minorEastAsia"/>
              </w:rPr>
              <w:lastRenderedPageBreak/>
              <w:t xml:space="preserve">apply. If the network does not want to apply UE-gNB </w:t>
            </w:r>
            <w:proofErr w:type="spellStart"/>
            <w:r>
              <w:rPr>
                <w:rFonts w:eastAsiaTheme="minorEastAsia"/>
              </w:rPr>
              <w:t>RTT</w:t>
            </w:r>
            <w:proofErr w:type="spellEnd"/>
            <w:r>
              <w:rPr>
                <w:rFonts w:eastAsiaTheme="minorEastAsia"/>
              </w:rPr>
              <w:t xml:space="preserve"> extension but it wants to extend the CGT by a fixed value, it can configure the new values from Option 2. If the network wants to apply UE-gNB </w:t>
            </w:r>
            <w:proofErr w:type="spellStart"/>
            <w:r>
              <w:rPr>
                <w:rFonts w:eastAsiaTheme="minorEastAsia"/>
              </w:rPr>
              <w:t>RTT</w:t>
            </w:r>
            <w:proofErr w:type="spellEnd"/>
            <w:r>
              <w:rPr>
                <w:rFonts w:eastAsiaTheme="minorEastAsia"/>
              </w:rPr>
              <w:t xml:space="preserve"> extension, it can configure a small value for CGT and also indicate the UE to extend it by UE-gNB </w:t>
            </w:r>
            <w:proofErr w:type="spellStart"/>
            <w:r>
              <w:rPr>
                <w:rFonts w:eastAsiaTheme="minorEastAsia"/>
              </w:rPr>
              <w:t>RTT</w:t>
            </w:r>
            <w:proofErr w:type="spellEnd"/>
            <w:r>
              <w:rPr>
                <w:rFonts w:eastAsiaTheme="minorEastAsia"/>
              </w:rPr>
              <w:t xml:space="preserve">. Specification and implementation complexity for this combined solution is minimal, as UE-gNB </w:t>
            </w:r>
            <w:proofErr w:type="spellStart"/>
            <w:r>
              <w:rPr>
                <w:rFonts w:eastAsiaTheme="minorEastAsia"/>
              </w:rPr>
              <w:t>RTT</w:t>
            </w:r>
            <w:proofErr w:type="spellEnd"/>
            <w:r>
              <w:rPr>
                <w:rFonts w:eastAsiaTheme="minorEastAsia"/>
              </w:rPr>
              <w:t xml:space="preserve">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lastRenderedPageBreak/>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gNB for example the issue </w:t>
            </w:r>
            <w:proofErr w:type="spellStart"/>
            <w:r>
              <w:rPr>
                <w:rFonts w:eastAsiaTheme="minorEastAsia"/>
              </w:rPr>
              <w:t>tha</w:t>
            </w:r>
            <w:proofErr w:type="spellEnd"/>
            <w:r>
              <w:rPr>
                <w:rFonts w:eastAsiaTheme="minorEastAsia"/>
              </w:rPr>
              <w:t xml:space="preserve"> the gNB do not know when the UE updates the </w:t>
            </w:r>
            <w:proofErr w:type="spellStart"/>
            <w:r>
              <w:rPr>
                <w:rFonts w:eastAsiaTheme="minorEastAsia"/>
              </w:rPr>
              <w:t>configuredGrantTimer</w:t>
            </w:r>
            <w:proofErr w:type="spellEnd"/>
            <w:r>
              <w:rPr>
                <w:rFonts w:eastAsiaTheme="minorEastAsia"/>
              </w:rPr>
              <w:t xml:space="preserve"> when </w:t>
            </w:r>
            <w:proofErr w:type="spellStart"/>
            <w:r>
              <w:rPr>
                <w:rFonts w:eastAsiaTheme="minorEastAsia"/>
              </w:rPr>
              <w:t>RTT</w:t>
            </w:r>
            <w:proofErr w:type="spellEnd"/>
            <w:r>
              <w:rPr>
                <w:rFonts w:eastAsiaTheme="minorEastAsia"/>
              </w:rPr>
              <w:t xml:space="preserve">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DengXian"/>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DengXian"/>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 xml:space="preserve">UE-gNB </w:t>
            </w:r>
            <w:proofErr w:type="spellStart"/>
            <w:r>
              <w:rPr>
                <w:bCs/>
                <w:lang w:eastAsia="sv-SE"/>
              </w:rPr>
              <w:t>RTT</w:t>
            </w:r>
            <w:proofErr w:type="spellEnd"/>
            <w:r>
              <w:rPr>
                <w:bCs/>
                <w:lang w:eastAsia="sv-SE"/>
              </w:rPr>
              <w:t xml:space="preserve">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DengXian"/>
                <w:lang w:val="en-US"/>
              </w:rPr>
            </w:pPr>
            <w:r>
              <w:rPr>
                <w:rFonts w:eastAsia="DengXian" w:hint="eastAsia"/>
                <w:lang w:val="en-US"/>
              </w:rPr>
              <w:t>ZTE</w:t>
            </w:r>
          </w:p>
        </w:tc>
        <w:tc>
          <w:tcPr>
            <w:tcW w:w="1739" w:type="dxa"/>
          </w:tcPr>
          <w:p w14:paraId="362395F4" w14:textId="77777777" w:rsidR="00283F2B" w:rsidRDefault="006D0C0A">
            <w:pPr>
              <w:rPr>
                <w:rFonts w:eastAsia="DengXian"/>
                <w:lang w:val="en-US"/>
              </w:rPr>
            </w:pPr>
            <w:r>
              <w:rPr>
                <w:rFonts w:eastAsia="DengXian" w:hint="eastAsia"/>
                <w:lang w:val="en-US"/>
              </w:rPr>
              <w:t>Option2</w:t>
            </w:r>
          </w:p>
        </w:tc>
        <w:tc>
          <w:tcPr>
            <w:tcW w:w="6480" w:type="dxa"/>
          </w:tcPr>
          <w:p w14:paraId="0E3C8BEF" w14:textId="77777777" w:rsidR="00283F2B" w:rsidRDefault="006D0C0A">
            <w:pPr>
              <w:rPr>
                <w:rFonts w:eastAsia="DengXian"/>
                <w:lang w:val="en-US"/>
              </w:rPr>
            </w:pPr>
            <w:r>
              <w:rPr>
                <w:rFonts w:eastAsia="DengXian" w:hint="eastAsia"/>
                <w:lang w:val="en-US"/>
              </w:rPr>
              <w:t>Similar view as Ericsson.</w:t>
            </w:r>
          </w:p>
        </w:tc>
      </w:tr>
      <w:tr w:rsidR="00996EF7" w14:paraId="3CD6FB51" w14:textId="77777777">
        <w:tc>
          <w:tcPr>
            <w:tcW w:w="1496" w:type="dxa"/>
          </w:tcPr>
          <w:p w14:paraId="43C35ACB"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387EEE38" w14:textId="77777777" w:rsidR="00996EF7" w:rsidRDefault="00996EF7" w:rsidP="00996EF7">
            <w:pPr>
              <w:rPr>
                <w:rFonts w:eastAsia="DengXian"/>
              </w:rPr>
            </w:pPr>
            <w:r>
              <w:rPr>
                <w:rFonts w:eastAsia="DengXian"/>
              </w:rPr>
              <w:t>Option 2</w:t>
            </w:r>
          </w:p>
        </w:tc>
        <w:tc>
          <w:tcPr>
            <w:tcW w:w="6480" w:type="dxa"/>
          </w:tcPr>
          <w:p w14:paraId="7885B754" w14:textId="77777777" w:rsidR="00996EF7" w:rsidRDefault="00996EF7" w:rsidP="00996EF7">
            <w:pPr>
              <w:rPr>
                <w:rFonts w:eastAsia="DengXian"/>
              </w:rPr>
            </w:pPr>
            <w:r>
              <w:rPr>
                <w:rFonts w:eastAsia="DengXian"/>
              </w:rPr>
              <w:t xml:space="preserve">Based on option1, if UE-gNB </w:t>
            </w:r>
            <w:proofErr w:type="spellStart"/>
            <w:r>
              <w:rPr>
                <w:rFonts w:eastAsia="DengXian"/>
              </w:rPr>
              <w:t>RTT</w:t>
            </w:r>
            <w:proofErr w:type="spellEnd"/>
            <w:r>
              <w:rPr>
                <w:rFonts w:eastAsia="DengXian"/>
              </w:rPr>
              <w:t xml:space="preserve"> could not be delivered to gNB in time, UE and gNB is not aligned with the </w:t>
            </w:r>
            <w:proofErr w:type="spellStart"/>
            <w:r w:rsidRPr="000A2E19">
              <w:rPr>
                <w:rFonts w:eastAsia="DengXian"/>
              </w:rPr>
              <w:t>configuredGrantTimer</w:t>
            </w:r>
            <w:proofErr w:type="spellEnd"/>
            <w:r>
              <w:rPr>
                <w:rFonts w:eastAsia="DengXian"/>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DengXian"/>
              </w:rPr>
              <w:t>Qualcomm</w:t>
            </w:r>
          </w:p>
        </w:tc>
        <w:tc>
          <w:tcPr>
            <w:tcW w:w="1739" w:type="dxa"/>
          </w:tcPr>
          <w:p w14:paraId="66D0A108" w14:textId="37D388A8" w:rsidR="00067DF3" w:rsidRDefault="00067DF3" w:rsidP="00067DF3">
            <w:pPr>
              <w:rPr>
                <w:rFonts w:eastAsiaTheme="minorEastAsia"/>
              </w:rPr>
            </w:pPr>
            <w:r>
              <w:rPr>
                <w:rFonts w:eastAsia="DengXian"/>
              </w:rPr>
              <w:t>Option 2</w:t>
            </w:r>
          </w:p>
        </w:tc>
        <w:tc>
          <w:tcPr>
            <w:tcW w:w="6480" w:type="dxa"/>
          </w:tcPr>
          <w:p w14:paraId="6CBEA790" w14:textId="492E73AA" w:rsidR="00067DF3" w:rsidRDefault="00067DF3" w:rsidP="00067DF3">
            <w:pPr>
              <w:rPr>
                <w:rFonts w:eastAsiaTheme="minorEastAsia"/>
              </w:rPr>
            </w:pPr>
            <w:r>
              <w:rPr>
                <w:rFonts w:eastAsia="DengXian"/>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r w:rsidR="00E1667C" w14:paraId="79A3F7FF" w14:textId="77777777">
        <w:tc>
          <w:tcPr>
            <w:tcW w:w="1496" w:type="dxa"/>
          </w:tcPr>
          <w:p w14:paraId="5239689D" w14:textId="3B21CA13" w:rsidR="00E1667C" w:rsidRDefault="00E1667C" w:rsidP="00D45DF2">
            <w:pPr>
              <w:rPr>
                <w:lang w:eastAsia="sv-SE"/>
              </w:rPr>
            </w:pPr>
            <w:r>
              <w:rPr>
                <w:rFonts w:eastAsiaTheme="minorEastAsia" w:hint="eastAsia"/>
              </w:rPr>
              <w:t>CATT</w:t>
            </w:r>
          </w:p>
        </w:tc>
        <w:tc>
          <w:tcPr>
            <w:tcW w:w="1739" w:type="dxa"/>
          </w:tcPr>
          <w:p w14:paraId="7F6F304A" w14:textId="1A521771" w:rsidR="00E1667C" w:rsidRDefault="00E1667C" w:rsidP="00D45DF2">
            <w:pPr>
              <w:rPr>
                <w:lang w:eastAsia="sv-SE"/>
              </w:rPr>
            </w:pPr>
            <w:r>
              <w:rPr>
                <w:rFonts w:eastAsiaTheme="minorEastAsia"/>
              </w:rPr>
              <w:t>O</w:t>
            </w:r>
            <w:r>
              <w:rPr>
                <w:rFonts w:eastAsiaTheme="minorEastAsia" w:hint="eastAsia"/>
              </w:rPr>
              <w:t>ption 1</w:t>
            </w:r>
          </w:p>
        </w:tc>
        <w:tc>
          <w:tcPr>
            <w:tcW w:w="6480" w:type="dxa"/>
          </w:tcPr>
          <w:p w14:paraId="679C7E3E" w14:textId="77777777" w:rsidR="00E1667C" w:rsidRDefault="00E1667C" w:rsidP="00D45DF2">
            <w:pPr>
              <w:rPr>
                <w:lang w:eastAsia="sv-SE"/>
              </w:rPr>
            </w:pPr>
          </w:p>
        </w:tc>
      </w:tr>
      <w:tr w:rsidR="00AD05A3" w14:paraId="7E4A92DB" w14:textId="77777777">
        <w:tc>
          <w:tcPr>
            <w:tcW w:w="1496" w:type="dxa"/>
          </w:tcPr>
          <w:p w14:paraId="199341FD" w14:textId="5190AC4E" w:rsidR="00AD05A3" w:rsidRDefault="00AD05A3" w:rsidP="00AD05A3">
            <w:pPr>
              <w:rPr>
                <w:rFonts w:eastAsiaTheme="minorEastAsia"/>
              </w:rPr>
            </w:pPr>
            <w:r>
              <w:rPr>
                <w:rFonts w:eastAsiaTheme="minorEastAsia"/>
              </w:rPr>
              <w:t>Nokia</w:t>
            </w:r>
          </w:p>
        </w:tc>
        <w:tc>
          <w:tcPr>
            <w:tcW w:w="1739" w:type="dxa"/>
          </w:tcPr>
          <w:p w14:paraId="41574061" w14:textId="362F0F18" w:rsidR="00AD05A3" w:rsidRDefault="00AD05A3" w:rsidP="00AD05A3">
            <w:pPr>
              <w:rPr>
                <w:rFonts w:eastAsiaTheme="minorEastAsia"/>
              </w:rPr>
            </w:pPr>
            <w:r>
              <w:rPr>
                <w:rFonts w:eastAsiaTheme="minorEastAsia"/>
              </w:rPr>
              <w:t>Option 2</w:t>
            </w:r>
          </w:p>
        </w:tc>
        <w:tc>
          <w:tcPr>
            <w:tcW w:w="6480" w:type="dxa"/>
          </w:tcPr>
          <w:p w14:paraId="4B4DAF4A" w14:textId="4662CEA1" w:rsidR="00AD05A3" w:rsidRDefault="00AD05A3" w:rsidP="00AD05A3">
            <w:pPr>
              <w:rPr>
                <w:lang w:eastAsia="sv-SE"/>
              </w:rPr>
            </w:pPr>
            <w:r>
              <w:rPr>
                <w:rFonts w:eastAsiaTheme="minorEastAsia"/>
              </w:rPr>
              <w:t>Share the view as Ericsson and LG.</w:t>
            </w:r>
          </w:p>
        </w:tc>
      </w:tr>
      <w:tr w:rsidR="00AD05A3" w14:paraId="6C91850C" w14:textId="77777777">
        <w:tc>
          <w:tcPr>
            <w:tcW w:w="1496" w:type="dxa"/>
          </w:tcPr>
          <w:p w14:paraId="1CB33846" w14:textId="28A49EDA" w:rsidR="00AD05A3" w:rsidRDefault="00FA08D5" w:rsidP="00D45DF2">
            <w:pPr>
              <w:rPr>
                <w:rFonts w:eastAsiaTheme="minorEastAsia"/>
              </w:rPr>
            </w:pPr>
            <w:r>
              <w:rPr>
                <w:rFonts w:eastAsiaTheme="minorEastAsia"/>
              </w:rPr>
              <w:t>Sequans</w:t>
            </w:r>
          </w:p>
        </w:tc>
        <w:tc>
          <w:tcPr>
            <w:tcW w:w="1739" w:type="dxa"/>
          </w:tcPr>
          <w:p w14:paraId="22828E61" w14:textId="639F764F" w:rsidR="00AD05A3" w:rsidRDefault="00FA08D5" w:rsidP="00D45DF2">
            <w:pPr>
              <w:rPr>
                <w:rFonts w:eastAsiaTheme="minorEastAsia"/>
              </w:rPr>
            </w:pPr>
            <w:r>
              <w:rPr>
                <w:rFonts w:eastAsiaTheme="minorEastAsia"/>
              </w:rPr>
              <w:t>Option 2</w:t>
            </w:r>
          </w:p>
        </w:tc>
        <w:tc>
          <w:tcPr>
            <w:tcW w:w="6480" w:type="dxa"/>
          </w:tcPr>
          <w:p w14:paraId="059CD484" w14:textId="3DDDDA88" w:rsidR="00AD05A3" w:rsidRDefault="00FA08D5" w:rsidP="00D45DF2">
            <w:pPr>
              <w:rPr>
                <w:lang w:eastAsia="sv-SE"/>
              </w:rPr>
            </w:pPr>
            <w:r>
              <w:rPr>
                <w:lang w:eastAsia="sv-SE"/>
              </w:rPr>
              <w:t>Agree with Ericsson/LG</w:t>
            </w:r>
          </w:p>
        </w:tc>
      </w:tr>
    </w:tbl>
    <w:p w14:paraId="38DA493E" w14:textId="77777777"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w:t>
      </w:r>
      <w:proofErr w:type="spellStart"/>
      <w:r>
        <w:rPr>
          <w:i/>
        </w:rPr>
        <w:t>DRX</w:t>
      </w:r>
      <w:proofErr w:type="spellEnd"/>
      <w:r>
        <w:rPr>
          <w:i/>
        </w:rPr>
        <w:t>-LCP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P7:</w:t>
            </w:r>
            <w:r>
              <w:rPr>
                <w:i w:val="0"/>
                <w:iCs/>
              </w:rPr>
              <w:t xml:space="preserve">The new LCP mapping restrictions introduced for dynamic grant, i.e. </w:t>
            </w:r>
            <w:proofErr w:type="spellStart"/>
            <w:r>
              <w:rPr>
                <w:i w:val="0"/>
                <w:iCs/>
              </w:rPr>
              <w:t>allowedHARQ</w:t>
            </w:r>
            <w:proofErr w:type="spellEnd"/>
            <w:r>
              <w:rPr>
                <w:i w:val="0"/>
                <w:iCs/>
              </w:rPr>
              <w:t>-</w:t>
            </w:r>
            <w:proofErr w:type="spellStart"/>
            <w:r>
              <w:rPr>
                <w:i w:val="0"/>
                <w:iCs/>
              </w:rPr>
              <w:t>DRX</w:t>
            </w:r>
            <w:proofErr w:type="spellEnd"/>
            <w:r>
              <w:rPr>
                <w:i w:val="0"/>
                <w:iCs/>
              </w:rPr>
              <w:t xml:space="preserve">-LCP,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w:t>
            </w:r>
            <w:proofErr w:type="spellStart"/>
            <w:r>
              <w:rPr>
                <w:i w:val="0"/>
                <w:iCs/>
              </w:rPr>
              <w:t>DRX</w:t>
            </w:r>
            <w:proofErr w:type="spellEnd"/>
            <w:r>
              <w:rPr>
                <w:i w:val="0"/>
                <w:iCs/>
              </w:rPr>
              <w:t xml:space="preserve">-Mode and </w:t>
            </w:r>
            <w:proofErr w:type="spellStart"/>
            <w:r>
              <w:rPr>
                <w:i w:val="0"/>
                <w:iCs/>
              </w:rPr>
              <w:t>allowedHARQ</w:t>
            </w:r>
            <w:proofErr w:type="spellEnd"/>
            <w:r>
              <w:rPr>
                <w:i w:val="0"/>
                <w:iCs/>
              </w:rPr>
              <w:t>-</w:t>
            </w:r>
            <w:proofErr w:type="spellStart"/>
            <w:r>
              <w:rPr>
                <w:i w:val="0"/>
                <w:iCs/>
              </w:rPr>
              <w:t>DRX</w:t>
            </w:r>
            <w:proofErr w:type="spellEnd"/>
            <w:r>
              <w:rPr>
                <w:i w:val="0"/>
                <w:iCs/>
              </w:rPr>
              <w:t>-Mode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lastRenderedPageBreak/>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P4:</w:t>
            </w:r>
            <w:r>
              <w:rPr>
                <w:i w:val="0"/>
                <w:iCs/>
              </w:rPr>
              <w:t xml:space="preserve">The LCP restriction </w:t>
            </w:r>
            <w:proofErr w:type="spellStart"/>
            <w:r>
              <w:rPr>
                <w:i w:val="0"/>
                <w:iCs/>
              </w:rPr>
              <w:t>allowedHARQ</w:t>
            </w:r>
            <w:proofErr w:type="spellEnd"/>
            <w:r>
              <w:rPr>
                <w:i w:val="0"/>
                <w:iCs/>
              </w:rPr>
              <w:t>-</w:t>
            </w:r>
            <w:proofErr w:type="spellStart"/>
            <w:r>
              <w:rPr>
                <w:i w:val="0"/>
                <w:iCs/>
              </w:rPr>
              <w:t>DRX</w:t>
            </w:r>
            <w:proofErr w:type="spellEnd"/>
            <w:r>
              <w:rPr>
                <w:i w:val="0"/>
                <w:iCs/>
              </w:rPr>
              <w:t xml:space="preserve">-LCP does not apply to configured grants. </w:t>
            </w:r>
          </w:p>
        </w:tc>
        <w:tc>
          <w:tcPr>
            <w:tcW w:w="1354" w:type="dxa"/>
          </w:tcPr>
          <w:p w14:paraId="25AD0B53" w14:textId="77777777" w:rsidR="00283F2B" w:rsidRDefault="006D0C0A">
            <w:pPr>
              <w:pStyle w:val="NoSpacing"/>
              <w:rPr>
                <w:sz w:val="18"/>
                <w:szCs w:val="18"/>
              </w:rPr>
            </w:pPr>
            <w:proofErr w:type="spellStart"/>
            <w:r>
              <w:rPr>
                <w:sz w:val="18"/>
                <w:szCs w:val="18"/>
              </w:rPr>
              <w:t>InterDigital</w:t>
            </w:r>
            <w:proofErr w:type="spellEnd"/>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proofErr w:type="spellStart"/>
            <w:r>
              <w:rPr>
                <w:sz w:val="18"/>
                <w:szCs w:val="18"/>
              </w:rPr>
              <w:t>ZTE</w:t>
            </w:r>
            <w:proofErr w:type="spellEnd"/>
            <w:r>
              <w:rPr>
                <w:sz w:val="18"/>
                <w:szCs w:val="18"/>
              </w:rPr>
              <w:t xml:space="preserv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w:t>
      </w:r>
      <w:proofErr w:type="spellStart"/>
      <w:r>
        <w:rPr>
          <w:i/>
          <w:iCs/>
        </w:rPr>
        <w:t>DRX</w:t>
      </w:r>
      <w:proofErr w:type="spellEnd"/>
      <w:r>
        <w:rPr>
          <w:i/>
          <w:iCs/>
        </w:rPr>
        <w:t>-Mode</w:t>
      </w:r>
      <w:r>
        <w:t xml:space="preserve"> to CG note there is no potential use case to keep two different HARQ states between DG and CG, since the QoS requirement of a LCH is same [1, 7]. For simplicity, we can reuse </w:t>
      </w:r>
      <w:proofErr w:type="spellStart"/>
      <w:r>
        <w:rPr>
          <w:i/>
          <w:iCs/>
        </w:rPr>
        <w:t>uplinkHARQ-DRX</w:t>
      </w:r>
      <w:proofErr w:type="spellEnd"/>
      <w:r>
        <w:rPr>
          <w:i/>
          <w:iCs/>
        </w:rPr>
        <w:t>- Mode</w:t>
      </w:r>
      <w:r>
        <w:t xml:space="preserve"> and </w:t>
      </w:r>
      <w:proofErr w:type="spellStart"/>
      <w:r>
        <w:rPr>
          <w:i/>
          <w:iCs/>
        </w:rPr>
        <w:t>allowedHARQ</w:t>
      </w:r>
      <w:proofErr w:type="spellEnd"/>
      <w:r>
        <w:rPr>
          <w:i/>
          <w:iCs/>
        </w:rPr>
        <w:t>-</w:t>
      </w:r>
      <w:proofErr w:type="spellStart"/>
      <w:r>
        <w:rPr>
          <w:i/>
          <w:iCs/>
        </w:rPr>
        <w:t>DRX</w:t>
      </w:r>
      <w:proofErr w:type="spellEnd"/>
      <w:r>
        <w:rPr>
          <w:i/>
          <w:iCs/>
        </w:rPr>
        <w:t>-Mode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w:t>
      </w:r>
      <w:proofErr w:type="spellStart"/>
      <w:r>
        <w:rPr>
          <w:i/>
          <w:iCs/>
        </w:rPr>
        <w:t>DRX</w:t>
      </w:r>
      <w:proofErr w:type="spellEnd"/>
      <w:r>
        <w:rPr>
          <w:i/>
          <w:iCs/>
        </w:rPr>
        <w:t>-Mode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t xml:space="preserve">Whether the new LCP restriction </w:t>
      </w:r>
      <w:proofErr w:type="spellStart"/>
      <w:r>
        <w:rPr>
          <w:i/>
          <w:iCs/>
          <w:lang w:eastAsia="sv-SE"/>
        </w:rPr>
        <w:t>allowedHARQ</w:t>
      </w:r>
      <w:proofErr w:type="spellEnd"/>
      <w:r>
        <w:rPr>
          <w:i/>
          <w:iCs/>
          <w:lang w:eastAsia="sv-SE"/>
        </w:rPr>
        <w:t>-</w:t>
      </w:r>
      <w:proofErr w:type="spellStart"/>
      <w:r>
        <w:rPr>
          <w:i/>
          <w:iCs/>
          <w:lang w:eastAsia="sv-SE"/>
        </w:rPr>
        <w:t>DRX</w:t>
      </w:r>
      <w:proofErr w:type="spellEnd"/>
      <w:r>
        <w:rPr>
          <w:i/>
          <w:iCs/>
          <w:lang w:eastAsia="sv-SE"/>
        </w:rPr>
        <w:t>-LCP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w:t>
      </w:r>
      <w:proofErr w:type="spellStart"/>
      <w:r>
        <w:rPr>
          <w:i/>
          <w:iCs/>
          <w:lang w:eastAsia="sv-SE"/>
        </w:rPr>
        <w:t>DRX</w:t>
      </w:r>
      <w:proofErr w:type="spellEnd"/>
      <w:r>
        <w:rPr>
          <w:i/>
          <w:iCs/>
          <w:lang w:eastAsia="sv-SE"/>
        </w:rPr>
        <w:t>-LCP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w:t>
      </w:r>
      <w:proofErr w:type="spellStart"/>
      <w:r>
        <w:rPr>
          <w:b/>
          <w:bCs/>
          <w:i/>
          <w:iCs/>
          <w:lang w:eastAsia="sv-SE"/>
        </w:rPr>
        <w:t>DRX</w:t>
      </w:r>
      <w:proofErr w:type="spellEnd"/>
      <w:r>
        <w:rPr>
          <w:b/>
          <w:bCs/>
          <w:i/>
          <w:iCs/>
          <w:lang w:eastAsia="sv-SE"/>
        </w:rPr>
        <w:t>-LCP</w:t>
      </w:r>
      <w:r>
        <w:rPr>
          <w:b/>
          <w:bCs/>
          <w:i/>
        </w:rPr>
        <w:t xml:space="preserve">, ignore </w:t>
      </w:r>
      <w:proofErr w:type="spellStart"/>
      <w:r>
        <w:rPr>
          <w:b/>
          <w:bCs/>
          <w:i/>
          <w:iCs/>
          <w:lang w:eastAsia="sv-SE"/>
        </w:rPr>
        <w:t>allowedHARQ</w:t>
      </w:r>
      <w:proofErr w:type="spellEnd"/>
      <w:r>
        <w:rPr>
          <w:b/>
          <w:bCs/>
          <w:i/>
          <w:iCs/>
          <w:lang w:eastAsia="sv-SE"/>
        </w:rPr>
        <w:t>-</w:t>
      </w:r>
      <w:proofErr w:type="spellStart"/>
      <w:r>
        <w:rPr>
          <w:b/>
          <w:bCs/>
          <w:i/>
          <w:iCs/>
          <w:lang w:eastAsia="sv-SE"/>
        </w:rPr>
        <w:t>DRX</w:t>
      </w:r>
      <w:proofErr w:type="spellEnd"/>
      <w:r>
        <w:rPr>
          <w:b/>
          <w:bCs/>
          <w:i/>
          <w:iCs/>
          <w:lang w:eastAsia="sv-SE"/>
        </w:rPr>
        <w:t>-LCP</w:t>
      </w:r>
      <w:r>
        <w:rPr>
          <w:b/>
          <w:bCs/>
          <w:i/>
        </w:rPr>
        <w:t xml:space="preserve"> restriction for CG. Otherwise, </w:t>
      </w:r>
      <w:proofErr w:type="spellStart"/>
      <w:r>
        <w:rPr>
          <w:b/>
          <w:bCs/>
          <w:i/>
          <w:iCs/>
          <w:lang w:eastAsia="sv-SE"/>
        </w:rPr>
        <w:t>allowedHARQ</w:t>
      </w:r>
      <w:proofErr w:type="spellEnd"/>
      <w:r>
        <w:rPr>
          <w:b/>
          <w:bCs/>
          <w:i/>
          <w:iCs/>
          <w:lang w:eastAsia="sv-SE"/>
        </w:rPr>
        <w:t>-</w:t>
      </w:r>
      <w:proofErr w:type="spellStart"/>
      <w:r>
        <w:rPr>
          <w:b/>
          <w:bCs/>
          <w:i/>
          <w:iCs/>
          <w:lang w:eastAsia="sv-SE"/>
        </w:rPr>
        <w:t>DRX</w:t>
      </w:r>
      <w:proofErr w:type="spellEnd"/>
      <w:r>
        <w:rPr>
          <w:b/>
          <w:bCs/>
          <w:i/>
          <w:iCs/>
          <w:lang w:eastAsia="sv-SE"/>
        </w:rPr>
        <w:t>-LCP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 xml:space="preserve">-LCP requires extra specification effort, similar to the extra effort for specifying that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 xml:space="preserve">-LCP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DengXian"/>
              </w:rPr>
            </w:pPr>
            <w:r>
              <w:rPr>
                <w:rFonts w:eastAsiaTheme="minorEastAsia"/>
              </w:rPr>
              <w:t>Disagree</w:t>
            </w:r>
          </w:p>
        </w:tc>
        <w:tc>
          <w:tcPr>
            <w:tcW w:w="6480" w:type="dxa"/>
          </w:tcPr>
          <w:p w14:paraId="46648E17" w14:textId="77777777" w:rsidR="00283F2B" w:rsidRDefault="006D0C0A">
            <w:pPr>
              <w:rPr>
                <w:rFonts w:eastAsia="DengXian"/>
              </w:rPr>
            </w:pPr>
            <w:r>
              <w:rPr>
                <w:rFonts w:eastAsiaTheme="minorEastAsia" w:hint="eastAsia"/>
              </w:rPr>
              <w:t>T</w:t>
            </w:r>
            <w:r>
              <w:rPr>
                <w:rFonts w:eastAsiaTheme="minorEastAsia"/>
              </w:rPr>
              <w:t xml:space="preserve">he comprise proposal actually makes it more complex. If gNB implementation can guarantee all HARQ processes for the CG have the same HARQ state. Either the new LCP restriction or the  </w:t>
            </w:r>
            <w:proofErr w:type="spellStart"/>
            <w:r>
              <w:rPr>
                <w:i/>
                <w:iCs/>
              </w:rPr>
              <w:t>allowedCG</w:t>
            </w:r>
            <w:proofErr w:type="spell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gNB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w:t>
            </w:r>
            <w:proofErr w:type="spellStart"/>
            <w:r>
              <w:rPr>
                <w:rFonts w:eastAsiaTheme="minorEastAsia"/>
              </w:rPr>
              <w:t>DRX</w:t>
            </w:r>
            <w:proofErr w:type="spellEnd"/>
            <w:r>
              <w:rPr>
                <w:rFonts w:eastAsiaTheme="minorEastAsia"/>
              </w:rPr>
              <w:t xml:space="preserve">-LCP. Then why redundantly configure two LCP restrictions, instead of just relying on </w:t>
            </w:r>
            <w:r>
              <w:rPr>
                <w:rFonts w:eastAsiaTheme="minorEastAsia"/>
              </w:rPr>
              <w:lastRenderedPageBreak/>
              <w:t>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lastRenderedPageBreak/>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w:t>
            </w:r>
            <w:proofErr w:type="spellStart"/>
            <w:r>
              <w:rPr>
                <w:rFonts w:eastAsia="Malgun Gothic"/>
                <w:lang w:eastAsia="ko-KR"/>
              </w:rPr>
              <w:t>DRX</w:t>
            </w:r>
            <w:proofErr w:type="spellEnd"/>
            <w:r>
              <w:rPr>
                <w:rFonts w:eastAsia="Malgun Gothic"/>
                <w:lang w:eastAsia="ko-KR"/>
              </w:rPr>
              <w:t xml:space="preserve">-LCP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DengXian"/>
                <w:lang w:val="en-US"/>
              </w:rPr>
            </w:pPr>
            <w:r>
              <w:rPr>
                <w:rFonts w:eastAsia="DengXian" w:hint="eastAsia"/>
                <w:lang w:val="en-US"/>
              </w:rPr>
              <w:t>ZTE</w:t>
            </w:r>
          </w:p>
        </w:tc>
        <w:tc>
          <w:tcPr>
            <w:tcW w:w="1739" w:type="dxa"/>
          </w:tcPr>
          <w:p w14:paraId="71C9A41A" w14:textId="77777777" w:rsidR="00283F2B" w:rsidRDefault="006D0C0A">
            <w:pPr>
              <w:rPr>
                <w:rFonts w:eastAsia="DengXian"/>
                <w:lang w:val="en-US"/>
              </w:rPr>
            </w:pPr>
            <w:r>
              <w:rPr>
                <w:rFonts w:eastAsia="DengXian" w:hint="eastAsia"/>
                <w:lang w:val="en-US"/>
              </w:rPr>
              <w:t>Disagree</w:t>
            </w:r>
          </w:p>
        </w:tc>
        <w:tc>
          <w:tcPr>
            <w:tcW w:w="6480" w:type="dxa"/>
          </w:tcPr>
          <w:p w14:paraId="5FA98051" w14:textId="77777777" w:rsidR="00283F2B" w:rsidRDefault="006D0C0A">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Also the compromised solution actually undermines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996EF7" w14:paraId="5FBA4D2E" w14:textId="77777777">
        <w:tc>
          <w:tcPr>
            <w:tcW w:w="1496" w:type="dxa"/>
          </w:tcPr>
          <w:p w14:paraId="69C41A8F"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233BE10E" w14:textId="77777777" w:rsidR="00996EF7" w:rsidRDefault="00996EF7" w:rsidP="00996EF7">
            <w:pPr>
              <w:rPr>
                <w:rFonts w:eastAsia="DengXian"/>
              </w:rPr>
            </w:pPr>
            <w:r>
              <w:rPr>
                <w:rFonts w:eastAsia="DengXian" w:hint="eastAsia"/>
              </w:rPr>
              <w:t>D</w:t>
            </w:r>
            <w:r>
              <w:rPr>
                <w:rFonts w:eastAsia="DengXian"/>
              </w:rPr>
              <w:t>isagree</w:t>
            </w:r>
          </w:p>
        </w:tc>
        <w:tc>
          <w:tcPr>
            <w:tcW w:w="6480" w:type="dxa"/>
          </w:tcPr>
          <w:p w14:paraId="4B35884A" w14:textId="77777777" w:rsidR="00996EF7" w:rsidRDefault="00996EF7" w:rsidP="00996EF7">
            <w:pPr>
              <w:rPr>
                <w:rFonts w:eastAsia="DengXian"/>
              </w:rPr>
            </w:pPr>
            <w:r>
              <w:rPr>
                <w:rFonts w:eastAsia="DengXian"/>
              </w:rPr>
              <w:t>It is due to gNB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DengXian"/>
              </w:rPr>
              <w:t>Qualcomm</w:t>
            </w:r>
          </w:p>
        </w:tc>
        <w:tc>
          <w:tcPr>
            <w:tcW w:w="1739" w:type="dxa"/>
          </w:tcPr>
          <w:p w14:paraId="0B5017F8" w14:textId="64B64838" w:rsidR="00C8499C" w:rsidRDefault="00C8499C" w:rsidP="00C8499C">
            <w:pPr>
              <w:rPr>
                <w:rFonts w:eastAsiaTheme="minorEastAsia"/>
              </w:rPr>
            </w:pPr>
            <w:r>
              <w:rPr>
                <w:rFonts w:eastAsia="DengXian"/>
              </w:rPr>
              <w:t>Disagree</w:t>
            </w:r>
          </w:p>
        </w:tc>
        <w:tc>
          <w:tcPr>
            <w:tcW w:w="6480" w:type="dxa"/>
          </w:tcPr>
          <w:p w14:paraId="1AB43FFD" w14:textId="3FFD6A4E" w:rsidR="00C8499C" w:rsidRDefault="00C8499C" w:rsidP="00C8499C">
            <w:pPr>
              <w:rPr>
                <w:rFonts w:eastAsiaTheme="minorEastAsia"/>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r w:rsidR="00E1667C" w14:paraId="208D3E1E" w14:textId="77777777">
        <w:tc>
          <w:tcPr>
            <w:tcW w:w="1496" w:type="dxa"/>
          </w:tcPr>
          <w:p w14:paraId="590DF919" w14:textId="27D7411E" w:rsidR="00E1667C" w:rsidRDefault="00E1667C" w:rsidP="00D45DF2">
            <w:pPr>
              <w:rPr>
                <w:lang w:eastAsia="sv-SE"/>
              </w:rPr>
            </w:pPr>
            <w:r>
              <w:rPr>
                <w:rFonts w:eastAsia="DengXian" w:hint="eastAsia"/>
              </w:rPr>
              <w:t>CATT</w:t>
            </w:r>
          </w:p>
        </w:tc>
        <w:tc>
          <w:tcPr>
            <w:tcW w:w="1739" w:type="dxa"/>
          </w:tcPr>
          <w:p w14:paraId="081A199D" w14:textId="07E9EFD2" w:rsidR="00E1667C" w:rsidRDefault="00E1667C" w:rsidP="00D45DF2">
            <w:pPr>
              <w:rPr>
                <w:lang w:eastAsia="sv-SE"/>
              </w:rPr>
            </w:pPr>
            <w:r>
              <w:rPr>
                <w:rFonts w:eastAsia="DengXian" w:hint="eastAsia"/>
              </w:rPr>
              <w:t>Disagree</w:t>
            </w:r>
          </w:p>
        </w:tc>
        <w:tc>
          <w:tcPr>
            <w:tcW w:w="6480" w:type="dxa"/>
          </w:tcPr>
          <w:p w14:paraId="6C55543B" w14:textId="34A20F8D" w:rsidR="00E1667C" w:rsidRDefault="00E1667C" w:rsidP="00D45DF2">
            <w:r>
              <w:rPr>
                <w:rFonts w:eastAsia="DengXian" w:hint="eastAsia"/>
              </w:rPr>
              <w:t>T</w:t>
            </w:r>
            <w:r>
              <w:rPr>
                <w:rFonts w:eastAsia="DengXian"/>
              </w:rPr>
              <w:t xml:space="preserve">he LCP </w:t>
            </w:r>
            <w:r>
              <w:rPr>
                <w:rFonts w:eastAsia="DengXian" w:hint="eastAsia"/>
              </w:rPr>
              <w:t xml:space="preserve">of </w:t>
            </w:r>
            <w:proofErr w:type="spellStart"/>
            <w:r>
              <w:rPr>
                <w:rFonts w:eastAsia="Malgun Gothic"/>
                <w:lang w:eastAsia="ko-KR"/>
              </w:rPr>
              <w:t>allowedCG</w:t>
            </w:r>
            <w:proofErr w:type="spellEnd"/>
            <w:r>
              <w:rPr>
                <w:rFonts w:eastAsia="Malgun Gothic"/>
                <w:lang w:eastAsia="ko-KR"/>
              </w:rPr>
              <w:t>-List</w:t>
            </w:r>
            <w:r>
              <w:rPr>
                <w:rFonts w:eastAsiaTheme="minorEastAsia" w:hint="eastAsia"/>
              </w:rPr>
              <w:t xml:space="preserve"> can control the different </w:t>
            </w:r>
            <w:proofErr w:type="spellStart"/>
            <w:r>
              <w:rPr>
                <w:rFonts w:eastAsiaTheme="minorEastAsia" w:hint="eastAsia"/>
              </w:rPr>
              <w:t>ULdata</w:t>
            </w:r>
            <w:proofErr w:type="spellEnd"/>
            <w:r>
              <w:rPr>
                <w:rFonts w:eastAsiaTheme="minorEastAsia" w:hint="eastAsia"/>
              </w:rPr>
              <w:t xml:space="preserve"> mapping to CG </w:t>
            </w:r>
            <w:r>
              <w:rPr>
                <w:rFonts w:eastAsiaTheme="minorEastAsia"/>
              </w:rPr>
              <w:t>correctly</w:t>
            </w:r>
            <w:r>
              <w:rPr>
                <w:rFonts w:eastAsiaTheme="minorEastAsia" w:hint="eastAsia"/>
              </w:rPr>
              <w:t>.</w:t>
            </w:r>
          </w:p>
        </w:tc>
      </w:tr>
      <w:tr w:rsidR="00EF6861" w14:paraId="736F9AE0" w14:textId="77777777">
        <w:tc>
          <w:tcPr>
            <w:tcW w:w="1496" w:type="dxa"/>
          </w:tcPr>
          <w:p w14:paraId="23BAB384" w14:textId="3579FD1D" w:rsidR="00EF6861" w:rsidRDefault="00EF6861" w:rsidP="00EF6861">
            <w:pPr>
              <w:rPr>
                <w:rFonts w:eastAsia="DengXian"/>
              </w:rPr>
            </w:pPr>
            <w:r>
              <w:rPr>
                <w:rFonts w:eastAsiaTheme="minorEastAsia"/>
              </w:rPr>
              <w:t>Nokia</w:t>
            </w:r>
          </w:p>
        </w:tc>
        <w:tc>
          <w:tcPr>
            <w:tcW w:w="1739" w:type="dxa"/>
          </w:tcPr>
          <w:p w14:paraId="4C85989B" w14:textId="23F017C8" w:rsidR="00EF6861" w:rsidRDefault="00EF6861" w:rsidP="00EF6861">
            <w:pPr>
              <w:rPr>
                <w:rFonts w:eastAsia="DengXian"/>
              </w:rPr>
            </w:pPr>
            <w:r>
              <w:rPr>
                <w:rFonts w:eastAsiaTheme="minorEastAsia"/>
              </w:rPr>
              <w:t>Disagree</w:t>
            </w:r>
          </w:p>
        </w:tc>
        <w:tc>
          <w:tcPr>
            <w:tcW w:w="6480" w:type="dxa"/>
          </w:tcPr>
          <w:p w14:paraId="3C3C615A" w14:textId="6C566615" w:rsidR="00EF6861" w:rsidRDefault="00EF6861" w:rsidP="00EF6861">
            <w:pPr>
              <w:rPr>
                <w:rFonts w:eastAsia="DengXian"/>
              </w:rPr>
            </w:pPr>
            <w:r>
              <w:rPr>
                <w:rFonts w:eastAsiaTheme="minorEastAsia"/>
              </w:rPr>
              <w:t xml:space="preserve">We understand </w:t>
            </w:r>
            <w:r w:rsidRPr="006C44D7">
              <w:rPr>
                <w:color w:val="000000" w:themeColor="text1"/>
              </w:rPr>
              <w:t xml:space="preserve">one CG should have only one retransmission scheme and </w:t>
            </w:r>
            <w:r>
              <w:rPr>
                <w:color w:val="000000" w:themeColor="text1"/>
              </w:rPr>
              <w:t xml:space="preserve">the </w:t>
            </w:r>
            <w:proofErr w:type="spellStart"/>
            <w:r w:rsidRPr="00F0436D">
              <w:rPr>
                <w:i/>
                <w:iCs/>
                <w:color w:val="000000" w:themeColor="text1"/>
              </w:rPr>
              <w:t>allowedCG</w:t>
            </w:r>
            <w:proofErr w:type="spellEnd"/>
            <w:r w:rsidRPr="00F0436D">
              <w:rPr>
                <w:i/>
                <w:iCs/>
                <w:color w:val="000000" w:themeColor="text1"/>
              </w:rPr>
              <w:t>-List</w:t>
            </w:r>
            <w:r w:rsidRPr="006C44D7">
              <w:rPr>
                <w:color w:val="000000" w:themeColor="text1"/>
              </w:rPr>
              <w:t xml:space="preserve"> can be reused to </w:t>
            </w:r>
            <w:r>
              <w:rPr>
                <w:color w:val="000000" w:themeColor="text1"/>
              </w:rPr>
              <w:t>perform</w:t>
            </w:r>
            <w:r w:rsidRPr="006C44D7">
              <w:rPr>
                <w:color w:val="000000" w:themeColor="text1"/>
              </w:rPr>
              <w:t xml:space="preserve"> LCP for different retransmission scheme</w:t>
            </w:r>
            <w:r>
              <w:rPr>
                <w:color w:val="000000" w:themeColor="text1"/>
              </w:rPr>
              <w:t xml:space="preserve">. There is no gain to introduce </w:t>
            </w:r>
            <w:r w:rsidR="00A2336A">
              <w:rPr>
                <w:color w:val="000000" w:themeColor="text1"/>
              </w:rPr>
              <w:t xml:space="preserve">new </w:t>
            </w:r>
            <w:r>
              <w:rPr>
                <w:color w:val="000000" w:themeColor="text1"/>
              </w:rPr>
              <w:t>CG-specific LCP restriction. The compromised solution make system complex but no gain.</w:t>
            </w:r>
          </w:p>
        </w:tc>
      </w:tr>
      <w:tr w:rsidR="00EF6861" w14:paraId="321EC12F" w14:textId="77777777">
        <w:tc>
          <w:tcPr>
            <w:tcW w:w="1496" w:type="dxa"/>
          </w:tcPr>
          <w:p w14:paraId="59FA52B5" w14:textId="363FD150" w:rsidR="00EF6861" w:rsidRDefault="00A83FE8" w:rsidP="00D45DF2">
            <w:pPr>
              <w:rPr>
                <w:rFonts w:eastAsia="DengXian"/>
              </w:rPr>
            </w:pPr>
            <w:r>
              <w:rPr>
                <w:rFonts w:eastAsia="DengXian"/>
              </w:rPr>
              <w:t>Sequans</w:t>
            </w:r>
          </w:p>
        </w:tc>
        <w:tc>
          <w:tcPr>
            <w:tcW w:w="1739" w:type="dxa"/>
          </w:tcPr>
          <w:p w14:paraId="7343C3AA" w14:textId="5FF6C2CF" w:rsidR="00EF6861" w:rsidRDefault="00A83FE8" w:rsidP="00D45DF2">
            <w:pPr>
              <w:rPr>
                <w:rFonts w:eastAsia="DengXian"/>
              </w:rPr>
            </w:pPr>
            <w:r>
              <w:rPr>
                <w:rFonts w:eastAsia="DengXian"/>
              </w:rPr>
              <w:t>Disagree</w:t>
            </w:r>
          </w:p>
        </w:tc>
        <w:tc>
          <w:tcPr>
            <w:tcW w:w="6480" w:type="dxa"/>
          </w:tcPr>
          <w:p w14:paraId="09B64FC4" w14:textId="16B11643" w:rsidR="00EF6861" w:rsidRDefault="00A83FE8" w:rsidP="00D45DF2">
            <w:pPr>
              <w:rPr>
                <w:rFonts w:eastAsia="DengXian"/>
              </w:rPr>
            </w:pPr>
            <w:r>
              <w:rPr>
                <w:rFonts w:eastAsia="DengXian"/>
              </w:rPr>
              <w:t>No strong view on applying</w:t>
            </w:r>
            <w:r>
              <w:t xml:space="preserve"> </w:t>
            </w:r>
            <w:proofErr w:type="spellStart"/>
            <w:r w:rsidRPr="00A83FE8">
              <w:rPr>
                <w:rFonts w:eastAsia="DengXian"/>
              </w:rPr>
              <w:t>allowedHARQ</w:t>
            </w:r>
            <w:proofErr w:type="spellEnd"/>
            <w:r w:rsidRPr="00A83FE8">
              <w:rPr>
                <w:rFonts w:eastAsia="DengXian"/>
              </w:rPr>
              <w:t>-</w:t>
            </w:r>
            <w:proofErr w:type="spellStart"/>
            <w:r w:rsidRPr="00A83FE8">
              <w:rPr>
                <w:rFonts w:eastAsia="DengXian"/>
              </w:rPr>
              <w:t>DRX</w:t>
            </w:r>
            <w:proofErr w:type="spellEnd"/>
            <w:r w:rsidRPr="00A83FE8">
              <w:rPr>
                <w:rFonts w:eastAsia="DengXian"/>
              </w:rPr>
              <w:t>-Mode to CG</w:t>
            </w:r>
            <w:r>
              <w:rPr>
                <w:rFonts w:eastAsia="DengXian"/>
              </w:rPr>
              <w:t>, but this compromise proposal seems to add complexity for no real benefit.</w:t>
            </w: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he HARQ process IDs used by a semi-persistent scheduling (SPS) configuration are calculated from parameters of radio resource allocation in time. This is 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w:t>
            </w:r>
            <w:r>
              <w:rPr>
                <w:i w:val="0"/>
                <w:iCs/>
              </w:rPr>
              <w:lastRenderedPageBreak/>
              <w:t xml:space="preserve">configuration. </w:t>
            </w:r>
          </w:p>
        </w:tc>
        <w:tc>
          <w:tcPr>
            <w:tcW w:w="1354" w:type="dxa"/>
          </w:tcPr>
          <w:p w14:paraId="1DFFC8EF" w14:textId="77777777" w:rsidR="00283F2B" w:rsidRDefault="006D0C0A">
            <w:pPr>
              <w:pStyle w:val="NoSpacing"/>
              <w:rPr>
                <w:sz w:val="18"/>
                <w:szCs w:val="18"/>
              </w:rPr>
            </w:pPr>
            <w:proofErr w:type="spellStart"/>
            <w:r>
              <w:rPr>
                <w:sz w:val="18"/>
                <w:szCs w:val="18"/>
              </w:rPr>
              <w:lastRenderedPageBreak/>
              <w:t>InterDigital</w:t>
            </w:r>
            <w:proofErr w:type="spellEnd"/>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w:t>
            </w:r>
            <w:proofErr w:type="spellStart"/>
            <w:r>
              <w:rPr>
                <w:i w:val="0"/>
                <w:iCs/>
              </w:rPr>
              <w:t>RRC</w:t>
            </w:r>
            <w:proofErr w:type="spellEnd"/>
            <w:r>
              <w:rPr>
                <w:i w:val="0"/>
                <w:iCs/>
              </w:rPr>
              <w:t xml:space="preserve">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DengXian"/>
                <w:lang w:val="en-US"/>
              </w:rPr>
            </w:pPr>
            <w:r>
              <w:rPr>
                <w:rFonts w:eastAsia="DengXian" w:hint="eastAsia"/>
                <w:lang w:val="en-US"/>
              </w:rPr>
              <w:t>ZTE</w:t>
            </w:r>
          </w:p>
        </w:tc>
        <w:tc>
          <w:tcPr>
            <w:tcW w:w="1739" w:type="dxa"/>
          </w:tcPr>
          <w:p w14:paraId="697CA415" w14:textId="77777777" w:rsidR="00283F2B" w:rsidRDefault="006D0C0A">
            <w:pPr>
              <w:rPr>
                <w:rFonts w:eastAsia="DengXian"/>
                <w:lang w:val="en-US"/>
              </w:rPr>
            </w:pPr>
            <w:r>
              <w:rPr>
                <w:rFonts w:eastAsia="DengXian" w:hint="eastAsia"/>
                <w:lang w:val="en-US"/>
              </w:rPr>
              <w:t>Yes with comments</w:t>
            </w:r>
          </w:p>
        </w:tc>
        <w:tc>
          <w:tcPr>
            <w:tcW w:w="6480" w:type="dxa"/>
          </w:tcPr>
          <w:p w14:paraId="6DAFB5EF" w14:textId="77777777" w:rsidR="00283F2B" w:rsidRDefault="006D0C0A">
            <w:pPr>
              <w:rPr>
                <w:rFonts w:eastAsia="DengXian"/>
                <w:lang w:val="en-US"/>
              </w:rPr>
            </w:pPr>
            <w:r>
              <w:rPr>
                <w:rFonts w:eastAsia="DengXian" w:hint="eastAsia"/>
                <w:lang w:val="en-US"/>
              </w:rPr>
              <w:t xml:space="preserve">No need for ffs. </w:t>
            </w:r>
          </w:p>
          <w:p w14:paraId="08E378C8" w14:textId="77777777" w:rsidR="00283F2B" w:rsidRDefault="006D0C0A">
            <w:pPr>
              <w:rPr>
                <w:rFonts w:eastAsia="DengXian"/>
                <w:lang w:val="en-US"/>
              </w:rPr>
            </w:pPr>
            <w:r>
              <w:rPr>
                <w:rFonts w:eastAsia="DengXian" w:hint="eastAsia"/>
                <w:lang w:val="en-US"/>
              </w:rPr>
              <w:t>We don</w:t>
            </w:r>
            <w:r>
              <w:rPr>
                <w:rFonts w:eastAsia="DengXian"/>
                <w:lang w:val="en-US"/>
              </w:rPr>
              <w:t>’</w:t>
            </w:r>
            <w:r>
              <w:rPr>
                <w:rFonts w:eastAsia="DengXian"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996EF7" w14:paraId="7DACE4C0" w14:textId="77777777">
        <w:tc>
          <w:tcPr>
            <w:tcW w:w="1496" w:type="dxa"/>
          </w:tcPr>
          <w:p w14:paraId="3EDEB9F5"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0190CD31"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46495A79" w14:textId="77777777" w:rsidR="00EA225D" w:rsidRDefault="00EA225D" w:rsidP="00EA225D">
            <w:pPr>
              <w:rPr>
                <w:rFonts w:eastAsia="DengXian"/>
              </w:rPr>
            </w:pPr>
            <w:r>
              <w:rPr>
                <w:rFonts w:eastAsia="DengXian"/>
              </w:rPr>
              <w:lastRenderedPageBreak/>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DengXian"/>
              </w:rPr>
            </w:pPr>
            <w:r>
              <w:rPr>
                <w:rFonts w:eastAsia="DengXian"/>
              </w:rPr>
              <w:t>Bad implementation will be costly here.</w:t>
            </w:r>
          </w:p>
          <w:p w14:paraId="48DD4908" w14:textId="0E0E21E3" w:rsidR="00EA225D" w:rsidRDefault="00EA225D" w:rsidP="00EA225D">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lastRenderedPageBreak/>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r w:rsidR="00E1667C" w14:paraId="0AD64827" w14:textId="77777777">
        <w:tc>
          <w:tcPr>
            <w:tcW w:w="1496" w:type="dxa"/>
          </w:tcPr>
          <w:p w14:paraId="2D529B5F" w14:textId="360D4238" w:rsidR="00E1667C" w:rsidRDefault="00E1667C" w:rsidP="00D45DF2">
            <w:pPr>
              <w:rPr>
                <w:lang w:eastAsia="sv-SE"/>
              </w:rPr>
            </w:pPr>
            <w:r>
              <w:rPr>
                <w:rFonts w:eastAsia="DengXian" w:hint="eastAsia"/>
              </w:rPr>
              <w:t>CATT</w:t>
            </w:r>
          </w:p>
        </w:tc>
        <w:tc>
          <w:tcPr>
            <w:tcW w:w="1739" w:type="dxa"/>
          </w:tcPr>
          <w:p w14:paraId="551F4B93" w14:textId="35B2327D" w:rsidR="00E1667C" w:rsidRDefault="00E1667C" w:rsidP="00D45DF2">
            <w:pPr>
              <w:rPr>
                <w:lang w:eastAsia="sv-SE"/>
              </w:rPr>
            </w:pPr>
            <w:r>
              <w:rPr>
                <w:rFonts w:eastAsia="DengXian" w:hint="eastAsia"/>
              </w:rPr>
              <w:t>Yes</w:t>
            </w:r>
          </w:p>
        </w:tc>
        <w:tc>
          <w:tcPr>
            <w:tcW w:w="6480" w:type="dxa"/>
          </w:tcPr>
          <w:p w14:paraId="2CA32BDB" w14:textId="77777777" w:rsidR="00E1667C" w:rsidRDefault="00E1667C" w:rsidP="00D45DF2">
            <w:pPr>
              <w:rPr>
                <w:rFonts w:eastAsiaTheme="minorEastAsia"/>
              </w:rPr>
            </w:pPr>
          </w:p>
        </w:tc>
      </w:tr>
      <w:tr w:rsidR="00E96FF1" w14:paraId="6FE59CF5" w14:textId="77777777">
        <w:tc>
          <w:tcPr>
            <w:tcW w:w="1496" w:type="dxa"/>
          </w:tcPr>
          <w:p w14:paraId="3EA31E3A" w14:textId="0FB37D99" w:rsidR="00E96FF1" w:rsidRDefault="00E96FF1" w:rsidP="00E96FF1">
            <w:pPr>
              <w:rPr>
                <w:rFonts w:eastAsia="DengXian"/>
              </w:rPr>
            </w:pPr>
            <w:r>
              <w:rPr>
                <w:rFonts w:eastAsiaTheme="minorEastAsia"/>
              </w:rPr>
              <w:t>Nokia</w:t>
            </w:r>
          </w:p>
        </w:tc>
        <w:tc>
          <w:tcPr>
            <w:tcW w:w="1739" w:type="dxa"/>
          </w:tcPr>
          <w:p w14:paraId="12CB5AE2" w14:textId="73E60FAD" w:rsidR="00E96FF1" w:rsidRDefault="00E96FF1" w:rsidP="00E96FF1">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1E6A5257" w14:textId="5BF4496C" w:rsidR="00E96FF1" w:rsidRDefault="00E96FF1" w:rsidP="00E96FF1">
            <w:pPr>
              <w:rPr>
                <w:rFonts w:eastAsiaTheme="minorEastAsia"/>
              </w:rPr>
            </w:pPr>
            <w:r>
              <w:rPr>
                <w:rFonts w:eastAsiaTheme="minorEastAsia"/>
              </w:rPr>
              <w:t>The FFS part is not needed. It is NW implementation to guarantee that the calculated HARQ processes for a configured grant or SPS configuration have the same HARQ mode/state.</w:t>
            </w:r>
          </w:p>
        </w:tc>
      </w:tr>
      <w:tr w:rsidR="00E96FF1" w14:paraId="60E7EA60" w14:textId="77777777">
        <w:tc>
          <w:tcPr>
            <w:tcW w:w="1496" w:type="dxa"/>
          </w:tcPr>
          <w:p w14:paraId="2533855F" w14:textId="6B4E2284" w:rsidR="00E96FF1" w:rsidRDefault="00EA7625" w:rsidP="00D45DF2">
            <w:pPr>
              <w:rPr>
                <w:rFonts w:eastAsia="DengXian"/>
              </w:rPr>
            </w:pPr>
            <w:r>
              <w:rPr>
                <w:rFonts w:eastAsia="DengXian"/>
              </w:rPr>
              <w:t>Sequans</w:t>
            </w:r>
          </w:p>
        </w:tc>
        <w:tc>
          <w:tcPr>
            <w:tcW w:w="1739" w:type="dxa"/>
          </w:tcPr>
          <w:p w14:paraId="4490609B" w14:textId="399CD68B" w:rsidR="00E96FF1" w:rsidRDefault="00EA7625" w:rsidP="00D45DF2">
            <w:pPr>
              <w:rPr>
                <w:rFonts w:eastAsia="DengXian"/>
              </w:rPr>
            </w:pPr>
            <w:r>
              <w:rPr>
                <w:rFonts w:eastAsia="DengXian"/>
              </w:rPr>
              <w:t>Yes</w:t>
            </w:r>
          </w:p>
        </w:tc>
        <w:tc>
          <w:tcPr>
            <w:tcW w:w="6480" w:type="dxa"/>
          </w:tcPr>
          <w:p w14:paraId="71D70501" w14:textId="77777777" w:rsidR="00E96FF1" w:rsidRDefault="00E96FF1" w:rsidP="00D45DF2">
            <w:pPr>
              <w:rPr>
                <w:rFonts w:eastAsiaTheme="minorEastAsia"/>
              </w:rPr>
            </w:pP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configuration(i.e.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RAN2 to capture the principle that gNB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proofErr w:type="spellStart"/>
            <w:r>
              <w:rPr>
                <w:sz w:val="18"/>
                <w:szCs w:val="18"/>
              </w:rPr>
              <w:t>InterDigital</w:t>
            </w:r>
            <w:proofErr w:type="spellEnd"/>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lastRenderedPageBreak/>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DengXian"/>
                <w:lang w:val="en-US"/>
              </w:rPr>
            </w:pPr>
            <w:r>
              <w:rPr>
                <w:rFonts w:eastAsia="DengXian" w:hint="eastAsia"/>
                <w:lang w:val="en-US"/>
              </w:rPr>
              <w:t>ZTE</w:t>
            </w:r>
          </w:p>
        </w:tc>
        <w:tc>
          <w:tcPr>
            <w:tcW w:w="1739" w:type="dxa"/>
          </w:tcPr>
          <w:p w14:paraId="21840BF1" w14:textId="77777777" w:rsidR="00283F2B" w:rsidRDefault="006D0C0A">
            <w:pPr>
              <w:rPr>
                <w:rFonts w:eastAsia="DengXian"/>
                <w:lang w:val="en-US"/>
              </w:rPr>
            </w:pPr>
            <w:r>
              <w:rPr>
                <w:rFonts w:eastAsia="DengXian" w:hint="eastAsia"/>
                <w:lang w:val="en-US"/>
              </w:rPr>
              <w:t>Yes with comments</w:t>
            </w:r>
          </w:p>
        </w:tc>
        <w:tc>
          <w:tcPr>
            <w:tcW w:w="6480" w:type="dxa"/>
          </w:tcPr>
          <w:p w14:paraId="61CAD199" w14:textId="77777777" w:rsidR="00283F2B" w:rsidRDefault="006D0C0A">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996EF7" w14:paraId="73092C84" w14:textId="77777777">
        <w:tc>
          <w:tcPr>
            <w:tcW w:w="1496" w:type="dxa"/>
          </w:tcPr>
          <w:p w14:paraId="3DA6BD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40B057FF"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DengXian"/>
              </w:rPr>
              <w:t>Qualcomm</w:t>
            </w:r>
          </w:p>
        </w:tc>
        <w:tc>
          <w:tcPr>
            <w:tcW w:w="1739" w:type="dxa"/>
          </w:tcPr>
          <w:p w14:paraId="408E9684" w14:textId="5FB15203" w:rsidR="002F400E" w:rsidRDefault="002F400E" w:rsidP="002F400E">
            <w:pPr>
              <w:rPr>
                <w:rFonts w:eastAsiaTheme="minorEastAsia"/>
              </w:rPr>
            </w:pPr>
            <w:r>
              <w:rPr>
                <w:rFonts w:eastAsia="DengXian"/>
              </w:rPr>
              <w:t>Yes</w:t>
            </w:r>
          </w:p>
        </w:tc>
        <w:tc>
          <w:tcPr>
            <w:tcW w:w="6480" w:type="dxa"/>
          </w:tcPr>
          <w:p w14:paraId="26324A8B" w14:textId="77777777" w:rsidR="002F400E" w:rsidRDefault="002F400E" w:rsidP="002F400E">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2627B81" w14:textId="77777777" w:rsidR="002F400E" w:rsidRDefault="002F400E" w:rsidP="002F400E">
            <w:pPr>
              <w:rPr>
                <w:rFonts w:eastAsia="DengXian"/>
              </w:rPr>
            </w:pPr>
            <w:r>
              <w:rPr>
                <w:rFonts w:eastAsia="DengXian"/>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DengXian"/>
              </w:rPr>
            </w:pPr>
            <w:r>
              <w:rPr>
                <w:rFonts w:eastAsia="DengXian"/>
              </w:rPr>
              <w:t>Bad implementation will be costly here.</w:t>
            </w:r>
          </w:p>
          <w:p w14:paraId="39311A53" w14:textId="077A60CC" w:rsidR="002F400E" w:rsidRDefault="002F400E" w:rsidP="002F400E">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r w:rsidR="00E1667C" w14:paraId="16BDF41C" w14:textId="77777777">
        <w:tc>
          <w:tcPr>
            <w:tcW w:w="1496" w:type="dxa"/>
          </w:tcPr>
          <w:p w14:paraId="390F2607" w14:textId="2451CEA2" w:rsidR="00E1667C" w:rsidRDefault="00E1667C" w:rsidP="00D45DF2">
            <w:pPr>
              <w:rPr>
                <w:lang w:eastAsia="sv-SE"/>
              </w:rPr>
            </w:pPr>
            <w:r>
              <w:rPr>
                <w:rFonts w:eastAsia="DengXian" w:hint="eastAsia"/>
              </w:rPr>
              <w:t>CATT</w:t>
            </w:r>
          </w:p>
        </w:tc>
        <w:tc>
          <w:tcPr>
            <w:tcW w:w="1739" w:type="dxa"/>
          </w:tcPr>
          <w:p w14:paraId="15329FA1" w14:textId="7170E8E7" w:rsidR="00E1667C" w:rsidRDefault="00E1667C" w:rsidP="00D45DF2">
            <w:pPr>
              <w:rPr>
                <w:lang w:eastAsia="sv-SE"/>
              </w:rPr>
            </w:pPr>
            <w:r>
              <w:rPr>
                <w:rFonts w:eastAsia="DengXian" w:hint="eastAsia"/>
              </w:rPr>
              <w:t>Yes</w:t>
            </w:r>
          </w:p>
        </w:tc>
        <w:tc>
          <w:tcPr>
            <w:tcW w:w="6480" w:type="dxa"/>
          </w:tcPr>
          <w:p w14:paraId="5222A919" w14:textId="77777777" w:rsidR="00E1667C" w:rsidRDefault="00E1667C" w:rsidP="00D45DF2">
            <w:pPr>
              <w:rPr>
                <w:rFonts w:eastAsiaTheme="minorEastAsia"/>
              </w:rPr>
            </w:pPr>
          </w:p>
        </w:tc>
      </w:tr>
      <w:tr w:rsidR="00123EAF" w14:paraId="79DDA788" w14:textId="77777777">
        <w:tc>
          <w:tcPr>
            <w:tcW w:w="1496" w:type="dxa"/>
          </w:tcPr>
          <w:p w14:paraId="0DD4C810" w14:textId="6E0E790C" w:rsidR="00123EAF" w:rsidRDefault="00123EAF" w:rsidP="00123EAF">
            <w:pPr>
              <w:rPr>
                <w:rFonts w:eastAsia="DengXian"/>
              </w:rPr>
            </w:pPr>
            <w:r>
              <w:rPr>
                <w:rFonts w:eastAsiaTheme="minorEastAsia"/>
              </w:rPr>
              <w:t>Nokia</w:t>
            </w:r>
          </w:p>
        </w:tc>
        <w:tc>
          <w:tcPr>
            <w:tcW w:w="1739" w:type="dxa"/>
          </w:tcPr>
          <w:p w14:paraId="370BB7FF" w14:textId="3C46B007" w:rsidR="00123EAF" w:rsidRDefault="00123EAF" w:rsidP="00123EAF">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579E9597" w14:textId="7EDBE151" w:rsidR="00123EAF" w:rsidRDefault="00123EAF" w:rsidP="00123EAF">
            <w:pPr>
              <w:rPr>
                <w:rFonts w:eastAsiaTheme="minorEastAsia"/>
              </w:rPr>
            </w:pPr>
            <w:r>
              <w:rPr>
                <w:rFonts w:eastAsiaTheme="minorEastAsia"/>
              </w:rPr>
              <w:t>Same comments as Q6. FFS should be removed.</w:t>
            </w:r>
          </w:p>
        </w:tc>
      </w:tr>
      <w:tr w:rsidR="00123EAF" w14:paraId="6AD69ADB" w14:textId="77777777">
        <w:tc>
          <w:tcPr>
            <w:tcW w:w="1496" w:type="dxa"/>
          </w:tcPr>
          <w:p w14:paraId="5E69F551" w14:textId="060012BD" w:rsidR="00123EAF" w:rsidRDefault="0015390F" w:rsidP="00D45DF2">
            <w:pPr>
              <w:rPr>
                <w:rFonts w:eastAsia="DengXian"/>
              </w:rPr>
            </w:pPr>
            <w:r>
              <w:rPr>
                <w:rFonts w:eastAsia="DengXian"/>
              </w:rPr>
              <w:t>Sequans</w:t>
            </w:r>
          </w:p>
        </w:tc>
        <w:tc>
          <w:tcPr>
            <w:tcW w:w="1739" w:type="dxa"/>
          </w:tcPr>
          <w:p w14:paraId="21F51C03" w14:textId="6CCD3493" w:rsidR="00123EAF" w:rsidRDefault="0015390F" w:rsidP="00D45DF2">
            <w:pPr>
              <w:rPr>
                <w:rFonts w:eastAsia="DengXian"/>
              </w:rPr>
            </w:pPr>
            <w:r>
              <w:rPr>
                <w:rFonts w:eastAsia="DengXian"/>
              </w:rPr>
              <w:t>Yes</w:t>
            </w:r>
          </w:p>
        </w:tc>
        <w:tc>
          <w:tcPr>
            <w:tcW w:w="6480" w:type="dxa"/>
          </w:tcPr>
          <w:p w14:paraId="53407508" w14:textId="77777777" w:rsidR="00123EAF" w:rsidRDefault="00123EAF" w:rsidP="00D45DF2">
            <w:pPr>
              <w:rPr>
                <w:rFonts w:eastAsiaTheme="minorEastAsia"/>
              </w:rPr>
            </w:pPr>
          </w:p>
        </w:tc>
      </w:tr>
    </w:tbl>
    <w:p w14:paraId="5B0047CB" w14:textId="77777777"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w:t>
      </w:r>
      <w:r>
        <w:lastRenderedPageBreak/>
        <w:t xml:space="preserve">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w:t>
            </w:r>
            <w:proofErr w:type="spellStart"/>
            <w:r>
              <w:rPr>
                <w:i w:val="0"/>
                <w:iCs/>
              </w:rPr>
              <w:t>HARQ</w:t>
            </w:r>
            <w:proofErr w:type="spellEnd"/>
            <w:r>
              <w:rPr>
                <w:i w:val="0"/>
                <w:iCs/>
              </w:rPr>
              <w:t xml:space="preserve">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r>
              <w:rPr>
                <w:i w:val="0"/>
                <w:iCs/>
              </w:rPr>
              <w:t>a.Option</w:t>
            </w:r>
            <w:proofErr w:type="spellEnd"/>
            <w:r>
              <w:rPr>
                <w:i w:val="0"/>
                <w:iCs/>
              </w:rPr>
              <w:t xml:space="preserve"> 1: uplinkHARQ-DRX-LCP-Mode-r17 does not applies to </w:t>
            </w:r>
            <w:proofErr w:type="spellStart"/>
            <w:r>
              <w:rPr>
                <w:i w:val="0"/>
                <w:iCs/>
              </w:rPr>
              <w:t>HARQ</w:t>
            </w:r>
            <w:proofErr w:type="spellEnd"/>
            <w:r>
              <w:rPr>
                <w:i w:val="0"/>
                <w:iCs/>
              </w:rPr>
              <w:t xml:space="preserve">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xml:space="preserve">, and </w:t>
      </w:r>
      <w:proofErr w:type="spellStart"/>
      <w:r>
        <w:t>DRX</w:t>
      </w:r>
      <w:proofErr w:type="spellEnd"/>
      <w:r>
        <w:t xml:space="preserve">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w:t>
      </w:r>
      <w:proofErr w:type="spellStart"/>
      <w:r>
        <w:t>HARQ</w:t>
      </w:r>
      <w:proofErr w:type="spellEnd"/>
      <w:r>
        <w:t xml:space="preserve">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w:t>
      </w:r>
      <w:proofErr w:type="spellStart"/>
      <w:r>
        <w:rPr>
          <w:rFonts w:ascii="Arial" w:hAnsi="Arial" w:cs="Arial"/>
          <w:b/>
          <w:bCs/>
          <w:sz w:val="20"/>
          <w:szCs w:val="20"/>
        </w:rPr>
        <w:t>HARQ</w:t>
      </w:r>
      <w:proofErr w:type="spellEnd"/>
      <w:r>
        <w:rPr>
          <w:rFonts w:ascii="Arial" w:hAnsi="Arial" w:cs="Arial"/>
          <w:b/>
          <w:bCs/>
          <w:sz w:val="20"/>
          <w:szCs w:val="20"/>
        </w:rPr>
        <w:t xml:space="preserve">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 xml:space="preserve">Preferred </w:t>
            </w:r>
            <w:r>
              <w:rPr>
                <w:b/>
                <w:lang w:eastAsia="sv-SE"/>
              </w:rPr>
              <w:lastRenderedPageBreak/>
              <w:t>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lastRenderedPageBreak/>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 xml:space="preserve">-LCP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w:t>
            </w:r>
            <w:proofErr w:type="spellStart"/>
            <w:r>
              <w:rPr>
                <w:rFonts w:eastAsiaTheme="minorEastAsia"/>
              </w:rPr>
              <w:t>DRX</w:t>
            </w:r>
            <w:proofErr w:type="spellEnd"/>
            <w:r>
              <w:rPr>
                <w:rFonts w:eastAsiaTheme="minorEastAsia"/>
              </w:rPr>
              <w:t>-LCP-Mode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w:t>
            </w:r>
            <w:proofErr w:type="spellStart"/>
            <w:r>
              <w:rPr>
                <w:rFonts w:eastAsiaTheme="minorEastAsia"/>
              </w:rPr>
              <w:t>DRX</w:t>
            </w:r>
            <w:proofErr w:type="spellEnd"/>
            <w:r>
              <w:rPr>
                <w:rFonts w:eastAsiaTheme="minorEastAsia"/>
              </w:rPr>
              <w:t xml:space="preserve">-LCP-Mode and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 xml:space="preserve">-LCP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DengXian"/>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DengXian"/>
                <w:lang w:val="en-US"/>
              </w:rPr>
            </w:pPr>
            <w:r>
              <w:rPr>
                <w:rFonts w:eastAsia="DengXian" w:hint="eastAsia"/>
                <w:lang w:val="en-US"/>
              </w:rPr>
              <w:t>ZTE</w:t>
            </w:r>
          </w:p>
        </w:tc>
        <w:tc>
          <w:tcPr>
            <w:tcW w:w="1739" w:type="dxa"/>
          </w:tcPr>
          <w:p w14:paraId="2929A733" w14:textId="77777777" w:rsidR="00283F2B" w:rsidRDefault="006D0C0A">
            <w:pPr>
              <w:rPr>
                <w:rFonts w:eastAsia="DengXian"/>
                <w:lang w:val="en-US"/>
              </w:rPr>
            </w:pPr>
            <w:r>
              <w:rPr>
                <w:rFonts w:eastAsia="DengXian" w:hint="eastAsia"/>
                <w:lang w:val="en-US"/>
              </w:rPr>
              <w:t>Option 3</w:t>
            </w:r>
          </w:p>
        </w:tc>
        <w:tc>
          <w:tcPr>
            <w:tcW w:w="6480" w:type="dxa"/>
          </w:tcPr>
          <w:p w14:paraId="3E001330" w14:textId="77777777" w:rsidR="00283F2B" w:rsidRDefault="006D0C0A">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t apply to 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t>MsgA</w:t>
            </w:r>
            <w:proofErr w:type="spellEnd"/>
            <w:r>
              <w:rPr>
                <w:rFonts w:eastAsia="DengXian" w:hint="eastAsia"/>
                <w:lang w:val="en-US"/>
              </w:rPr>
              <w:t xml:space="preserve"> PUSCH. Option 2 is also feasible, but it means HP#0 cannot be configured with a state which might not be optimal.</w:t>
            </w:r>
          </w:p>
        </w:tc>
      </w:tr>
      <w:tr w:rsidR="00996EF7" w14:paraId="5F54E7E9" w14:textId="77777777">
        <w:tc>
          <w:tcPr>
            <w:tcW w:w="1496" w:type="dxa"/>
          </w:tcPr>
          <w:p w14:paraId="55F03A27"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7BF3CCB2" w14:textId="77777777" w:rsidR="00996EF7" w:rsidRDefault="00996EF7" w:rsidP="00996EF7">
            <w:pPr>
              <w:rPr>
                <w:rFonts w:eastAsia="DengXian"/>
              </w:rPr>
            </w:pPr>
            <w:r>
              <w:rPr>
                <w:rFonts w:eastAsia="DengXian" w:hint="eastAsia"/>
              </w:rPr>
              <w:t>O</w:t>
            </w:r>
            <w:r>
              <w:rPr>
                <w:rFonts w:eastAsia="DengXian"/>
              </w:rPr>
              <w:t>ption 1</w:t>
            </w:r>
          </w:p>
        </w:tc>
        <w:tc>
          <w:tcPr>
            <w:tcW w:w="6480" w:type="dxa"/>
          </w:tcPr>
          <w:p w14:paraId="5300C365" w14:textId="77777777" w:rsidR="00996EF7" w:rsidRDefault="00996EF7" w:rsidP="00996EF7">
            <w:pPr>
              <w:rPr>
                <w:rFonts w:eastAsia="DengXian"/>
              </w:rPr>
            </w:pPr>
            <w:r>
              <w:rPr>
                <w:rFonts w:eastAsia="DengXian"/>
              </w:rPr>
              <w:t xml:space="preserve">It is due to gNB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DengXian"/>
              </w:rPr>
              <w:t>Qualcomm</w:t>
            </w:r>
          </w:p>
        </w:tc>
        <w:tc>
          <w:tcPr>
            <w:tcW w:w="1739" w:type="dxa"/>
          </w:tcPr>
          <w:p w14:paraId="74E28CEA" w14:textId="644902DD" w:rsidR="008D4A10" w:rsidRDefault="008D4A10" w:rsidP="008D4A10">
            <w:pPr>
              <w:rPr>
                <w:rFonts w:eastAsiaTheme="minorEastAsia"/>
              </w:rPr>
            </w:pPr>
            <w:r>
              <w:rPr>
                <w:rFonts w:eastAsia="DengXian"/>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tr w:rsidR="00E021E9" w14:paraId="15BFE6BD" w14:textId="77777777">
        <w:tc>
          <w:tcPr>
            <w:tcW w:w="1496" w:type="dxa"/>
          </w:tcPr>
          <w:p w14:paraId="051E7CC0" w14:textId="44333EAA" w:rsidR="00E021E9" w:rsidRPr="00E021E9" w:rsidRDefault="00E021E9" w:rsidP="00D45DF2">
            <w:pPr>
              <w:rPr>
                <w:rFonts w:eastAsiaTheme="minorEastAsia"/>
              </w:rPr>
            </w:pPr>
            <w:r>
              <w:rPr>
                <w:rFonts w:eastAsiaTheme="minorEastAsia" w:hint="eastAsia"/>
              </w:rPr>
              <w:t>CATT</w:t>
            </w:r>
          </w:p>
        </w:tc>
        <w:tc>
          <w:tcPr>
            <w:tcW w:w="1739" w:type="dxa"/>
          </w:tcPr>
          <w:p w14:paraId="7DA49781" w14:textId="1A2AA52C" w:rsidR="00E021E9" w:rsidRPr="00E021E9" w:rsidRDefault="00E021E9" w:rsidP="00D45DF2">
            <w:pPr>
              <w:rPr>
                <w:rFonts w:eastAsiaTheme="minorEastAsia"/>
              </w:rPr>
            </w:pPr>
            <w:r>
              <w:rPr>
                <w:rFonts w:eastAsiaTheme="minorEastAsia" w:hint="eastAsia"/>
              </w:rPr>
              <w:t>Option 1</w:t>
            </w:r>
          </w:p>
        </w:tc>
        <w:tc>
          <w:tcPr>
            <w:tcW w:w="6480" w:type="dxa"/>
          </w:tcPr>
          <w:p w14:paraId="2E553430" w14:textId="046C840F" w:rsidR="00E021E9" w:rsidRDefault="00E021E9" w:rsidP="00D45DF2">
            <w:pPr>
              <w:rPr>
                <w:rFonts w:eastAsiaTheme="minorEastAsia"/>
              </w:rPr>
            </w:pPr>
          </w:p>
        </w:tc>
      </w:tr>
      <w:tr w:rsidR="00174C90" w14:paraId="183A244E" w14:textId="77777777">
        <w:tc>
          <w:tcPr>
            <w:tcW w:w="1496" w:type="dxa"/>
          </w:tcPr>
          <w:p w14:paraId="3FD949ED" w14:textId="2C6D3CF2" w:rsidR="00174C90" w:rsidRDefault="00174C90" w:rsidP="00174C90">
            <w:pPr>
              <w:rPr>
                <w:rFonts w:eastAsiaTheme="minorEastAsia"/>
              </w:rPr>
            </w:pPr>
            <w:r>
              <w:rPr>
                <w:rFonts w:eastAsiaTheme="minorEastAsia"/>
              </w:rPr>
              <w:t>Nokia</w:t>
            </w:r>
          </w:p>
        </w:tc>
        <w:tc>
          <w:tcPr>
            <w:tcW w:w="1739" w:type="dxa"/>
          </w:tcPr>
          <w:p w14:paraId="0DF5EBDB" w14:textId="75C7CF4D" w:rsidR="00174C90" w:rsidRDefault="00174C90" w:rsidP="00174C90">
            <w:pPr>
              <w:rPr>
                <w:rFonts w:eastAsiaTheme="minorEastAsia"/>
              </w:rPr>
            </w:pPr>
            <w:r>
              <w:rPr>
                <w:rFonts w:eastAsiaTheme="minorEastAsia"/>
              </w:rPr>
              <w:t>Option 1</w:t>
            </w:r>
          </w:p>
        </w:tc>
        <w:tc>
          <w:tcPr>
            <w:tcW w:w="6480" w:type="dxa"/>
          </w:tcPr>
          <w:p w14:paraId="0D68B071" w14:textId="77777777" w:rsidR="00174C90" w:rsidRDefault="00174C90" w:rsidP="00174C90">
            <w:pPr>
              <w:rPr>
                <w:rFonts w:eastAsiaTheme="minorEastAsia"/>
              </w:rPr>
            </w:pPr>
            <w:r>
              <w:rPr>
                <w:rFonts w:eastAsiaTheme="minorEastAsia"/>
              </w:rPr>
              <w:t xml:space="preserve">For RAR scheduled Msg3, the legacy parameters (e.g. </w:t>
            </w:r>
            <w:proofErr w:type="spellStart"/>
            <w:r w:rsidRPr="008D0BE1">
              <w:rPr>
                <w:rFonts w:eastAsiaTheme="minorEastAsia"/>
              </w:rPr>
              <w:t>allowedSCS</w:t>
            </w:r>
            <w:proofErr w:type="spellEnd"/>
            <w:r w:rsidRPr="008D0BE1">
              <w:rPr>
                <w:rFonts w:eastAsiaTheme="minorEastAsia"/>
              </w:rPr>
              <w:t xml:space="preserve">-List, </w:t>
            </w:r>
            <w:proofErr w:type="spellStart"/>
            <w:r w:rsidRPr="008D0BE1">
              <w:rPr>
                <w:rFonts w:eastAsiaTheme="minorEastAsia"/>
              </w:rPr>
              <w:t>maxPUSCH</w:t>
            </w:r>
            <w:proofErr w:type="spellEnd"/>
            <w:r w:rsidRPr="008D0BE1">
              <w:rPr>
                <w:rFonts w:eastAsiaTheme="minorEastAsia"/>
              </w:rPr>
              <w:t>-Duration</w:t>
            </w:r>
            <w:r>
              <w:rPr>
                <w:rFonts w:eastAsiaTheme="minorEastAsia"/>
              </w:rPr>
              <w:t xml:space="preserve">) can be applied in LCP. We think it is natural to </w:t>
            </w:r>
            <w:proofErr w:type="gramStart"/>
            <w:r>
              <w:rPr>
                <w:rFonts w:eastAsiaTheme="minorEastAsia"/>
              </w:rPr>
              <w:t>applied</w:t>
            </w:r>
            <w:proofErr w:type="gramEnd"/>
            <w:r>
              <w:rPr>
                <w:rFonts w:eastAsiaTheme="minorEastAsia"/>
              </w:rPr>
              <w:t xml:space="preserve"> the </w:t>
            </w:r>
            <w:proofErr w:type="spellStart"/>
            <w:r w:rsidRPr="008D0BE1">
              <w:rPr>
                <w:rFonts w:eastAsiaTheme="minorEastAsia"/>
                <w:i/>
                <w:iCs/>
              </w:rPr>
              <w:t>uplinkHARQ</w:t>
            </w:r>
            <w:proofErr w:type="spellEnd"/>
            <w:r w:rsidRPr="008D0BE1">
              <w:rPr>
                <w:rFonts w:eastAsiaTheme="minorEastAsia"/>
                <w:i/>
                <w:iCs/>
              </w:rPr>
              <w:t>-</w:t>
            </w:r>
            <w:proofErr w:type="spellStart"/>
            <w:r w:rsidRPr="008D0BE1">
              <w:rPr>
                <w:rFonts w:eastAsiaTheme="minorEastAsia"/>
                <w:i/>
                <w:iCs/>
              </w:rPr>
              <w:t>DRX</w:t>
            </w:r>
            <w:proofErr w:type="spellEnd"/>
            <w:r w:rsidRPr="008D0BE1">
              <w:rPr>
                <w:rFonts w:eastAsiaTheme="minorEastAsia"/>
                <w:i/>
                <w:iCs/>
              </w:rPr>
              <w:t>-LCP-Mode</w:t>
            </w:r>
            <w:r w:rsidRPr="008D0BE1">
              <w:rPr>
                <w:rFonts w:eastAsiaTheme="minorEastAsia"/>
              </w:rPr>
              <w:t>.</w:t>
            </w:r>
            <w:r>
              <w:rPr>
                <w:rFonts w:eastAsiaTheme="minorEastAsia"/>
              </w:rPr>
              <w:t xml:space="preserve"> </w:t>
            </w:r>
          </w:p>
          <w:p w14:paraId="04458F15" w14:textId="15AAEE1A" w:rsidR="00174C90" w:rsidRDefault="00174C90" w:rsidP="00174C90">
            <w:pPr>
              <w:rPr>
                <w:rFonts w:eastAsiaTheme="minorEastAsia"/>
              </w:rPr>
            </w:pPr>
            <w:r>
              <w:rPr>
                <w:rFonts w:eastAsiaTheme="minorEastAsia"/>
              </w:rPr>
              <w:lastRenderedPageBreak/>
              <w:t xml:space="preserve">It is NW implementation to decide the HARQ mode of HARQ </w:t>
            </w:r>
            <w:r w:rsidR="005D2AD1">
              <w:rPr>
                <w:rFonts w:eastAsiaTheme="minorEastAsia"/>
              </w:rPr>
              <w:t xml:space="preserve">PID </w:t>
            </w:r>
            <w:r>
              <w:rPr>
                <w:rFonts w:eastAsiaTheme="minorEastAsia"/>
              </w:rPr>
              <w:t>0. If the LCHs for RRC messages or data need to be put in Msg3, NW can configure proper HARQ state for the LCHs. Please note, the MAC CE (e.g. C-RNTI in Msg3 for RACH in connected mode) will not apply the new LCP at all. Furthermore, if the LCH is not configured with any mapping rule</w:t>
            </w:r>
            <w:r w:rsidR="006957D0">
              <w:rPr>
                <w:rFonts w:eastAsiaTheme="minorEastAsia"/>
              </w:rPr>
              <w:t xml:space="preserve"> (e.g. UL CCCH message)</w:t>
            </w:r>
            <w:r>
              <w:rPr>
                <w:rFonts w:eastAsiaTheme="minorEastAsia"/>
              </w:rPr>
              <w:t xml:space="preserve">, it can be mapped to any HARQ process. (agreement as below) </w:t>
            </w:r>
            <w:r w:rsidR="00E85C80">
              <w:rPr>
                <w:rFonts w:eastAsiaTheme="minorEastAsia"/>
              </w:rPr>
              <w:t xml:space="preserve">. </w:t>
            </w:r>
          </w:p>
          <w:p w14:paraId="2E65F379" w14:textId="7B8EDCA9" w:rsidR="00174C90" w:rsidRDefault="00174C90" w:rsidP="00174C90">
            <w:pPr>
              <w:rPr>
                <w:rFonts w:eastAsiaTheme="minorEastAsia"/>
              </w:rPr>
            </w:pPr>
            <w:r w:rsidRPr="00A3585B">
              <w:rPr>
                <w:i/>
                <w:iCs/>
              </w:rPr>
              <w:t>If an LCH is not configured with a mapping rule, it may be mapped to any HARQ process (HARQ mode A or B).</w:t>
            </w:r>
          </w:p>
        </w:tc>
      </w:tr>
      <w:tr w:rsidR="0015390F" w14:paraId="6CB1890D" w14:textId="77777777">
        <w:tc>
          <w:tcPr>
            <w:tcW w:w="1496" w:type="dxa"/>
          </w:tcPr>
          <w:p w14:paraId="6B22E905" w14:textId="580A1A25" w:rsidR="0015390F" w:rsidRDefault="0015390F" w:rsidP="00174C90">
            <w:pPr>
              <w:rPr>
                <w:rFonts w:eastAsiaTheme="minorEastAsia"/>
              </w:rPr>
            </w:pPr>
            <w:r>
              <w:rPr>
                <w:rFonts w:eastAsiaTheme="minorEastAsia"/>
              </w:rPr>
              <w:lastRenderedPageBreak/>
              <w:t>Sequans</w:t>
            </w:r>
          </w:p>
        </w:tc>
        <w:tc>
          <w:tcPr>
            <w:tcW w:w="1739" w:type="dxa"/>
          </w:tcPr>
          <w:p w14:paraId="35524EEA" w14:textId="0D380EF0" w:rsidR="0015390F" w:rsidRDefault="0015390F" w:rsidP="00174C90">
            <w:pPr>
              <w:rPr>
                <w:rFonts w:eastAsiaTheme="minorEastAsia"/>
              </w:rPr>
            </w:pPr>
            <w:r>
              <w:rPr>
                <w:rFonts w:eastAsiaTheme="minorEastAsia"/>
              </w:rPr>
              <w:t>Option 1</w:t>
            </w:r>
          </w:p>
        </w:tc>
        <w:tc>
          <w:tcPr>
            <w:tcW w:w="6480" w:type="dxa"/>
          </w:tcPr>
          <w:p w14:paraId="31AA48A4" w14:textId="02AD2831" w:rsidR="0015390F" w:rsidRDefault="0015390F" w:rsidP="00174C90">
            <w:pPr>
              <w:rPr>
                <w:rFonts w:eastAsiaTheme="minorEastAsia"/>
              </w:rPr>
            </w:pPr>
            <w:r>
              <w:rPr>
                <w:rFonts w:eastAsiaTheme="minorEastAsia"/>
              </w:rPr>
              <w:t xml:space="preserve">It can be handled by NW implementation, </w:t>
            </w:r>
            <w:proofErr w:type="gramStart"/>
            <w:r>
              <w:rPr>
                <w:rFonts w:eastAsiaTheme="minorEastAsia"/>
              </w:rPr>
              <w:t>e.g.</w:t>
            </w:r>
            <w:proofErr w:type="gramEnd"/>
            <w:r>
              <w:rPr>
                <w:rFonts w:eastAsiaTheme="minorEastAsia"/>
              </w:rPr>
              <w:t xml:space="preserve"> not configuring </w:t>
            </w:r>
            <w:proofErr w:type="spellStart"/>
            <w:r w:rsidRPr="0015390F">
              <w:rPr>
                <w:rFonts w:eastAsiaTheme="minorEastAsia"/>
              </w:rPr>
              <w:t>uplinkHARQ</w:t>
            </w:r>
            <w:proofErr w:type="spellEnd"/>
            <w:r w:rsidRPr="0015390F">
              <w:rPr>
                <w:rFonts w:eastAsiaTheme="minorEastAsia"/>
              </w:rPr>
              <w:t>-</w:t>
            </w:r>
            <w:proofErr w:type="spellStart"/>
            <w:r w:rsidRPr="0015390F">
              <w:rPr>
                <w:rFonts w:eastAsiaTheme="minorEastAsia"/>
              </w:rPr>
              <w:t>DRX</w:t>
            </w:r>
            <w:proofErr w:type="spellEnd"/>
            <w:r w:rsidRPr="0015390F">
              <w:rPr>
                <w:rFonts w:eastAsiaTheme="minorEastAsia"/>
              </w:rPr>
              <w:t>-LCP-Mode</w:t>
            </w:r>
            <w:r>
              <w:rPr>
                <w:rFonts w:eastAsiaTheme="minorEastAsia"/>
              </w:rPr>
              <w:t xml:space="preserve"> for this process.</w:t>
            </w:r>
          </w:p>
        </w:tc>
      </w:tr>
    </w:tbl>
    <w:p w14:paraId="36839F65" w14:textId="77777777" w:rsidR="00283F2B" w:rsidRDefault="00283F2B">
      <w:pPr>
        <w:pStyle w:val="Doc-text2"/>
        <w:ind w:left="0" w:firstLine="0"/>
        <w:rPr>
          <w:sz w:val="18"/>
          <w:szCs w:val="22"/>
        </w:rPr>
      </w:pPr>
    </w:p>
    <w:p w14:paraId="7286B749" w14:textId="77777777" w:rsidR="00283F2B" w:rsidRDefault="006D0C0A">
      <w:pPr>
        <w:pStyle w:val="Heading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drx-HARQ-RTT-TimerDL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drx-HARQ-RTT-TimerUL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w:t>
            </w:r>
            <w:proofErr w:type="spellStart"/>
            <w:r>
              <w:rPr>
                <w:rFonts w:eastAsiaTheme="minorEastAsia"/>
                <w:b w:val="0"/>
              </w:rPr>
              <w:t>HARQ</w:t>
            </w:r>
            <w:proofErr w:type="spellEnd"/>
            <w:r>
              <w:rPr>
                <w:rFonts w:eastAsiaTheme="minorEastAsia"/>
                <w:b w:val="0"/>
              </w:rPr>
              <w:t xml:space="preserve"> process when </w:t>
            </w:r>
            <w:proofErr w:type="spellStart"/>
            <w:r>
              <w:rPr>
                <w:rFonts w:eastAsiaTheme="minorEastAsia"/>
                <w:b w:val="0"/>
              </w:rPr>
              <w:t>drx-HARQ-RTT-TimerUL</w:t>
            </w:r>
            <w:proofErr w:type="spellEnd"/>
            <w:r>
              <w:rPr>
                <w:rFonts w:eastAsiaTheme="minorEastAsia"/>
                <w:b w:val="0"/>
              </w:rPr>
              <w:t xml:space="preserve"> for the corresponding HARQ process is running, UE should stop the </w:t>
            </w:r>
            <w:proofErr w:type="spellStart"/>
            <w:r>
              <w:rPr>
                <w:rFonts w:eastAsiaTheme="minorEastAsia"/>
                <w:b w:val="0"/>
              </w:rPr>
              <w:t>drx-HARQ-RTT-TimerUL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w:t>
            </w:r>
            <w:proofErr w:type="spellStart"/>
            <w:r>
              <w:rPr>
                <w:rFonts w:eastAsiaTheme="minorEastAsia"/>
                <w:b w:val="0"/>
              </w:rPr>
              <w:t>HARQ</w:t>
            </w:r>
            <w:proofErr w:type="spellEnd"/>
            <w:r>
              <w:rPr>
                <w:rFonts w:eastAsiaTheme="minorEastAsia"/>
                <w:b w:val="0"/>
              </w:rPr>
              <w:t xml:space="preserve"> process when </w:t>
            </w:r>
            <w:proofErr w:type="spellStart"/>
            <w:r>
              <w:rPr>
                <w:rFonts w:eastAsiaTheme="minorEastAsia"/>
                <w:b w:val="0"/>
              </w:rPr>
              <w:t>drx-HARQ-RTT-TimerDL</w:t>
            </w:r>
            <w:proofErr w:type="spellEnd"/>
            <w:r>
              <w:rPr>
                <w:rFonts w:eastAsiaTheme="minorEastAsia"/>
                <w:b w:val="0"/>
              </w:rPr>
              <w:t xml:space="preserve"> for the corresponding HARQ process is running, UE should stop the </w:t>
            </w:r>
            <w:proofErr w:type="spellStart"/>
            <w:r>
              <w:rPr>
                <w:rFonts w:eastAsiaTheme="minorEastAsia"/>
                <w:b w:val="0"/>
              </w:rPr>
              <w:t>drx-HARQ-RTT-TimerDL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w:t>
            </w:r>
            <w:proofErr w:type="spellStart"/>
            <w:r>
              <w:rPr>
                <w:rFonts w:eastAsiaTheme="minorEastAsia"/>
              </w:rPr>
              <w:t>RTT</w:t>
            </w:r>
            <w:proofErr w:type="spellEnd"/>
            <w:r>
              <w:rPr>
                <w:rFonts w:eastAsiaTheme="minorEastAsia"/>
              </w:rPr>
              <w:t xml:space="preserve">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w:t>
            </w:r>
            <w:r>
              <w:rPr>
                <w:rFonts w:eastAsiaTheme="minorEastAsia"/>
                <w:b/>
                <w:bCs/>
              </w:rPr>
              <w:lastRenderedPageBreak/>
              <w:t xml:space="preserve">value is </w:t>
            </w:r>
            <w:proofErr w:type="spellStart"/>
            <w:r>
              <w:rPr>
                <w:rFonts w:eastAsiaTheme="minorEastAsia"/>
                <w:b/>
                <w:bCs/>
              </w:rPr>
              <w:t>sr-ProhibitTimerExt</w:t>
            </w:r>
            <w:proofErr w:type="spellEnd"/>
            <w:r>
              <w:rPr>
                <w:rFonts w:eastAsiaTheme="minorEastAsia"/>
                <w:b/>
                <w:bCs/>
              </w:rPr>
              <w:t xml:space="preserve"> * (UE-gNB </w:t>
            </w:r>
            <w:proofErr w:type="spellStart"/>
            <w:r>
              <w:rPr>
                <w:rFonts w:eastAsiaTheme="minorEastAsia"/>
                <w:b/>
                <w:bCs/>
              </w:rPr>
              <w:t>RTT</w:t>
            </w:r>
            <w:proofErr w:type="spellEnd"/>
            <w:r>
              <w:rPr>
                <w:rFonts w:eastAsiaTheme="minorEastAsia"/>
                <w:b/>
                <w:bCs/>
              </w:rPr>
              <w: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rFonts w:eastAsiaTheme="minorEastAsia"/>
                <w:b/>
                <w:bCs/>
              </w:rPr>
              <w:t>HARQ-DRX</w:t>
            </w:r>
            <w:proofErr w:type="spellEnd"/>
            <w:r>
              <w:rPr>
                <w:rFonts w:eastAsiaTheme="minorEastAsia"/>
                <w:b/>
                <w:bCs/>
              </w:rPr>
              <w:t xml:space="preserve"> </w:t>
            </w:r>
            <w:proofErr w:type="spellStart"/>
            <w:r>
              <w:rPr>
                <w:rFonts w:eastAsiaTheme="minorEastAsia"/>
                <w:b/>
                <w:bCs/>
              </w:rPr>
              <w:t>modeA</w:t>
            </w:r>
            <w:proofErr w:type="spellEnd"/>
            <w:r>
              <w:rPr>
                <w:rFonts w:eastAsiaTheme="minorEastAsia"/>
                <w:b/>
                <w:bCs/>
              </w:rPr>
              <w:t xml:space="preserve"> and a bit set to zero identifies a HARQ process with </w:t>
            </w:r>
            <w:proofErr w:type="spellStart"/>
            <w:r>
              <w:rPr>
                <w:rFonts w:eastAsiaTheme="minorEastAsia"/>
                <w:b/>
                <w:bCs/>
              </w:rPr>
              <w:t>HARQ-DRX</w:t>
            </w:r>
            <w:proofErr w:type="spellEnd"/>
            <w:r>
              <w:rPr>
                <w:rFonts w:eastAsiaTheme="minorEastAsia"/>
                <w:b/>
                <w:bCs/>
              </w:rPr>
              <w:t xml:space="preserve">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w:t>
            </w:r>
            <w:proofErr w:type="spellStart"/>
            <w:r>
              <w:rPr>
                <w:rFonts w:eastAsiaTheme="minorEastAsia"/>
                <w:b/>
                <w:bCs/>
              </w:rPr>
              <w:t>DRX</w:t>
            </w:r>
            <w:proofErr w:type="spellEnd"/>
            <w:r>
              <w:rPr>
                <w:rFonts w:eastAsiaTheme="minorEastAsia"/>
                <w:b/>
                <w:bCs/>
              </w:rPr>
              <w:t>-LCP-Mode in the beginning of 5.7 of running MAC CR to “</w:t>
            </w:r>
            <w:proofErr w:type="spellStart"/>
            <w:r>
              <w:rPr>
                <w:rFonts w:eastAsiaTheme="minorEastAsia"/>
                <w:b/>
                <w:bCs/>
              </w:rPr>
              <w:t>uplinkHARQ</w:t>
            </w:r>
            <w:proofErr w:type="spellEnd"/>
            <w:r>
              <w:rPr>
                <w:rFonts w:eastAsiaTheme="minorEastAsia"/>
                <w:b/>
                <w:bCs/>
              </w:rPr>
              <w:t>-</w:t>
            </w:r>
            <w:proofErr w:type="spellStart"/>
            <w:r>
              <w:rPr>
                <w:rFonts w:eastAsiaTheme="minorEastAsia"/>
                <w:b/>
                <w:bCs/>
              </w:rPr>
              <w:t>DRX</w:t>
            </w:r>
            <w:proofErr w:type="spellEnd"/>
            <w:r>
              <w:rPr>
                <w:rFonts w:eastAsiaTheme="minorEastAsia"/>
                <w:b/>
                <w:bCs/>
              </w:rPr>
              <w:t xml:space="preserve">-Mode (optional per </w:t>
            </w:r>
            <w:proofErr w:type="spellStart"/>
            <w:r>
              <w:rPr>
                <w:rFonts w:eastAsiaTheme="minorEastAsia"/>
                <w:b/>
                <w:bCs/>
              </w:rPr>
              <w:t>HARQ</w:t>
            </w:r>
            <w:proofErr w:type="spellEnd"/>
            <w:r>
              <w:rPr>
                <w:rFonts w:eastAsiaTheme="minorEastAsia"/>
                <w:b/>
                <w:bCs/>
              </w:rPr>
              <w:t xml:space="preserve">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w:t>
            </w:r>
            <w:proofErr w:type="spellStart"/>
            <w:r>
              <w:rPr>
                <w:rFonts w:eastAsiaTheme="minorEastAsia"/>
                <w:b/>
                <w:bCs/>
              </w:rPr>
              <w:t>RRC</w:t>
            </w:r>
            <w:proofErr w:type="spellEnd"/>
            <w:r>
              <w:rPr>
                <w:rFonts w:eastAsiaTheme="minorEastAsia"/>
                <w:b/>
                <w:bCs/>
              </w:rPr>
              <w:t xml:space="preserve"> fields </w:t>
            </w:r>
            <w:proofErr w:type="spellStart"/>
            <w:r>
              <w:rPr>
                <w:rFonts w:eastAsiaTheme="minorEastAsia"/>
                <w:b/>
                <w:bCs/>
              </w:rPr>
              <w:t>drx-HARQ-RTT-TimerDL</w:t>
            </w:r>
            <w:proofErr w:type="spellEnd"/>
            <w:r>
              <w:rPr>
                <w:rFonts w:eastAsiaTheme="minorEastAsia"/>
                <w:b/>
                <w:bCs/>
              </w:rPr>
              <w:t xml:space="preserve"> and </w:t>
            </w:r>
            <w:proofErr w:type="spellStart"/>
            <w:r>
              <w:rPr>
                <w:rFonts w:eastAsiaTheme="minorEastAsia"/>
                <w:b/>
                <w:bCs/>
              </w:rPr>
              <w:t>drx-HARQ-RTT-TimerUL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w:t>
            </w:r>
            <w:proofErr w:type="spellStart"/>
            <w:r>
              <w:rPr>
                <w:rFonts w:eastAsiaTheme="minorEastAsia"/>
                <w:b/>
                <w:bCs/>
              </w:rPr>
              <w:t>DRX</w:t>
            </w:r>
            <w:proofErr w:type="spellEnd"/>
            <w:r>
              <w:rPr>
                <w:rFonts w:eastAsiaTheme="minorEastAsia"/>
                <w:b/>
                <w:bCs/>
              </w:rPr>
              <w:t xml:space="preserve">-LCP to </w:t>
            </w:r>
            <w:proofErr w:type="spellStart"/>
            <w:r>
              <w:rPr>
                <w:rFonts w:eastAsiaTheme="minorEastAsia"/>
                <w:b/>
                <w:bCs/>
              </w:rPr>
              <w:t>allowedHARQ</w:t>
            </w:r>
            <w:proofErr w:type="spellEnd"/>
            <w:r>
              <w:rPr>
                <w:rFonts w:eastAsiaTheme="minorEastAsia"/>
                <w:b/>
                <w:bCs/>
              </w:rPr>
              <w:t>-</w:t>
            </w:r>
            <w:proofErr w:type="spellStart"/>
            <w:r>
              <w:rPr>
                <w:rFonts w:eastAsiaTheme="minorEastAsia"/>
                <w:b/>
                <w:bCs/>
              </w:rPr>
              <w:t>DRX</w:t>
            </w:r>
            <w:proofErr w:type="spellEnd"/>
            <w:r>
              <w:rPr>
                <w:rFonts w:eastAsiaTheme="minorEastAsia"/>
                <w:b/>
                <w:bCs/>
              </w:rPr>
              <w:t>-Mode.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w:t>
            </w:r>
            <w:proofErr w:type="spellStart"/>
            <w:r>
              <w:rPr>
                <w:rFonts w:eastAsiaTheme="minorEastAsia"/>
                <w:b/>
                <w:bCs/>
              </w:rPr>
              <w:t>DRX</w:t>
            </w:r>
            <w:proofErr w:type="spellEnd"/>
            <w:r>
              <w:rPr>
                <w:rFonts w:eastAsiaTheme="minorEastAsia"/>
                <w:b/>
                <w:bCs/>
              </w:rPr>
              <w:t xml:space="preserve">-Mode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w:t>
            </w:r>
            <w:proofErr w:type="spellStart"/>
            <w:r>
              <w:rPr>
                <w:rFonts w:eastAsiaTheme="minorEastAsia"/>
                <w:b/>
                <w:bCs/>
              </w:rPr>
              <w:t>DRX</w:t>
            </w:r>
            <w:proofErr w:type="spellEnd"/>
            <w:r>
              <w:rPr>
                <w:rFonts w:eastAsiaTheme="minorEastAsia"/>
                <w:b/>
                <w:bCs/>
              </w:rPr>
              <w:t xml:space="preserve">-Mode or to a grant associated with a HARQ process ID configured with </w:t>
            </w:r>
            <w:proofErr w:type="spellStart"/>
            <w:r>
              <w:rPr>
                <w:rFonts w:eastAsiaTheme="minorEastAsia"/>
                <w:b/>
                <w:bCs/>
              </w:rPr>
              <w:t>uplinkHARQ</w:t>
            </w:r>
            <w:proofErr w:type="spellEnd"/>
            <w:r>
              <w:rPr>
                <w:rFonts w:eastAsiaTheme="minorEastAsia"/>
                <w:b/>
                <w:bCs/>
              </w:rPr>
              <w:t>-</w:t>
            </w:r>
            <w:proofErr w:type="spellStart"/>
            <w:r>
              <w:rPr>
                <w:rFonts w:eastAsiaTheme="minorEastAsia"/>
                <w:b/>
                <w:bCs/>
              </w:rPr>
              <w:t>DRX</w:t>
            </w:r>
            <w:proofErr w:type="spellEnd"/>
            <w:r>
              <w:rPr>
                <w:rFonts w:eastAsiaTheme="minorEastAsia"/>
                <w:b/>
                <w:bCs/>
              </w:rPr>
              <w:t>-Mode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w:t>
            </w:r>
            <w:proofErr w:type="spellStart"/>
            <w:r>
              <w:rPr>
                <w:rFonts w:eastAsiaTheme="minorEastAsia"/>
                <w:b/>
                <w:i/>
              </w:rPr>
              <w:t>DRX</w:t>
            </w:r>
            <w:proofErr w:type="spellEnd"/>
            <w:r>
              <w:rPr>
                <w:rFonts w:eastAsiaTheme="minorEastAsia"/>
                <w:b/>
                <w:i/>
              </w:rPr>
              <w:t>-LCP</w:t>
            </w:r>
            <w:r>
              <w:rPr>
                <w:rFonts w:eastAsiaTheme="minorEastAsia"/>
                <w:b/>
              </w:rPr>
              <w:t xml:space="preserve"> and </w:t>
            </w:r>
            <w:proofErr w:type="spellStart"/>
            <w:r>
              <w:rPr>
                <w:rFonts w:eastAsiaTheme="minorEastAsia"/>
                <w:b/>
                <w:i/>
              </w:rPr>
              <w:t>uplinkHARQ</w:t>
            </w:r>
            <w:proofErr w:type="spellEnd"/>
            <w:r>
              <w:rPr>
                <w:rFonts w:eastAsiaTheme="minorEastAsia"/>
                <w:b/>
                <w:i/>
              </w:rPr>
              <w:t>-</w:t>
            </w:r>
            <w:proofErr w:type="spellStart"/>
            <w:r>
              <w:rPr>
                <w:rFonts w:eastAsiaTheme="minorEastAsia"/>
                <w:b/>
                <w:i/>
              </w:rPr>
              <w:t>DRX</w:t>
            </w:r>
            <w:proofErr w:type="spellEnd"/>
            <w:r>
              <w:rPr>
                <w:rFonts w:eastAsiaTheme="minorEastAsia"/>
                <w:b/>
                <w:i/>
              </w:rPr>
              <w:t>-LCP-Mode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xml:space="preserve">” for the </w:t>
            </w:r>
            <w:proofErr w:type="spellStart"/>
            <w:r>
              <w:rPr>
                <w:rFonts w:eastAsiaTheme="minorEastAsia"/>
              </w:rPr>
              <w:t>LCH</w:t>
            </w:r>
            <w:proofErr w:type="spellEnd"/>
            <w:r>
              <w:rPr>
                <w:rFonts w:eastAsiaTheme="minorEastAsia"/>
              </w:rPr>
              <w:t xml:space="preserve">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DengXian"/>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DengXian"/>
              </w:rPr>
            </w:pPr>
          </w:p>
        </w:tc>
        <w:tc>
          <w:tcPr>
            <w:tcW w:w="8219" w:type="dxa"/>
          </w:tcPr>
          <w:p w14:paraId="5C878403" w14:textId="77777777" w:rsidR="00283F2B" w:rsidRDefault="00283F2B">
            <w:pPr>
              <w:rPr>
                <w:rFonts w:eastAsia="DengXian"/>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br w:type="page"/>
      </w:r>
    </w:p>
    <w:p w14:paraId="17549A9D" w14:textId="77777777" w:rsidR="00283F2B" w:rsidRDefault="006D0C0A">
      <w:pPr>
        <w:pStyle w:val="Heading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Heading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Heading1"/>
      </w:pPr>
      <w:r>
        <w:t>References</w:t>
      </w:r>
    </w:p>
    <w:p w14:paraId="593CCF75" w14:textId="77777777" w:rsidR="00283F2B" w:rsidRDefault="006670ED">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6670ED">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6670ED">
      <w:pPr>
        <w:pStyle w:val="Reference"/>
      </w:pPr>
      <w:hyperlink r:id="rId86" w:history="1">
        <w:r w:rsidR="006D0C0A">
          <w:rPr>
            <w:rStyle w:val="Hyperlink"/>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6670ED">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6670ED">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6670ED">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6670ED">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6670ED">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6670ED">
      <w:pPr>
        <w:pStyle w:val="Reference"/>
      </w:pPr>
      <w:hyperlink r:id="rId92" w:history="1">
        <w:r w:rsidR="006D0C0A">
          <w:rPr>
            <w:rStyle w:val="Hyperlink"/>
          </w:rPr>
          <w:t>R2-2200787</w:t>
        </w:r>
      </w:hyperlink>
      <w:r w:rsidR="006D0C0A">
        <w:tab/>
        <w:t>Remaining  issues on HARQ related timer handling for NR NTN – vivo</w:t>
      </w:r>
    </w:p>
    <w:p w14:paraId="5D69F6B1" w14:textId="77777777" w:rsidR="00283F2B" w:rsidRDefault="006670ED">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6670ED">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6670ED">
      <w:pPr>
        <w:pStyle w:val="Reference"/>
      </w:pPr>
      <w:hyperlink r:id="rId95" w:history="1">
        <w:r w:rsidR="006D0C0A">
          <w:rPr>
            <w:rStyle w:val="Hyperlink"/>
          </w:rPr>
          <w:t>R2-2200911</w:t>
        </w:r>
      </w:hyperlink>
      <w:r w:rsidR="006D0C0A">
        <w:tab/>
        <w:t>CG enhancements in NTN – Sony</w:t>
      </w:r>
    </w:p>
    <w:p w14:paraId="32CD0BAE" w14:textId="77777777" w:rsidR="00283F2B" w:rsidRDefault="006670ED">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6670ED">
      <w:pPr>
        <w:pStyle w:val="Reference"/>
      </w:pPr>
      <w:hyperlink r:id="rId97" w:history="1">
        <w:r w:rsidR="006D0C0A">
          <w:rPr>
            <w:rStyle w:val="Hyperlink"/>
          </w:rPr>
          <w:t>R2-2201163</w:t>
        </w:r>
      </w:hyperlink>
      <w:r w:rsidR="006D0C0A">
        <w:tab/>
        <w:t xml:space="preserve">Remaining MAC open issues in NTN – </w:t>
      </w:r>
      <w:proofErr w:type="spellStart"/>
      <w:r w:rsidR="006D0C0A">
        <w:t>InterDigital</w:t>
      </w:r>
      <w:proofErr w:type="spellEnd"/>
    </w:p>
    <w:p w14:paraId="3541A5A4" w14:textId="77777777" w:rsidR="00283F2B" w:rsidRDefault="006670ED">
      <w:pPr>
        <w:pStyle w:val="Reference"/>
      </w:pPr>
      <w:hyperlink r:id="rId98" w:history="1">
        <w:r w:rsidR="006D0C0A">
          <w:rPr>
            <w:rStyle w:val="Hyperlink"/>
          </w:rPr>
          <w:t>R2-2201325</w:t>
        </w:r>
      </w:hyperlink>
      <w:r w:rsidR="006D0C0A">
        <w:tab/>
        <w:t xml:space="preserve">Consideration on remaining issues of other MAC aspects – </w:t>
      </w:r>
      <w:proofErr w:type="spellStart"/>
      <w:r w:rsidR="006D0C0A">
        <w:t>ZTE</w:t>
      </w:r>
      <w:proofErr w:type="spellEnd"/>
      <w:r w:rsidR="006D0C0A">
        <w:t xml:space="preserve"> Corporation, </w:t>
      </w:r>
      <w:proofErr w:type="spellStart"/>
      <w:r w:rsidR="006D0C0A">
        <w:t>Sanechips</w:t>
      </w:r>
      <w:proofErr w:type="spellEnd"/>
    </w:p>
    <w:p w14:paraId="327C5BB9" w14:textId="77777777" w:rsidR="00283F2B" w:rsidRDefault="006670ED">
      <w:pPr>
        <w:pStyle w:val="Reference"/>
      </w:pPr>
      <w:hyperlink r:id="rId99" w:history="1">
        <w:r w:rsidR="006D0C0A">
          <w:rPr>
            <w:rStyle w:val="Hyperlink"/>
          </w:rPr>
          <w:t>R2-2201364</w:t>
        </w:r>
      </w:hyperlink>
      <w:r w:rsidR="006D0C0A">
        <w:tab/>
        <w:t>Discussion on other MAC aspects  – LG Electronics Inc.</w:t>
      </w:r>
    </w:p>
    <w:p w14:paraId="67D78532" w14:textId="77777777" w:rsidR="00283F2B" w:rsidRDefault="006670ED">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6670ED">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C111" w14:textId="77777777" w:rsidR="00F13BF6" w:rsidRDefault="00F13BF6">
      <w:pPr>
        <w:spacing w:after="0"/>
      </w:pPr>
      <w:r>
        <w:separator/>
      </w:r>
    </w:p>
  </w:endnote>
  <w:endnote w:type="continuationSeparator" w:id="0">
    <w:p w14:paraId="090733F6" w14:textId="77777777" w:rsidR="00F13BF6" w:rsidRDefault="00F13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B568" w14:textId="756DCEA7" w:rsidR="006670ED" w:rsidRDefault="006670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D24F1" w14:textId="77777777" w:rsidR="00F13BF6" w:rsidRDefault="00F13BF6">
      <w:pPr>
        <w:spacing w:after="0"/>
      </w:pPr>
      <w:r>
        <w:separator/>
      </w:r>
    </w:p>
  </w:footnote>
  <w:footnote w:type="continuationSeparator" w:id="0">
    <w:p w14:paraId="168DC3A3" w14:textId="77777777" w:rsidR="00F13BF6" w:rsidRDefault="00F13B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3EAF"/>
    <w:rsid w:val="0012467F"/>
    <w:rsid w:val="00124B8D"/>
    <w:rsid w:val="00125394"/>
    <w:rsid w:val="0012539D"/>
    <w:rsid w:val="001257A3"/>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90F"/>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4C90"/>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319"/>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19B1"/>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697"/>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6FA3"/>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AD1"/>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0E87"/>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0ED"/>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0BB"/>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7D0"/>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36A"/>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3FE8"/>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790"/>
    <w:rsid w:val="00AC6C0C"/>
    <w:rsid w:val="00AC76A8"/>
    <w:rsid w:val="00AC7EDE"/>
    <w:rsid w:val="00AD05A3"/>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6B8"/>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1D3"/>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7EF"/>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1E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67C"/>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EA7"/>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5C80"/>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6FF1"/>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625"/>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861"/>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3BF6"/>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8D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C751B"/>
  <w15:docId w15:val="{C572D38B-C51A-4064-89A3-1E7D4D0E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16" Type="http://schemas.openxmlformats.org/officeDocument/2006/relationships/hyperlink" Target="https://www.3gpp.org/ftp/tsg_ran/WG2_RL2/TSGR2_116bis-e/Docs/R2-2200348.zip" TargetMode="External"/><Relationship Id="rId11" Type="http://schemas.openxmlformats.org/officeDocument/2006/relationships/endnotes" Target="endnotes.xm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102"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0689.zip" TargetMode="External"/><Relationship Id="rId24" Type="http://schemas.openxmlformats.org/officeDocument/2006/relationships/hyperlink" Target="https://www.3gpp.org/ftp/tsg_ran/WG2_RL2/TSGR2_116bis-e/Docs/R2-2200271.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66" Type="http://schemas.openxmlformats.org/officeDocument/2006/relationships/hyperlink" Target="https://www.3gpp.org/ftp/tsg_ran/WG2_RL2/TSGR2_116bis-e/Docs/R2-2201163.zip" TargetMode="External"/><Relationship Id="rId87" Type="http://schemas.openxmlformats.org/officeDocument/2006/relationships/hyperlink" Target="https://www.3gpp.org/ftp/tsg_ran/WG2_RL2/TSGR2_116bis-e/Docs/R2-2200444.zip" TargetMode="Externa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56" Type="http://schemas.openxmlformats.org/officeDocument/2006/relationships/hyperlink" Target="https://www.3gpp.org/ftp/tsg_ran/WG2_RL2/TSGR2_116bis-e/Docs/R2-2200788.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6A983-EF5A-42E1-BAA4-243F9E6FFA22}">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10003</Words>
  <Characters>57019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25</cp:revision>
  <dcterms:created xsi:type="dcterms:W3CDTF">2022-01-19T08:25:00Z</dcterms:created>
  <dcterms:modified xsi:type="dcterms:W3CDTF">2022-01-19T12:51:00Z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