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ac"/>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ac"/>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w:t>
      </w:r>
      <w:proofErr w:type="gramStart"/>
      <w:r>
        <w:t>e][</w:t>
      </w:r>
      <w:proofErr w:type="gramEnd"/>
      <w:r>
        <w:t>032][eNPN]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afa"/>
        <w:numPr>
          <w:ilvl w:val="0"/>
          <w:numId w:val="11"/>
        </w:numPr>
        <w:overflowPunct w:val="0"/>
        <w:autoSpaceDE w:val="0"/>
        <w:autoSpaceDN w:val="0"/>
        <w:spacing w:after="180"/>
        <w:jc w:val="left"/>
      </w:pPr>
      <w:r>
        <w:t>Onboarding over SNPN</w:t>
      </w:r>
    </w:p>
    <w:p w14:paraId="69235D3B" w14:textId="77777777" w:rsidR="000D21EE" w:rsidRDefault="006E6D5F">
      <w:pPr>
        <w:pStyle w:val="afa"/>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afa"/>
        <w:numPr>
          <w:ilvl w:val="0"/>
          <w:numId w:val="11"/>
        </w:numPr>
        <w:overflowPunct w:val="0"/>
        <w:autoSpaceDE w:val="0"/>
        <w:autoSpaceDN w:val="0"/>
        <w:spacing w:after="180"/>
        <w:jc w:val="left"/>
      </w:pPr>
      <w:r>
        <w:t>IMS emergency services over SNPN</w:t>
      </w:r>
    </w:p>
    <w:p w14:paraId="36EAB2BF" w14:textId="77777777" w:rsidR="000D21EE" w:rsidRDefault="006E6D5F">
      <w:pPr>
        <w:pStyle w:val="1"/>
        <w:rPr>
          <w:rFonts w:ascii="Times New Roman" w:hAnsi="Times New Roman"/>
        </w:rPr>
      </w:pPr>
      <w:r>
        <w:rPr>
          <w:rFonts w:ascii="Times New Roman" w:hAnsi="Times New Roman"/>
        </w:rPr>
        <w:t>Companies’ point of contact</w:t>
      </w:r>
    </w:p>
    <w:tbl>
      <w:tblPr>
        <w:tblStyle w:val="af4"/>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proofErr w:type="spellStart"/>
            <w:r>
              <w:rPr>
                <w:szCs w:val="20"/>
                <w:lang w:eastAsia="ja-JP"/>
              </w:rPr>
              <w:t>Seau</w:t>
            </w:r>
            <w:proofErr w:type="spellEnd"/>
            <w:r>
              <w:rPr>
                <w:szCs w:val="20"/>
                <w:lang w:eastAsia="ja-JP"/>
              </w:rPr>
              <w:t xml:space="preserve">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proofErr w:type="spellStart"/>
            <w:r>
              <w:rPr>
                <w:rFonts w:hint="eastAsia"/>
                <w:szCs w:val="20"/>
                <w:lang w:val="en-US" w:eastAsia="zh-CN"/>
              </w:rPr>
              <w:t>Wenting</w:t>
            </w:r>
            <w:proofErr w:type="spellEnd"/>
            <w:r>
              <w:rPr>
                <w:rFonts w:hint="eastAsia"/>
                <w:szCs w:val="20"/>
                <w:lang w:val="en-US" w:eastAsia="zh-CN"/>
              </w:rPr>
              <w:t xml:space="preserve">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proofErr w:type="spellStart"/>
            <w:r>
              <w:rPr>
                <w:szCs w:val="20"/>
                <w:lang w:eastAsia="ja-JP"/>
              </w:rPr>
              <w:t>Gyuri</w:t>
            </w:r>
            <w:proofErr w:type="spellEnd"/>
            <w:r>
              <w:rPr>
                <w:szCs w:val="20"/>
                <w:lang w:eastAsia="ja-JP"/>
              </w:rPr>
              <w:t xml:space="preserve"> </w:t>
            </w:r>
            <w:proofErr w:type="spellStart"/>
            <w:r>
              <w:rPr>
                <w:szCs w:val="20"/>
                <w:lang w:eastAsia="ja-JP"/>
              </w:rPr>
              <w:t>Wolfner</w:t>
            </w:r>
            <w:proofErr w:type="spellEnd"/>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proofErr w:type="spellStart"/>
            <w:ins w:id="1" w:author="Sriganesh Rajendran/Standards /SRI-Bangalore/Engineer/Samsung Electronics" w:date="2022-01-19T08:55:00Z">
              <w:r>
                <w:rPr>
                  <w:szCs w:val="20"/>
                  <w:lang w:eastAsia="ja-JP"/>
                </w:rPr>
                <w:t>Sriganesh</w:t>
              </w:r>
              <w:proofErr w:type="spellEnd"/>
              <w:r>
                <w:rPr>
                  <w:szCs w:val="20"/>
                  <w:lang w:eastAsia="ja-JP"/>
                </w:rPr>
                <w:t xml:space="preserve"> Rajendran</w:t>
              </w:r>
            </w:ins>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77777777" w:rsidR="0030117F" w:rsidRDefault="0030117F" w:rsidP="0030117F">
            <w:pPr>
              <w:spacing w:after="0"/>
              <w:rPr>
                <w:szCs w:val="20"/>
                <w:lang w:eastAsia="zh-CN"/>
              </w:rPr>
            </w:pPr>
          </w:p>
        </w:tc>
        <w:tc>
          <w:tcPr>
            <w:tcW w:w="2687" w:type="dxa"/>
          </w:tcPr>
          <w:p w14:paraId="79E9D85B" w14:textId="77777777" w:rsidR="0030117F" w:rsidRDefault="0030117F" w:rsidP="0030117F">
            <w:pPr>
              <w:spacing w:after="0"/>
              <w:rPr>
                <w:szCs w:val="20"/>
                <w:lang w:eastAsia="zh-CN"/>
              </w:rPr>
            </w:pPr>
          </w:p>
        </w:tc>
        <w:tc>
          <w:tcPr>
            <w:tcW w:w="4903" w:type="dxa"/>
          </w:tcPr>
          <w:p w14:paraId="1B1E277A" w14:textId="77777777" w:rsidR="0030117F" w:rsidRDefault="0030117F" w:rsidP="0030117F">
            <w:pPr>
              <w:spacing w:after="0"/>
              <w:rPr>
                <w:szCs w:val="20"/>
                <w:lang w:eastAsia="zh-CN"/>
              </w:rPr>
            </w:pPr>
          </w:p>
        </w:tc>
      </w:tr>
      <w:tr w:rsidR="0030117F" w14:paraId="21B58274" w14:textId="77777777">
        <w:tc>
          <w:tcPr>
            <w:tcW w:w="1760" w:type="dxa"/>
          </w:tcPr>
          <w:p w14:paraId="37709766" w14:textId="77777777" w:rsidR="0030117F" w:rsidRDefault="0030117F" w:rsidP="0030117F">
            <w:pPr>
              <w:spacing w:after="0"/>
              <w:rPr>
                <w:szCs w:val="20"/>
                <w:lang w:eastAsia="ja-JP"/>
              </w:rPr>
            </w:pPr>
          </w:p>
        </w:tc>
        <w:tc>
          <w:tcPr>
            <w:tcW w:w="2687" w:type="dxa"/>
          </w:tcPr>
          <w:p w14:paraId="756D00E3" w14:textId="77777777" w:rsidR="0030117F" w:rsidRDefault="0030117F" w:rsidP="0030117F">
            <w:pPr>
              <w:spacing w:after="0"/>
              <w:rPr>
                <w:szCs w:val="20"/>
                <w:lang w:eastAsia="ja-JP"/>
              </w:rPr>
            </w:pPr>
          </w:p>
        </w:tc>
        <w:tc>
          <w:tcPr>
            <w:tcW w:w="4903" w:type="dxa"/>
          </w:tcPr>
          <w:p w14:paraId="71C806B0" w14:textId="77777777" w:rsidR="0030117F" w:rsidRDefault="0030117F" w:rsidP="0030117F">
            <w:pPr>
              <w:spacing w:after="0"/>
              <w:rPr>
                <w:szCs w:val="20"/>
                <w:lang w:eastAsia="ja-JP"/>
              </w:rPr>
            </w:pPr>
          </w:p>
        </w:tc>
      </w:tr>
      <w:tr w:rsidR="0030117F" w14:paraId="6186E8BA" w14:textId="77777777">
        <w:tc>
          <w:tcPr>
            <w:tcW w:w="1760" w:type="dxa"/>
          </w:tcPr>
          <w:p w14:paraId="4B5A6100" w14:textId="77777777" w:rsidR="0030117F" w:rsidRDefault="0030117F" w:rsidP="0030117F">
            <w:pPr>
              <w:spacing w:after="0"/>
              <w:rPr>
                <w:szCs w:val="20"/>
                <w:lang w:eastAsia="ja-JP"/>
              </w:rPr>
            </w:pPr>
          </w:p>
        </w:tc>
        <w:tc>
          <w:tcPr>
            <w:tcW w:w="2687" w:type="dxa"/>
          </w:tcPr>
          <w:p w14:paraId="65481411" w14:textId="77777777" w:rsidR="0030117F" w:rsidRDefault="0030117F" w:rsidP="0030117F">
            <w:pPr>
              <w:spacing w:after="0"/>
              <w:rPr>
                <w:szCs w:val="20"/>
                <w:lang w:eastAsia="ja-JP"/>
              </w:rPr>
            </w:pPr>
          </w:p>
        </w:tc>
        <w:tc>
          <w:tcPr>
            <w:tcW w:w="4903" w:type="dxa"/>
          </w:tcPr>
          <w:p w14:paraId="1936AC91" w14:textId="77777777" w:rsidR="0030117F" w:rsidRDefault="0030117F" w:rsidP="0030117F">
            <w:pPr>
              <w:spacing w:after="0"/>
              <w:rPr>
                <w:szCs w:val="20"/>
                <w:lang w:eastAsia="ja-JP"/>
              </w:rPr>
            </w:pPr>
          </w:p>
        </w:tc>
      </w:tr>
      <w:tr w:rsidR="0030117F" w14:paraId="0A1F2D88" w14:textId="77777777">
        <w:tc>
          <w:tcPr>
            <w:tcW w:w="1760" w:type="dxa"/>
          </w:tcPr>
          <w:p w14:paraId="0F9B0E4D" w14:textId="77777777" w:rsidR="0030117F" w:rsidRDefault="0030117F" w:rsidP="0030117F">
            <w:pPr>
              <w:spacing w:after="0"/>
              <w:rPr>
                <w:rFonts w:eastAsia="Malgun Gothic"/>
                <w:szCs w:val="20"/>
                <w:lang w:eastAsia="ko-KR"/>
              </w:rPr>
            </w:pPr>
          </w:p>
        </w:tc>
        <w:tc>
          <w:tcPr>
            <w:tcW w:w="2687" w:type="dxa"/>
          </w:tcPr>
          <w:p w14:paraId="4A805492" w14:textId="77777777" w:rsidR="0030117F" w:rsidRDefault="0030117F" w:rsidP="0030117F">
            <w:pPr>
              <w:spacing w:after="0"/>
              <w:rPr>
                <w:rFonts w:eastAsia="Malgun Gothic"/>
                <w:szCs w:val="20"/>
                <w:lang w:eastAsia="ko-KR"/>
              </w:rPr>
            </w:pPr>
          </w:p>
        </w:tc>
        <w:tc>
          <w:tcPr>
            <w:tcW w:w="4903" w:type="dxa"/>
          </w:tcPr>
          <w:p w14:paraId="38395283" w14:textId="77777777" w:rsidR="0030117F" w:rsidRDefault="0030117F" w:rsidP="0030117F">
            <w:pPr>
              <w:spacing w:after="0"/>
              <w:rPr>
                <w:rFonts w:eastAsia="Malgun Gothic"/>
                <w:szCs w:val="20"/>
                <w:lang w:eastAsia="ko-KR"/>
              </w:rPr>
            </w:pPr>
          </w:p>
        </w:tc>
      </w:tr>
      <w:tr w:rsidR="0030117F" w14:paraId="6B1EE0CA" w14:textId="77777777">
        <w:tc>
          <w:tcPr>
            <w:tcW w:w="1760" w:type="dxa"/>
          </w:tcPr>
          <w:p w14:paraId="692267E3" w14:textId="77777777" w:rsidR="0030117F" w:rsidRDefault="0030117F" w:rsidP="0030117F">
            <w:pPr>
              <w:spacing w:after="0"/>
              <w:rPr>
                <w:szCs w:val="20"/>
                <w:lang w:eastAsia="ja-JP"/>
              </w:rPr>
            </w:pPr>
          </w:p>
        </w:tc>
        <w:tc>
          <w:tcPr>
            <w:tcW w:w="2687" w:type="dxa"/>
          </w:tcPr>
          <w:p w14:paraId="67F8531E" w14:textId="77777777" w:rsidR="0030117F" w:rsidRDefault="0030117F" w:rsidP="0030117F">
            <w:pPr>
              <w:spacing w:after="0"/>
              <w:rPr>
                <w:szCs w:val="20"/>
                <w:lang w:eastAsia="zh-CN"/>
              </w:rPr>
            </w:pPr>
          </w:p>
        </w:tc>
        <w:tc>
          <w:tcPr>
            <w:tcW w:w="4903" w:type="dxa"/>
          </w:tcPr>
          <w:p w14:paraId="3C999611" w14:textId="77777777" w:rsidR="0030117F" w:rsidRDefault="0030117F" w:rsidP="0030117F">
            <w:pPr>
              <w:spacing w:after="0"/>
              <w:rPr>
                <w:szCs w:val="20"/>
                <w:lang w:eastAsia="zh-CN"/>
              </w:rPr>
            </w:pP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af4"/>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081" w:type="dxa"/>
          </w:tcPr>
          <w:p w14:paraId="0EFB6087" w14:textId="77777777" w:rsidR="000D21EE" w:rsidRDefault="006E6D5F">
            <w:pPr>
              <w:pStyle w:val="a8"/>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a8"/>
              <w:rPr>
                <w:rFonts w:eastAsiaTheme="minorEastAsia"/>
                <w:lang w:eastAsia="zh-CN"/>
              </w:rPr>
            </w:pPr>
            <w:r>
              <w:rPr>
                <w:rFonts w:eastAsiaTheme="minorEastAsia"/>
                <w:b/>
                <w:lang w:eastAsia="zh-CN"/>
              </w:rPr>
              <w:lastRenderedPageBreak/>
              <w:t xml:space="preserve">Proposal 2: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lastRenderedPageBreak/>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w:t>
            </w:r>
            <w:proofErr w:type="gramStart"/>
            <w:r>
              <w:rPr>
                <w:rFonts w:ascii="Times New Roman" w:hAnsi="Times New Roman"/>
              </w:rPr>
              <w:t>holders</w:t>
            </w:r>
            <w:proofErr w:type="gramEnd"/>
            <w:r>
              <w:rPr>
                <w:rFonts w:ascii="Times New Roman" w:hAnsi="Times New Roman"/>
              </w:rPr>
              <w:t xml:space="preserve">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a8"/>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a8"/>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a8"/>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 xml:space="preserve">Proposal 1: No new UE capability bit is </w:t>
            </w:r>
            <w:proofErr w:type="gramStart"/>
            <w:r>
              <w:rPr>
                <w:b/>
                <w:lang w:val="en-US" w:eastAsia="ko-KR"/>
              </w:rPr>
              <w:t>introduce</w:t>
            </w:r>
            <w:proofErr w:type="gramEnd"/>
            <w:r>
              <w:rPr>
                <w:b/>
                <w:lang w:val="en-US" w:eastAsia="ko-KR"/>
              </w:rPr>
              <w:t xml:space="preserve"> to indicate UE’s support for external CH access via SNPN</w:t>
            </w:r>
          </w:p>
          <w:p w14:paraId="0A80019D" w14:textId="77777777" w:rsidR="000D21EE" w:rsidRDefault="006E6D5F">
            <w:pPr>
              <w:rPr>
                <w:b/>
                <w:lang w:val="en-US" w:eastAsia="ko-KR"/>
              </w:rPr>
            </w:pPr>
            <w:r>
              <w:rPr>
                <w:b/>
                <w:lang w:val="en-US" w:eastAsia="ko-KR"/>
              </w:rPr>
              <w:t xml:space="preserve">Proposal 2: No new UE capability bit is </w:t>
            </w:r>
            <w:proofErr w:type="gramStart"/>
            <w:r>
              <w:rPr>
                <w:b/>
                <w:lang w:val="en-US" w:eastAsia="ko-KR"/>
              </w:rPr>
              <w:t>introduce</w:t>
            </w:r>
            <w:proofErr w:type="gramEnd"/>
            <w:r>
              <w:rPr>
                <w:b/>
                <w:lang w:val="en-US" w:eastAsia="ko-KR"/>
              </w:rPr>
              <w:t xml:space="preserv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t xml:space="preserve">On whether UE AS capability signalling is needed for CH and onboarding, only [1] think there is a need while others [2-11] think that no capability signalling is needed as </w:t>
      </w:r>
      <w:proofErr w:type="spellStart"/>
      <w:r>
        <w:rPr>
          <w:rFonts w:ascii="Times New Roman" w:hAnsi="Times New Roman"/>
        </w:rPr>
        <w:t>gNB</w:t>
      </w:r>
      <w:proofErr w:type="spellEnd"/>
      <w:r>
        <w:rPr>
          <w:rFonts w:ascii="Times New Roman" w:hAnsi="Times New Roman"/>
        </w:rPr>
        <w:t xml:space="preserve">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lastRenderedPageBreak/>
        <w:t>1. Do companies agree to the above proposal 1?</w:t>
      </w:r>
    </w:p>
    <w:tbl>
      <w:tblPr>
        <w:tblStyle w:val="af4"/>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77777777" w:rsidR="00FE5281" w:rsidRDefault="00FE5281">
            <w:pPr>
              <w:pStyle w:val="CRCoverPage"/>
              <w:spacing w:afterLines="50"/>
              <w:jc w:val="both"/>
              <w:rPr>
                <w:rFonts w:ascii="Times New Roman" w:eastAsiaTheme="minorEastAsia" w:hAnsi="Times New Roman" w:hint="eastAsia"/>
                <w:lang w:eastAsia="zh-CN"/>
              </w:rPr>
            </w:pPr>
          </w:p>
        </w:tc>
        <w:tc>
          <w:tcPr>
            <w:tcW w:w="1134" w:type="dxa"/>
          </w:tcPr>
          <w:p w14:paraId="33DB5114" w14:textId="77777777" w:rsidR="00FE5281" w:rsidRDefault="00FE5281">
            <w:pPr>
              <w:pStyle w:val="CRCoverPage"/>
              <w:spacing w:afterLines="50"/>
              <w:jc w:val="both"/>
              <w:rPr>
                <w:rFonts w:ascii="Times New Roman" w:eastAsiaTheme="minorEastAsia" w:hAnsi="Times New Roman" w:hint="eastAsia"/>
                <w:lang w:eastAsia="zh-CN"/>
              </w:rPr>
            </w:pPr>
          </w:p>
        </w:tc>
        <w:tc>
          <w:tcPr>
            <w:tcW w:w="7230" w:type="dxa"/>
          </w:tcPr>
          <w:p w14:paraId="7FC24D5E" w14:textId="77777777" w:rsidR="00FE5281" w:rsidRDefault="00FE5281">
            <w:pPr>
              <w:pStyle w:val="CRCoverPage"/>
              <w:spacing w:afterLines="50"/>
              <w:jc w:val="both"/>
              <w:rPr>
                <w:rFonts w:ascii="Times New Roman" w:hAnsi="Times New Roman"/>
              </w:rPr>
            </w:pPr>
          </w:p>
        </w:tc>
      </w:tr>
    </w:tbl>
    <w:p w14:paraId="74EB4AFE" w14:textId="77777777" w:rsidR="000D21EE" w:rsidRDefault="000D21EE">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af4"/>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We share the view with Intel. We don</w:t>
            </w:r>
            <w:r>
              <w:rPr>
                <w:rFonts w:ascii="Times New Roman" w:eastAsia="宋体" w:hAnsi="Times New Roman"/>
                <w:lang w:val="en-US" w:eastAsia="zh-CN"/>
              </w:rPr>
              <w:t>’</w:t>
            </w:r>
            <w:r>
              <w:rPr>
                <w:rFonts w:ascii="Times New Roman" w:eastAsia="宋体"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宋体"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宋体"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FE5281" w14:paraId="3B1F0B3F" w14:textId="77777777">
        <w:tc>
          <w:tcPr>
            <w:tcW w:w="1359" w:type="dxa"/>
          </w:tcPr>
          <w:p w14:paraId="518CD9A2" w14:textId="529E2EBF" w:rsidR="00FE5281" w:rsidRDefault="00FE5281" w:rsidP="00FE5281">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238605A7" w14:textId="19743227" w:rsidR="00FE5281" w:rsidRDefault="00FE5281" w:rsidP="00FE5281">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7939D6D" w14:textId="1DF00271" w:rsidR="00FE5281" w:rsidRDefault="00FE5281" w:rsidP="00FE5281">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50B3C8F" w14:textId="19B4B0B3" w:rsidR="00FE5281" w:rsidRDefault="00FE5281" w:rsidP="00FE5281">
            <w:pPr>
              <w:pStyle w:val="CRCoverPage"/>
              <w:spacing w:afterLines="50"/>
              <w:jc w:val="both"/>
              <w:rPr>
                <w:rFonts w:ascii="Times New Roman" w:hAnsi="Times New Roman"/>
              </w:rPr>
            </w:pPr>
            <w:r>
              <w:rPr>
                <w:rFonts w:ascii="Times New Roman" w:eastAsia="宋体" w:hAnsi="Times New Roman" w:hint="eastAsia"/>
                <w:lang w:val="en-US" w:eastAsia="zh-CN"/>
              </w:rPr>
              <w:t>W</w:t>
            </w:r>
            <w:r>
              <w:rPr>
                <w:rFonts w:ascii="Times New Roman" w:eastAsia="宋体" w:hAnsi="Times New Roman"/>
                <w:lang w:val="en-US" w:eastAsia="zh-CN"/>
              </w:rPr>
              <w:t>e don’t have strong view, but think t</w:t>
            </w:r>
            <w:r w:rsidRPr="008B0159">
              <w:rPr>
                <w:rFonts w:ascii="Times New Roman" w:eastAsia="宋体" w:hAnsi="Times New Roman"/>
                <w:lang w:val="en-US" w:eastAsia="zh-CN"/>
              </w:rPr>
              <w:t xml:space="preserve">he UE AS layer should forward the </w:t>
            </w:r>
            <w:r>
              <w:rPr>
                <w:rFonts w:ascii="Times New Roman" w:eastAsia="宋体" w:hAnsi="Times New Roman"/>
                <w:lang w:val="en-US" w:eastAsia="zh-CN"/>
              </w:rPr>
              <w:t>CH</w:t>
            </w:r>
            <w:r w:rsidRPr="008B0159">
              <w:rPr>
                <w:rFonts w:ascii="Times New Roman" w:eastAsia="宋体" w:hAnsi="Times New Roman"/>
                <w:lang w:val="en-US" w:eastAsia="zh-CN"/>
              </w:rPr>
              <w:t xml:space="preserve"> </w:t>
            </w:r>
            <w:r>
              <w:rPr>
                <w:rFonts w:ascii="Times New Roman" w:eastAsia="宋体" w:hAnsi="Times New Roman"/>
                <w:lang w:val="en-US" w:eastAsia="zh-CN"/>
              </w:rPr>
              <w:t xml:space="preserve">and onboarding </w:t>
            </w:r>
            <w:r w:rsidRPr="008B0159">
              <w:rPr>
                <w:rFonts w:ascii="Times New Roman" w:eastAsia="宋体" w:hAnsi="Times New Roman"/>
                <w:lang w:val="en-US" w:eastAsia="zh-CN"/>
              </w:rPr>
              <w:t xml:space="preserve">related system information to NAS layer once received, during which UE may process the enhanced system information, for instance, restructure </w:t>
            </w:r>
            <w:r w:rsidRPr="008B0159">
              <w:rPr>
                <w:rFonts w:ascii="Times New Roman" w:eastAsia="宋体" w:hAnsi="Times New Roman"/>
                <w:lang w:val="en-US" w:eastAsia="zh-CN"/>
              </w:rPr>
              <w:lastRenderedPageBreak/>
              <w:t>the relationship between GIN(s) and the associated SNPN ID, we believe processing eNPN specific IE should be controlled by a UE capability bit</w:t>
            </w:r>
            <w:r>
              <w:rPr>
                <w:rFonts w:ascii="Times New Roman" w:eastAsia="宋体" w:hAnsi="Times New Roman"/>
                <w:lang w:val="en-US" w:eastAsia="zh-CN"/>
              </w:rPr>
              <w:t xml:space="preserve"> without UE capability signaling.</w:t>
            </w:r>
          </w:p>
        </w:tc>
      </w:tr>
    </w:tbl>
    <w:p w14:paraId="6F107450" w14:textId="77777777" w:rsidR="000D21EE" w:rsidRDefault="000D21EE">
      <w:pPr>
        <w:pStyle w:val="CRCoverPage"/>
        <w:spacing w:afterLines="50"/>
        <w:jc w:val="both"/>
        <w:rPr>
          <w:rFonts w:ascii="Times New Roman" w:hAnsi="Times New Roman"/>
        </w:rPr>
      </w:pPr>
    </w:p>
    <w:p w14:paraId="654B23A9" w14:textId="77777777" w:rsidR="000D21EE" w:rsidRDefault="006E6D5F">
      <w:pPr>
        <w:pStyle w:val="2"/>
      </w:pPr>
      <w:r>
        <w:t>Need of UE capability for CGI report</w:t>
      </w:r>
    </w:p>
    <w:p w14:paraId="0EA3FB51" w14:textId="77777777" w:rsidR="000D21EE" w:rsidRDefault="006E6D5F">
      <w:r>
        <w:t>The following are the relevant proposals on this.</w:t>
      </w:r>
    </w:p>
    <w:tbl>
      <w:tblPr>
        <w:tblStyle w:val="af4"/>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a8"/>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宋体"/>
          <w:lang w:eastAsia="zh-CN"/>
        </w:rPr>
      </w:pPr>
      <w:r>
        <w:t xml:space="preserve">[2] thinks that it is not needed for CH since </w:t>
      </w:r>
      <w:r>
        <w:rPr>
          <w:rFonts w:eastAsia="宋体"/>
          <w:lang w:eastAsia="zh-CN"/>
        </w:rPr>
        <w:t xml:space="preserve">the support of </w:t>
      </w:r>
      <w:r>
        <w:rPr>
          <w:rFonts w:eastAsia="宋体"/>
          <w:lang w:val="en-US" w:eastAsia="zh-CN"/>
        </w:rPr>
        <w:t>external credentials</w:t>
      </w:r>
      <w:r>
        <w:rPr>
          <w:rFonts w:eastAsia="宋体"/>
          <w:lang w:eastAsia="zh-CN"/>
        </w:rPr>
        <w:t xml:space="preserve"> is uniform across the whole SNPN and for onboarding, the onboarding related indicators do not affect the mobility management functions, referring to TS 23.501 [1] as follows:</w:t>
      </w:r>
    </w:p>
    <w:tbl>
      <w:tblPr>
        <w:tblStyle w:val="af4"/>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等线"/>
              </w:rPr>
            </w:pPr>
            <w:r>
              <w:rPr>
                <w:rFonts w:eastAsia="等线"/>
              </w:rPr>
              <w:t>When the SNPN supports Onboarding of UEs for SNPNs (i.e. the SNPN can be used as ON-SNPN), the NG-RAN node additionally broadcasts the following information:</w:t>
            </w:r>
          </w:p>
          <w:p w14:paraId="7C99B6F9" w14:textId="77777777" w:rsidR="000D21EE" w:rsidRDefault="006E6D5F">
            <w:pPr>
              <w:ind w:left="568" w:hanging="284"/>
              <w:rPr>
                <w:rFonts w:eastAsia="等线"/>
              </w:rPr>
            </w:pPr>
            <w:r>
              <w:rPr>
                <w:rFonts w:eastAsia="等线"/>
              </w:rPr>
              <w:t>-</w:t>
            </w:r>
            <w:r>
              <w:rPr>
                <w:rFonts w:eastAsia="等线"/>
              </w:rPr>
              <w:tab/>
              <w:t>An onboarding enabled indication that indicates whether onboarding is currently enabled for the SNPN. The onboarding enabled indication is broadcasted per cell e.g. to allow start of the onboarding procedure only in parts of the SNPN.</w:t>
            </w:r>
          </w:p>
          <w:p w14:paraId="300D5C9A" w14:textId="77777777" w:rsidR="000D21EE" w:rsidRDefault="006E6D5F">
            <w:pPr>
              <w:keepLines/>
              <w:ind w:left="1135" w:hanging="851"/>
              <w:rPr>
                <w:rFonts w:eastAsia="等线"/>
              </w:rPr>
            </w:pPr>
            <w:r>
              <w:rPr>
                <w:rFonts w:eastAsia="等线"/>
              </w:rPr>
              <w:t>NOTE:</w:t>
            </w:r>
            <w:r>
              <w:rPr>
                <w:rFonts w:eastAsia="等线"/>
              </w:rPr>
              <w:tab/>
            </w:r>
            <w:r>
              <w:rPr>
                <w:rFonts w:eastAsia="等线"/>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3. Do companies think that there is a need to specify UE AS capability signalling for CGI reporting for CH and onboarding?</w:t>
      </w:r>
    </w:p>
    <w:tbl>
      <w:tblPr>
        <w:tblStyle w:val="af4"/>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1"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bl>
    <w:p w14:paraId="64731800" w14:textId="77777777" w:rsidR="000D21EE" w:rsidRDefault="000D21EE"/>
    <w:p w14:paraId="2E6CB668" w14:textId="77777777" w:rsidR="000D21EE" w:rsidRDefault="006E6D5F">
      <w:pPr>
        <w:pStyle w:val="1"/>
      </w:pPr>
      <w:r>
        <w:t>UE capability for IMS emergency services over SNPN</w:t>
      </w:r>
    </w:p>
    <w:p w14:paraId="1B9E77AB" w14:textId="77777777" w:rsidR="000D21EE" w:rsidRDefault="000D21EE"/>
    <w:tbl>
      <w:tblPr>
        <w:tblStyle w:val="af4"/>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lastRenderedPageBreak/>
              <w:t>OPPO [1]</w:t>
            </w:r>
          </w:p>
        </w:tc>
        <w:tc>
          <w:tcPr>
            <w:tcW w:w="8862" w:type="dxa"/>
          </w:tcPr>
          <w:p w14:paraId="232D419E" w14:textId="77777777" w:rsidR="000D21EE" w:rsidRDefault="006E6D5F">
            <w:pPr>
              <w:pStyle w:val="a8"/>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limited service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a8"/>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r>
              <w:rPr>
                <w:rFonts w:hint="eastAsia"/>
                <w:b/>
                <w:bCs/>
                <w:i/>
                <w:iCs/>
              </w:rPr>
              <w:t xml:space="preserve">e.g.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af4"/>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But we think the legacy capability </w:t>
            </w:r>
            <w:r>
              <w:rPr>
                <w:rFonts w:ascii="Times New Roman" w:eastAsia="宋体" w:hAnsi="Times New Roman"/>
                <w:lang w:val="en-US" w:eastAsia="zh-CN"/>
              </w:rPr>
              <w:t>“</w:t>
            </w:r>
            <w:proofErr w:type="spellStart"/>
            <w:r>
              <w:rPr>
                <w:rFonts w:ascii="Times New Roman" w:eastAsia="宋体" w:hAnsi="Times New Roman" w:hint="eastAsia"/>
                <w:lang w:val="en-US" w:eastAsia="zh-CN"/>
              </w:rPr>
              <w:t>VoiceOverNR</w:t>
            </w:r>
            <w:proofErr w:type="spellEnd"/>
            <w:r>
              <w:rPr>
                <w:rFonts w:ascii="Times New Roman" w:eastAsia="宋体" w:hAnsi="Times New Roman"/>
                <w:lang w:val="en-US" w:eastAsia="zh-CN"/>
              </w:rPr>
              <w:t>”</w:t>
            </w:r>
            <w:r>
              <w:rPr>
                <w:rFonts w:ascii="Times New Roman" w:eastAsia="宋体"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bl>
    <w:p w14:paraId="48D395BF" w14:textId="77777777" w:rsidR="000D21EE" w:rsidRDefault="000D21E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w:t>
      </w:r>
      <w:proofErr w:type="spellStart"/>
      <w:r>
        <w:rPr>
          <w:rFonts w:ascii="Times New Roman" w:hAnsi="Times New Roman"/>
        </w:rPr>
        <w:t>AS</w:t>
      </w:r>
      <w:proofErr w:type="spellEnd"/>
      <w:r>
        <w:rPr>
          <w:rFonts w:ascii="Times New Roman" w:hAnsi="Times New Roman"/>
        </w:rPr>
        <w:t xml:space="preserve">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 xml:space="preserve">5. Do companies think that there is a need to specify IMS emergency call over SNPN AS capability without signalling in TS38.306? If there is a need to specify in TS38.306, can (a) the existing conditional mandatory without capability </w:t>
      </w:r>
      <w:r>
        <w:rPr>
          <w:rFonts w:ascii="Times New Roman" w:hAnsi="Times New Roman"/>
          <w:b/>
          <w:bCs/>
        </w:rPr>
        <w:lastRenderedPageBreak/>
        <w:t>signalling for IMS emergency call be reused or (b) a new “Conditional mandatory without capability signalling” be introduced?</w:t>
      </w:r>
    </w:p>
    <w:tbl>
      <w:tblPr>
        <w:tblStyle w:val="af4"/>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When the UE is operating in the SNPN mode (and registered in the SNPN network),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/IMS emergency call </w:t>
            </w:r>
            <w:r>
              <w:rPr>
                <w:rFonts w:ascii="Times New Roman" w:eastAsia="宋体" w:hAnsi="Times New Roman" w:hint="eastAsia"/>
                <w:lang w:val="en-US" w:eastAsia="zh-CN"/>
              </w:rPr>
              <w:t xml:space="preserve">would be used to indicate whether UE support IMS voice and IMS emergency call </w:t>
            </w:r>
            <w:proofErr w:type="gramStart"/>
            <w:r>
              <w:rPr>
                <w:rFonts w:ascii="Times New Roman" w:eastAsia="宋体" w:hAnsi="Times New Roman" w:hint="eastAsia"/>
                <w:lang w:val="en-US" w:eastAsia="zh-CN"/>
              </w:rPr>
              <w:t>for  the</w:t>
            </w:r>
            <w:proofErr w:type="gramEnd"/>
            <w:r>
              <w:rPr>
                <w:rFonts w:ascii="Times New Roman" w:eastAsia="宋体" w:hAnsi="Times New Roman" w:hint="eastAsia"/>
                <w:lang w:val="en-US" w:eastAsia="zh-CN"/>
              </w:rPr>
              <w:t xml:space="preserve"> SNPN network</w:t>
            </w:r>
          </w:p>
          <w:p w14:paraId="46928158" w14:textId="77777777" w:rsidR="000D21EE" w:rsidRDefault="006E6D5F">
            <w:pPr>
              <w:pStyle w:val="CRCoverPage"/>
              <w:numPr>
                <w:ilvl w:val="0"/>
                <w:numId w:val="13"/>
              </w:numPr>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When the UE is not operating in the SNPN mode,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/IMS emergency call </w:t>
            </w:r>
            <w:r>
              <w:rPr>
                <w:rFonts w:ascii="Times New Roman" w:eastAsia="宋体"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宋体" w:hAnsi="Times New Roman"/>
                <w:lang w:val="en-US" w:eastAsia="zh-CN"/>
              </w:rPr>
            </w:pPr>
            <w:proofErr w:type="gramStart"/>
            <w:r>
              <w:rPr>
                <w:rFonts w:ascii="Times New Roman" w:eastAsia="宋体" w:hAnsi="Times New Roman" w:hint="eastAsia"/>
                <w:lang w:val="en-US" w:eastAsia="zh-CN"/>
              </w:rPr>
              <w:t>If  go</w:t>
            </w:r>
            <w:proofErr w:type="gramEnd"/>
            <w:r>
              <w:rPr>
                <w:rFonts w:ascii="Times New Roman" w:eastAsia="宋体" w:hAnsi="Times New Roman" w:hint="eastAsia"/>
                <w:lang w:val="en-US" w:eastAsia="zh-CN"/>
              </w:rPr>
              <w:t xml:space="preserve"> to option (b), does it mean that we also need to introduce a new signaling to replace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 </w:t>
            </w:r>
            <w:r>
              <w:rPr>
                <w:rFonts w:ascii="Times New Roman" w:eastAsia="宋体"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hint="eastAsia"/>
                <w:lang w:eastAsia="zh-CN"/>
              </w:rPr>
            </w:pPr>
            <w:bookmarkStart w:id="19" w:name="_GoBack" w:colFirst="0" w:colLast="2"/>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bookmarkEnd w:id="19"/>
    </w:tbl>
    <w:p w14:paraId="43B8F23F" w14:textId="77777777" w:rsidR="000D21EE" w:rsidRDefault="000D21EE"/>
    <w:p w14:paraId="29322D16" w14:textId="77777777"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04F86270" w14:textId="77777777" w:rsidR="000D21EE" w:rsidRDefault="006E6D5F">
      <w:pPr>
        <w:pStyle w:val="1"/>
      </w:pPr>
      <w:r>
        <w:t>Conclusion</w:t>
      </w:r>
    </w:p>
    <w:p w14:paraId="47E51411" w14:textId="77777777" w:rsidR="000D21EE" w:rsidRDefault="006E6D5F">
      <w:r>
        <w:t>To be included later.</w:t>
      </w:r>
    </w:p>
    <w:p w14:paraId="3A3F9E8D" w14:textId="77777777" w:rsidR="000D21EE" w:rsidRDefault="006E6D5F">
      <w:pPr>
        <w:pStyle w:val="1"/>
      </w:pPr>
      <w:r>
        <w:t>References</w:t>
      </w:r>
    </w:p>
    <w:p w14:paraId="35B260EA" w14:textId="77777777" w:rsidR="000D21EE" w:rsidRDefault="006E6D5F">
      <w:pPr>
        <w:pStyle w:val="Doc-title"/>
      </w:pPr>
      <w:r>
        <w:t>[1] R2-2200233</w:t>
      </w:r>
      <w:r>
        <w:tab/>
        <w:t>UE Capabilities for eNPN</w:t>
      </w:r>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Discussion on UE capability for eNPN</w:t>
      </w:r>
      <w:r>
        <w:tab/>
        <w:t xml:space="preserve">Huawei, </w:t>
      </w:r>
      <w:proofErr w:type="spellStart"/>
      <w:r>
        <w:t>HiSilicon</w:t>
      </w:r>
      <w:proofErr w:type="spellEnd"/>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t>[5] R2-2200521</w:t>
      </w:r>
      <w:r>
        <w:tab/>
        <w:t>Discussion of UE capability of eNPN</w:t>
      </w:r>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Consideration on the eNPN UE Capability</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lastRenderedPageBreak/>
        <w:t>[10] R2-2201524</w:t>
      </w:r>
      <w:r>
        <w:tab/>
        <w:t>Discussion on UE capabilities relating to Rel17 eNPN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UE capabilities for eNPN</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8EF1A" w14:textId="77777777" w:rsidR="00E24A12" w:rsidRDefault="00E24A12"/>
  </w:endnote>
  <w:endnote w:type="continuationSeparator" w:id="0">
    <w:p w14:paraId="7B830526" w14:textId="77777777" w:rsidR="00E24A12" w:rsidRDefault="00E2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2B242" w14:textId="77777777" w:rsidR="000D21EE" w:rsidRDefault="000D21EE">
    <w:pPr>
      <w:pStyle w:val="aa"/>
    </w:pPr>
  </w:p>
  <w:p w14:paraId="06AD85F1" w14:textId="77777777" w:rsidR="000D21EE" w:rsidRDefault="000D21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3D72" w14:textId="77777777" w:rsidR="00E24A12" w:rsidRDefault="00E24A12"/>
  </w:footnote>
  <w:footnote w:type="continuationSeparator" w:id="0">
    <w:p w14:paraId="201CE5DD" w14:textId="77777777" w:rsidR="00E24A12" w:rsidRDefault="00E24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EE84"/>
  <w15:docId w15:val="{1D78E025-B443-4686-B96E-D3ECF4D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ascii="Times" w:hAnsi="Times"/>
      <w:szCs w:val="24"/>
      <w:lang w:val="en-GB"/>
    </w:rPr>
  </w:style>
  <w:style w:type="paragraph" w:styleId="1">
    <w:name w:val="heading 1"/>
    <w:basedOn w:val="a"/>
    <w:next w:val="a"/>
    <w:link w:val="11"/>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849" w:hanging="283"/>
      <w:contextualSpacing/>
    </w:pPr>
  </w:style>
  <w:style w:type="paragraph" w:styleId="a3">
    <w:name w:val="caption"/>
    <w:basedOn w:val="a"/>
    <w:next w:val="a"/>
    <w:link w:val="a4"/>
    <w:unhideWhenUsed/>
    <w:qFormat/>
    <w:rPr>
      <w:b/>
      <w:bCs/>
      <w:sz w:val="21"/>
      <w:szCs w:val="21"/>
    </w:rPr>
  </w:style>
  <w:style w:type="paragraph" w:styleId="a5">
    <w:name w:val="Document Map"/>
    <w:basedOn w:val="a"/>
    <w:semiHidden/>
    <w:qFormat/>
    <w:pPr>
      <w:shd w:val="clear" w:color="auto" w:fill="000080"/>
    </w:pPr>
    <w:rPr>
      <w:rFonts w:ascii="Tahoma" w:hAnsi="Tahoma" w:cs="Tahoma"/>
    </w:rPr>
  </w:style>
  <w:style w:type="paragraph" w:styleId="a6">
    <w:name w:val="annotation text"/>
    <w:basedOn w:val="a"/>
    <w:link w:val="a7"/>
    <w:uiPriority w:val="99"/>
    <w:semiHidden/>
    <w:qFormat/>
    <w:rPr>
      <w:szCs w:val="20"/>
    </w:rPr>
  </w:style>
  <w:style w:type="paragraph" w:styleId="a8">
    <w:name w:val="Body Text"/>
    <w:basedOn w:val="a"/>
    <w:qFormat/>
  </w:style>
  <w:style w:type="paragraph" w:styleId="a9">
    <w:name w:val="Balloon Text"/>
    <w:basedOn w:val="a"/>
    <w:semiHidden/>
    <w:qFormat/>
    <w:rPr>
      <w:rFonts w:ascii="Tahoma" w:hAnsi="Tahoma" w:cs="Tahoma"/>
      <w:sz w:val="16"/>
      <w:szCs w:val="16"/>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style>
  <w:style w:type="paragraph" w:styleId="TOC1">
    <w:name w:val="toc 1"/>
    <w:basedOn w:val="a"/>
    <w:next w:val="a"/>
    <w:semiHidden/>
    <w:unhideWhenUsed/>
    <w:qFormat/>
    <w:pPr>
      <w:spacing w:after="100"/>
    </w:pPr>
  </w:style>
  <w:style w:type="paragraph" w:styleId="ae">
    <w:name w:val="footnote text"/>
    <w:basedOn w:val="a"/>
    <w:link w:val="af"/>
    <w:semiHidden/>
    <w:qFormat/>
    <w:rPr>
      <w:szCs w:val="20"/>
      <w:lang w:val="en-US"/>
    </w:rPr>
  </w:style>
  <w:style w:type="paragraph" w:styleId="TOC2">
    <w:name w:val="toc 2"/>
    <w:basedOn w:val="TOC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f0">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Title"/>
    <w:basedOn w:val="a"/>
    <w:link w:val="af2"/>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f3">
    <w:name w:val="annotation subject"/>
    <w:basedOn w:val="a6"/>
    <w:next w:val="a6"/>
    <w:semiHidden/>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0000FF"/>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szCs w:val="16"/>
    </w:rPr>
  </w:style>
  <w:style w:type="character" w:styleId="af9">
    <w:name w:val="footnote reference"/>
    <w:basedOn w:val="a0"/>
    <w:semiHidden/>
    <w:unhideWhenUsed/>
    <w:qFormat/>
    <w:rPr>
      <w:vertAlign w:val="superscript"/>
    </w:rPr>
  </w:style>
  <w:style w:type="paragraph" w:customStyle="1" w:styleId="TdocHeader2">
    <w:name w:val="Tdoc_Header_2"/>
    <w:basedOn w:val="a"/>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8"/>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0">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0">
    <w:name w:val="标题 3 字符"/>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ab">
    <w:name w:val="页脚 字符"/>
    <w:link w:val="aa"/>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af2">
    <w:name w:val="标题 字符"/>
    <w:link w:val="af1"/>
    <w:qFormat/>
    <w:rPr>
      <w:rFonts w:ascii="Arial" w:eastAsia="宋体" w:hAnsi="Arial"/>
      <w:b/>
      <w:kern w:val="28"/>
      <w:sz w:val="24"/>
      <w:lang w:eastAsia="de-DE"/>
    </w:rPr>
  </w:style>
  <w:style w:type="paragraph" w:styleId="afa">
    <w:name w:val="List Paragraph"/>
    <w:basedOn w:val="a"/>
    <w:link w:val="afb"/>
    <w:uiPriority w:val="34"/>
    <w:qFormat/>
    <w:pPr>
      <w:spacing w:after="200" w:line="276" w:lineRule="auto"/>
      <w:ind w:left="720"/>
      <w:contextualSpacing/>
    </w:pPr>
    <w:rPr>
      <w:rFonts w:ascii="Times New Roman" w:eastAsia="Calibri" w:hAnsi="Times New Roman"/>
      <w:szCs w:val="22"/>
    </w:rPr>
  </w:style>
  <w:style w:type="character" w:customStyle="1" w:styleId="a7">
    <w:name w:val="批注文字 字符"/>
    <w:link w:val="a6"/>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a4">
    <w:name w:val="题注 字符"/>
    <w:link w:val="a3"/>
    <w:qFormat/>
    <w:rPr>
      <w:rFonts w:ascii="Times" w:hAnsi="Times"/>
      <w:b/>
      <w:bCs/>
      <w:sz w:val="21"/>
      <w:szCs w:val="21"/>
      <w:lang w:val="en-GB" w:eastAsia="en-US"/>
    </w:rPr>
  </w:style>
  <w:style w:type="table" w:customStyle="1" w:styleId="13">
    <w:name w:val="表 (格子)1"/>
    <w:basedOn w:val="a1"/>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8"/>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af">
    <w:name w:val="脚注文本 字符"/>
    <w:link w:val="ae"/>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rPr>
  </w:style>
  <w:style w:type="character" w:customStyle="1" w:styleId="afb">
    <w:name w:val="列表段落 字符"/>
    <w:link w:val="afa"/>
    <w:uiPriority w:val="34"/>
    <w:qFormat/>
    <w:rPr>
      <w:rFonts w:eastAsia="Calibri"/>
      <w:szCs w:val="22"/>
      <w:lang w:val="en-GB"/>
    </w:rPr>
  </w:style>
  <w:style w:type="character" w:customStyle="1" w:styleId="ad">
    <w:name w:val="页眉 字符"/>
    <w:basedOn w:val="a0"/>
    <w:link w:val="ac"/>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0">
    <w:name w:val="标题 2 字符"/>
    <w:basedOn w:val="a0"/>
    <w:link w:val="2"/>
    <w:qFormat/>
    <w:rPr>
      <w:rFonts w:cs="Arial"/>
      <w:b/>
      <w:bCs/>
      <w:iCs/>
      <w:sz w:val="24"/>
      <w:szCs w:val="28"/>
      <w:lang w:val="en-GB"/>
    </w:rPr>
  </w:style>
  <w:style w:type="character" w:customStyle="1" w:styleId="11">
    <w:name w:val="标题 1 字符"/>
    <w:basedOn w:val="a0"/>
    <w:link w:val="1"/>
    <w:qFormat/>
    <w:rPr>
      <w:rFonts w:ascii="Arial" w:hAnsi="Arial" w:cs="Arial"/>
      <w:b/>
      <w:bCs/>
      <w:kern w:val="32"/>
      <w:sz w:val="32"/>
      <w:szCs w:val="32"/>
      <w:lang w:val="en-GB"/>
    </w:rPr>
  </w:style>
  <w:style w:type="table" w:customStyle="1" w:styleId="TableGrid1">
    <w:name w:val="Table Grid1"/>
    <w:basedOn w:val="a1"/>
    <w:uiPriority w:val="59"/>
    <w:qFormat/>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1"/>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a"/>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a"/>
    <w:qFormat/>
    <w:pPr>
      <w:keepLines/>
      <w:spacing w:after="0"/>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8"/>
      </w:numPr>
      <w:tabs>
        <w:tab w:val="left" w:pos="1560"/>
      </w:tabs>
      <w:adjustRightInd w:val="0"/>
      <w:snapToGrid w:val="0"/>
      <w:spacing w:after="180"/>
    </w:pPr>
    <w:rPr>
      <w:rFonts w:ascii="Times New Roman" w:eastAsia="宋体" w:hAnsi="Times New Roman"/>
      <w:b/>
      <w:szCs w:val="20"/>
      <w:lang w:eastAsia="zh-CN"/>
    </w:rPr>
  </w:style>
  <w:style w:type="character" w:customStyle="1" w:styleId="ProposalChar">
    <w:name w:val="Proposal Char"/>
    <w:link w:val="Proposal"/>
    <w:qFormat/>
    <w:rPr>
      <w:rFonts w:eastAsia="宋体"/>
      <w:b/>
      <w:lang w:val="en-GB" w:eastAsia="zh-CN"/>
    </w:rPr>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a"/>
    <w:next w:val="a"/>
    <w:qFormat/>
    <w:pPr>
      <w:numPr>
        <w:numId w:val="10"/>
      </w:numPr>
      <w:spacing w:after="160"/>
      <w:ind w:left="360"/>
      <w:jc w:val="left"/>
    </w:pPr>
    <w:rPr>
      <w:rFonts w:asciiTheme="minorHAnsi" w:eastAsia="宋体"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AA3B03C-E535-44FB-B3F7-2450D105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7</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OPPO-Jiangsheng Fan</cp:lastModifiedBy>
  <cp:revision>7</cp:revision>
  <cp:lastPrinted>2017-10-24T13:18:00Z</cp:lastPrinted>
  <dcterms:created xsi:type="dcterms:W3CDTF">2022-01-19T04:00:00Z</dcterms:created>
  <dcterms:modified xsi:type="dcterms:W3CDTF">2022-01-19T04:26:00Z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2052-11.8.2.9022</vt:lpwstr>
  </property>
</Properties>
</file>