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782" w:rsidRDefault="00236082">
      <w:pPr>
        <w:pStyle w:val="CRCoverPage"/>
        <w:tabs>
          <w:tab w:val="right" w:pos="9639"/>
          <w:tab w:val="right" w:pos="13323"/>
        </w:tabs>
        <w:spacing w:after="0"/>
        <w:rPr>
          <w:rFonts w:cs="Arial"/>
          <w:b/>
          <w:bCs/>
          <w:sz w:val="24"/>
          <w:szCs w:val="24"/>
        </w:rPr>
      </w:pPr>
      <w:bookmarkStart w:id="0" w:name="_Toc193024528"/>
      <w:r>
        <w:rPr>
          <w:rFonts w:cs="Arial"/>
          <w:b/>
          <w:bCs/>
          <w:sz w:val="24"/>
          <w:szCs w:val="24"/>
        </w:rPr>
        <w:t>3GPP TSG-RAN WG2 Meeting #116b-e</w:t>
      </w:r>
      <w:r>
        <w:rPr>
          <w:rFonts w:cs="Arial"/>
          <w:b/>
          <w:sz w:val="24"/>
          <w:szCs w:val="24"/>
        </w:rPr>
        <w:tab/>
      </w:r>
      <w:bookmarkStart w:id="1" w:name="_GoBack"/>
      <w:r w:rsidR="00107AA9">
        <w:rPr>
          <w:rFonts w:cs="Arial"/>
          <w:b/>
          <w:bCs/>
          <w:sz w:val="24"/>
          <w:szCs w:val="24"/>
        </w:rPr>
        <w:t>R2-2201096</w:t>
      </w:r>
      <w:bookmarkEnd w:id="1"/>
    </w:p>
    <w:p w:rsidR="00642782" w:rsidRDefault="00236082">
      <w:pPr>
        <w:pStyle w:val="CRCoverPage"/>
        <w:tabs>
          <w:tab w:val="right" w:pos="9639"/>
          <w:tab w:val="right" w:pos="13323"/>
        </w:tabs>
        <w:spacing w:after="0"/>
        <w:rPr>
          <w:rFonts w:cs="Arial"/>
          <w:b/>
          <w:bCs/>
          <w:sz w:val="24"/>
          <w:szCs w:val="24"/>
        </w:rPr>
      </w:pPr>
      <w:r>
        <w:rPr>
          <w:rFonts w:cs="Arial"/>
          <w:b/>
          <w:bCs/>
          <w:sz w:val="24"/>
          <w:szCs w:val="24"/>
        </w:rPr>
        <w:t>Online, 17 - 25 January 2022</w:t>
      </w:r>
    </w:p>
    <w:p w:rsidR="00642782" w:rsidRDefault="00642782">
      <w:pPr>
        <w:pStyle w:val="Footer"/>
        <w:jc w:val="both"/>
        <w:rPr>
          <w:rFonts w:eastAsia="宋体"/>
          <w:b w:val="0"/>
          <w:i w:val="0"/>
          <w:sz w:val="24"/>
          <w:lang w:eastAsia="zh-CN"/>
        </w:rPr>
      </w:pPr>
    </w:p>
    <w:p w:rsidR="00642782" w:rsidRDefault="00236082">
      <w:pPr>
        <w:tabs>
          <w:tab w:val="left" w:pos="1985"/>
        </w:tabs>
        <w:rPr>
          <w:rFonts w:ascii="Arial" w:hAnsi="Arial"/>
          <w:sz w:val="24"/>
          <w:szCs w:val="24"/>
          <w:lang w:eastAsia="zh-CN"/>
        </w:rPr>
      </w:pPr>
      <w:r>
        <w:rPr>
          <w:rFonts w:ascii="Arial" w:hAnsi="Arial"/>
          <w:b/>
          <w:bCs/>
          <w:sz w:val="24"/>
          <w:szCs w:val="24"/>
        </w:rPr>
        <w:t>Agenda item:</w:t>
      </w:r>
      <w:r>
        <w:rPr>
          <w:rFonts w:ascii="Arial" w:hAnsi="Arial"/>
          <w:sz w:val="24"/>
        </w:rPr>
        <w:tab/>
      </w:r>
      <w:r>
        <w:rPr>
          <w:rFonts w:ascii="Arial" w:hAnsi="Arial"/>
          <w:sz w:val="24"/>
          <w:szCs w:val="24"/>
          <w:lang w:eastAsia="zh-CN"/>
        </w:rPr>
        <w:t>8.2.5</w:t>
      </w:r>
    </w:p>
    <w:p w:rsidR="00642782" w:rsidRDefault="00236082">
      <w:pPr>
        <w:tabs>
          <w:tab w:val="left" w:pos="1985"/>
        </w:tabs>
        <w:rPr>
          <w:rFonts w:ascii="Arial" w:hAnsi="Arial"/>
          <w:b/>
          <w:bCs/>
          <w:sz w:val="24"/>
          <w:szCs w:val="24"/>
        </w:rPr>
      </w:pPr>
      <w:r>
        <w:rPr>
          <w:rFonts w:ascii="Arial" w:hAnsi="Arial"/>
          <w:b/>
          <w:bCs/>
          <w:sz w:val="24"/>
          <w:szCs w:val="24"/>
        </w:rPr>
        <w:t xml:space="preserve">Source: </w:t>
      </w:r>
      <w:r>
        <w:rPr>
          <w:rFonts w:ascii="Arial" w:hAnsi="Arial"/>
          <w:b/>
          <w:sz w:val="24"/>
        </w:rPr>
        <w:tab/>
      </w:r>
      <w:r>
        <w:rPr>
          <w:rStyle w:val="a4"/>
          <w:lang w:val="en-GB"/>
        </w:rPr>
        <w:t>Huawei, HiSilicon</w:t>
      </w:r>
    </w:p>
    <w:p w:rsidR="00642782" w:rsidRDefault="00236082">
      <w:pPr>
        <w:tabs>
          <w:tab w:val="left" w:pos="1985"/>
        </w:tabs>
        <w:ind w:left="1980" w:hanging="1980"/>
        <w:rPr>
          <w:rStyle w:val="a4"/>
          <w:lang w:val="en-GB"/>
        </w:rPr>
      </w:pPr>
      <w:r>
        <w:rPr>
          <w:rFonts w:ascii="Arial" w:hAnsi="Arial"/>
          <w:b/>
          <w:bCs/>
          <w:sz w:val="24"/>
          <w:szCs w:val="24"/>
        </w:rPr>
        <w:t>Title:</w:t>
      </w:r>
      <w:r>
        <w:rPr>
          <w:rFonts w:ascii="Arial" w:hAnsi="Arial"/>
          <w:sz w:val="24"/>
          <w:szCs w:val="24"/>
        </w:rPr>
        <w:t xml:space="preserve"> </w:t>
      </w:r>
      <w:r>
        <w:rPr>
          <w:rFonts w:ascii="Arial" w:hAnsi="Arial"/>
          <w:sz w:val="24"/>
        </w:rPr>
        <w:tab/>
        <w:t>UE capability</w:t>
      </w:r>
    </w:p>
    <w:p w:rsidR="00642782" w:rsidRDefault="00236082">
      <w:pPr>
        <w:tabs>
          <w:tab w:val="left" w:pos="1985"/>
        </w:tabs>
        <w:ind w:left="1980" w:hanging="1980"/>
        <w:rPr>
          <w:rStyle w:val="a4"/>
          <w:lang w:val="en-GB"/>
        </w:rPr>
      </w:pPr>
      <w:r>
        <w:rPr>
          <w:rFonts w:ascii="Arial" w:hAnsi="Arial"/>
          <w:b/>
          <w:bCs/>
          <w:sz w:val="24"/>
          <w:szCs w:val="24"/>
        </w:rPr>
        <w:t xml:space="preserve">Document for: </w:t>
      </w:r>
      <w:r>
        <w:rPr>
          <w:rFonts w:ascii="Arial" w:hAnsi="Arial"/>
          <w:sz w:val="24"/>
        </w:rPr>
        <w:tab/>
      </w:r>
      <w:r>
        <w:rPr>
          <w:rFonts w:ascii="Arial" w:eastAsia="宋体" w:hAnsi="Arial" w:cs="Arial"/>
          <w:sz w:val="22"/>
          <w:szCs w:val="22"/>
          <w:lang w:eastAsia="zh-CN"/>
        </w:rPr>
        <w:t>Discussion and Decision</w:t>
      </w:r>
    </w:p>
    <w:p w:rsidR="00642782" w:rsidRDefault="00236082">
      <w:pPr>
        <w:pStyle w:val="Heading1"/>
        <w:numPr>
          <w:ilvl w:val="0"/>
          <w:numId w:val="11"/>
        </w:numPr>
        <w:rPr>
          <w:rFonts w:eastAsia="宋体"/>
          <w:lang w:eastAsia="zh-CN"/>
        </w:rPr>
      </w:pPr>
      <w:r>
        <w:rPr>
          <w:rFonts w:eastAsia="宋体"/>
          <w:lang w:eastAsia="zh-CN"/>
        </w:rPr>
        <w:t>Introduction</w:t>
      </w:r>
    </w:p>
    <w:p w:rsidR="00642782" w:rsidRDefault="00236082">
      <w:pPr>
        <w:rPr>
          <w:rFonts w:eastAsia="宋体"/>
          <w:lang w:eastAsia="zh-CN"/>
        </w:rPr>
      </w:pPr>
      <w:r>
        <w:rPr>
          <w:rFonts w:eastAsia="宋体" w:hint="eastAsia"/>
          <w:lang w:eastAsia="zh-CN"/>
        </w:rPr>
        <w:t>I</w:t>
      </w:r>
      <w:r>
        <w:rPr>
          <w:rFonts w:eastAsia="宋体"/>
          <w:lang w:eastAsia="zh-CN"/>
        </w:rPr>
        <w:t>n the last meeting, RAN2 discussed the UE capability of R17 DCCA RAN2 features and has the following agreements and FFSs.</w:t>
      </w:r>
    </w:p>
    <w:p w:rsidR="00642782" w:rsidRDefault="00236082">
      <w:pPr>
        <w:pStyle w:val="Agreement"/>
        <w:overflowPunct/>
        <w:autoSpaceDE/>
        <w:autoSpaceDN/>
        <w:adjustRightInd/>
        <w:ind w:left="1619" w:hanging="360"/>
      </w:pPr>
      <w:r>
        <w:t>1</w:t>
      </w:r>
      <w:proofErr w:type="gramStart"/>
      <w:r>
        <w:t xml:space="preserve">:  </w:t>
      </w:r>
      <w:proofErr w:type="spellStart"/>
      <w:r>
        <w:t>consider</w:t>
      </w:r>
      <w:proofErr w:type="spellEnd"/>
      <w:proofErr w:type="gramEnd"/>
      <w:r>
        <w:t xml:space="preserve"> the </w:t>
      </w:r>
      <w:proofErr w:type="spellStart"/>
      <w:r>
        <w:t>following</w:t>
      </w:r>
      <w:proofErr w:type="spellEnd"/>
      <w:r>
        <w:t xml:space="preserve"> UE </w:t>
      </w:r>
      <w:proofErr w:type="spellStart"/>
      <w:r>
        <w:t>capabilities</w:t>
      </w:r>
      <w:proofErr w:type="spellEnd"/>
      <w:r>
        <w:t xml:space="preserve"> and </w:t>
      </w:r>
      <w:proofErr w:type="spellStart"/>
      <w:r>
        <w:t>corresponding</w:t>
      </w:r>
      <w:proofErr w:type="spellEnd"/>
      <w:r>
        <w:t xml:space="preserve"> descriptions as </w:t>
      </w:r>
      <w:proofErr w:type="spellStart"/>
      <w:r>
        <w:t>baseline</w:t>
      </w:r>
      <w:proofErr w:type="spellEnd"/>
      <w:r>
        <w:t xml:space="preserve"> (</w:t>
      </w:r>
      <w:proofErr w:type="spellStart"/>
      <w:r>
        <w:t>can</w:t>
      </w:r>
      <w:proofErr w:type="spellEnd"/>
      <w:r>
        <w:t xml:space="preserve"> </w:t>
      </w:r>
      <w:proofErr w:type="spellStart"/>
      <w:r>
        <w:t>still</w:t>
      </w:r>
      <w:proofErr w:type="spellEnd"/>
      <w:r>
        <w:t xml:space="preserve"> </w:t>
      </w:r>
      <w:proofErr w:type="spellStart"/>
      <w:r>
        <w:t>discuss</w:t>
      </w:r>
      <w:proofErr w:type="spellEnd"/>
      <w:r>
        <w:t xml:space="preserve"> exact </w:t>
      </w:r>
      <w:proofErr w:type="spellStart"/>
      <w:r>
        <w:t>details</w:t>
      </w:r>
      <w:proofErr w:type="spellEnd"/>
      <w:r>
        <w:t xml:space="preserve"> in the </w:t>
      </w:r>
      <w:proofErr w:type="spellStart"/>
      <w:r>
        <w:t>next</w:t>
      </w:r>
      <w:proofErr w:type="spellEnd"/>
      <w:r>
        <w:t xml:space="preserve"> meeting):</w:t>
      </w:r>
    </w:p>
    <w:p w:rsidR="00642782" w:rsidRDefault="00642782">
      <w:pPr>
        <w:pStyle w:val="Doc-text2"/>
        <w:rPr>
          <w:i/>
          <w:iCs/>
        </w:rPr>
      </w:pPr>
    </w:p>
    <w:tbl>
      <w:tblPr>
        <w:tblW w:w="98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1354"/>
        <w:gridCol w:w="1897"/>
        <w:gridCol w:w="990"/>
        <w:gridCol w:w="1080"/>
        <w:gridCol w:w="990"/>
        <w:gridCol w:w="1620"/>
        <w:gridCol w:w="1268"/>
      </w:tblGrid>
      <w:tr w:rsidR="00642782">
        <w:trPr>
          <w:trHeight w:val="17"/>
        </w:trPr>
        <w:tc>
          <w:tcPr>
            <w:tcW w:w="614" w:type="dxa"/>
            <w:tcBorders>
              <w:top w:val="single" w:sz="4" w:space="0" w:color="auto"/>
              <w:left w:val="single" w:sz="4" w:space="0" w:color="auto"/>
              <w:bottom w:val="single" w:sz="4" w:space="0" w:color="auto"/>
              <w:right w:val="single" w:sz="4" w:space="0" w:color="auto"/>
            </w:tcBorders>
          </w:tcPr>
          <w:p w:rsidR="00642782" w:rsidRDefault="00236082">
            <w:pPr>
              <w:pStyle w:val="TAH"/>
            </w:pPr>
            <w:r>
              <w:t>Index</w:t>
            </w:r>
          </w:p>
        </w:tc>
        <w:tc>
          <w:tcPr>
            <w:tcW w:w="1354" w:type="dxa"/>
            <w:tcBorders>
              <w:top w:val="single" w:sz="4" w:space="0" w:color="auto"/>
              <w:left w:val="single" w:sz="4" w:space="0" w:color="auto"/>
              <w:bottom w:val="single" w:sz="4" w:space="0" w:color="auto"/>
              <w:right w:val="single" w:sz="4" w:space="0" w:color="auto"/>
            </w:tcBorders>
          </w:tcPr>
          <w:p w:rsidR="00642782" w:rsidRDefault="00236082">
            <w:pPr>
              <w:pStyle w:val="TAH"/>
            </w:pPr>
            <w:r>
              <w:t>Feature group</w:t>
            </w:r>
          </w:p>
        </w:tc>
        <w:tc>
          <w:tcPr>
            <w:tcW w:w="1897" w:type="dxa"/>
            <w:tcBorders>
              <w:top w:val="single" w:sz="4" w:space="0" w:color="auto"/>
              <w:left w:val="single" w:sz="4" w:space="0" w:color="auto"/>
              <w:bottom w:val="single" w:sz="4" w:space="0" w:color="auto"/>
              <w:right w:val="single" w:sz="4" w:space="0" w:color="auto"/>
            </w:tcBorders>
          </w:tcPr>
          <w:p w:rsidR="00642782" w:rsidRDefault="00236082">
            <w:pPr>
              <w:pStyle w:val="TAH"/>
            </w:pPr>
            <w:r>
              <w:t>Components</w:t>
            </w:r>
          </w:p>
        </w:tc>
        <w:tc>
          <w:tcPr>
            <w:tcW w:w="990" w:type="dxa"/>
            <w:tcBorders>
              <w:top w:val="single" w:sz="4" w:space="0" w:color="auto"/>
              <w:left w:val="single" w:sz="4" w:space="0" w:color="auto"/>
              <w:bottom w:val="single" w:sz="4" w:space="0" w:color="auto"/>
              <w:right w:val="single" w:sz="4" w:space="0" w:color="auto"/>
            </w:tcBorders>
          </w:tcPr>
          <w:p w:rsidR="00642782" w:rsidRDefault="00236082">
            <w:pPr>
              <w:pStyle w:val="TAH"/>
            </w:pPr>
            <w:r>
              <w:t>Prerequisite feature groups</w:t>
            </w:r>
          </w:p>
        </w:tc>
        <w:tc>
          <w:tcPr>
            <w:tcW w:w="1080" w:type="dxa"/>
            <w:tcBorders>
              <w:top w:val="single" w:sz="4" w:space="0" w:color="auto"/>
              <w:left w:val="single" w:sz="4" w:space="0" w:color="auto"/>
              <w:bottom w:val="single" w:sz="4" w:space="0" w:color="auto"/>
              <w:right w:val="single" w:sz="4" w:space="0" w:color="auto"/>
            </w:tcBorders>
          </w:tcPr>
          <w:p w:rsidR="00642782" w:rsidRDefault="00236082">
            <w:pPr>
              <w:pStyle w:val="TAH"/>
              <w:rPr>
                <w:lang w:val="en-US"/>
              </w:rPr>
            </w:pPr>
            <w:r>
              <w:rPr>
                <w:lang w:val="en-US"/>
              </w:rPr>
              <w:t>Need of FDD/TDD differentiation</w:t>
            </w:r>
          </w:p>
        </w:tc>
        <w:tc>
          <w:tcPr>
            <w:tcW w:w="990" w:type="dxa"/>
            <w:tcBorders>
              <w:top w:val="single" w:sz="4" w:space="0" w:color="auto"/>
              <w:left w:val="single" w:sz="4" w:space="0" w:color="auto"/>
              <w:bottom w:val="single" w:sz="4" w:space="0" w:color="auto"/>
              <w:right w:val="single" w:sz="4" w:space="0" w:color="auto"/>
            </w:tcBorders>
          </w:tcPr>
          <w:p w:rsidR="00642782" w:rsidRDefault="00236082">
            <w:pPr>
              <w:pStyle w:val="TAH"/>
              <w:rPr>
                <w:lang w:val="en-US"/>
              </w:rPr>
            </w:pPr>
            <w:r>
              <w:rPr>
                <w:lang w:val="en-US"/>
              </w:rPr>
              <w:t>Need of FR1/FR2 differentiation</w:t>
            </w:r>
          </w:p>
        </w:tc>
        <w:tc>
          <w:tcPr>
            <w:tcW w:w="1620" w:type="dxa"/>
            <w:tcBorders>
              <w:top w:val="single" w:sz="4" w:space="0" w:color="auto"/>
              <w:left w:val="single" w:sz="4" w:space="0" w:color="auto"/>
              <w:bottom w:val="single" w:sz="4" w:space="0" w:color="auto"/>
              <w:right w:val="single" w:sz="4" w:space="0" w:color="auto"/>
            </w:tcBorders>
          </w:tcPr>
          <w:p w:rsidR="00642782" w:rsidRDefault="00236082">
            <w:pPr>
              <w:pStyle w:val="TAN"/>
              <w:ind w:left="0" w:firstLine="0"/>
              <w:rPr>
                <w:b/>
                <w:lang w:val="en-US"/>
              </w:rPr>
            </w:pPr>
            <w:r>
              <w:rPr>
                <w:rFonts w:hint="eastAsia"/>
                <w:b/>
                <w:lang w:val="en-US"/>
              </w:rPr>
              <w:t>Type</w:t>
            </w:r>
          </w:p>
          <w:p w:rsidR="00642782" w:rsidRDefault="00236082">
            <w:pPr>
              <w:pStyle w:val="TAH"/>
              <w:jc w:val="left"/>
              <w:rPr>
                <w:lang w:val="en-US"/>
              </w:rPr>
            </w:pPr>
            <w:r>
              <w:rPr>
                <w:lang w:val="en-US"/>
              </w:rPr>
              <w:t>(the ‘type’ definition from UE features should be based on the granularity of 1) Per UE or 2) Per Band or 3) Per BC or 4) Per FS or 5) Per FSPC)</w:t>
            </w:r>
          </w:p>
        </w:tc>
        <w:tc>
          <w:tcPr>
            <w:tcW w:w="1268" w:type="dxa"/>
            <w:tcBorders>
              <w:top w:val="single" w:sz="4" w:space="0" w:color="auto"/>
              <w:left w:val="single" w:sz="4" w:space="0" w:color="auto"/>
              <w:bottom w:val="single" w:sz="4" w:space="0" w:color="auto"/>
              <w:right w:val="single" w:sz="4" w:space="0" w:color="auto"/>
            </w:tcBorders>
          </w:tcPr>
          <w:p w:rsidR="00642782" w:rsidRDefault="00236082">
            <w:pPr>
              <w:pStyle w:val="TAH"/>
            </w:pPr>
            <w:r>
              <w:t>Mandatory/Optional</w:t>
            </w:r>
          </w:p>
        </w:tc>
      </w:tr>
      <w:tr w:rsidR="00642782">
        <w:trPr>
          <w:trHeight w:val="17"/>
        </w:trPr>
        <w:tc>
          <w:tcPr>
            <w:tcW w:w="614" w:type="dxa"/>
            <w:tcBorders>
              <w:top w:val="single" w:sz="4" w:space="0" w:color="auto"/>
              <w:left w:val="single" w:sz="4" w:space="0" w:color="auto"/>
              <w:bottom w:val="single" w:sz="4" w:space="0" w:color="auto"/>
              <w:right w:val="single" w:sz="4" w:space="0" w:color="auto"/>
            </w:tcBorders>
          </w:tcPr>
          <w:p w:rsidR="00642782" w:rsidRDefault="00236082">
            <w:pPr>
              <w:pStyle w:val="TAL"/>
              <w:rPr>
                <w:rFonts w:asciiTheme="majorHAnsi" w:hAnsiTheme="majorHAnsi" w:cstheme="majorHAnsi"/>
                <w:szCs w:val="18"/>
              </w:rPr>
            </w:pPr>
            <w:r>
              <w:rPr>
                <w:lang w:val="en-US"/>
              </w:rPr>
              <w:t>x</w:t>
            </w:r>
            <w:r>
              <w:t>-1</w:t>
            </w:r>
          </w:p>
        </w:tc>
        <w:tc>
          <w:tcPr>
            <w:tcW w:w="1354" w:type="dxa"/>
            <w:tcBorders>
              <w:top w:val="single" w:sz="4" w:space="0" w:color="auto"/>
              <w:left w:val="single" w:sz="4" w:space="0" w:color="auto"/>
              <w:bottom w:val="single" w:sz="4" w:space="0" w:color="auto"/>
              <w:right w:val="single" w:sz="4" w:space="0" w:color="auto"/>
            </w:tcBorders>
          </w:tcPr>
          <w:p w:rsidR="00642782" w:rsidRDefault="00236082">
            <w:pPr>
              <w:pStyle w:val="TAL"/>
              <w:rPr>
                <w:rFonts w:asciiTheme="majorHAnsi" w:eastAsia="宋体" w:hAnsiTheme="majorHAnsi" w:cstheme="majorHAnsi"/>
                <w:szCs w:val="18"/>
              </w:rPr>
            </w:pPr>
            <w:r>
              <w:rPr>
                <w:rFonts w:ascii="Times New Roman" w:eastAsia="宋体" w:hAnsi="Times New Roman"/>
                <w:lang w:val="en-US"/>
              </w:rPr>
              <w:t>Activation/Deactivation of SCG</w:t>
            </w:r>
          </w:p>
        </w:tc>
        <w:tc>
          <w:tcPr>
            <w:tcW w:w="1897" w:type="dxa"/>
            <w:tcBorders>
              <w:top w:val="single" w:sz="4" w:space="0" w:color="auto"/>
              <w:left w:val="single" w:sz="4" w:space="0" w:color="auto"/>
              <w:bottom w:val="single" w:sz="4" w:space="0" w:color="auto"/>
              <w:right w:val="single" w:sz="4" w:space="0" w:color="auto"/>
            </w:tcBorders>
          </w:tcPr>
          <w:p w:rsidR="00642782" w:rsidRDefault="00236082">
            <w:pPr>
              <w:pStyle w:val="TAL"/>
              <w:rPr>
                <w:lang w:val="en-US"/>
              </w:rPr>
            </w:pPr>
            <w:r>
              <w:rPr>
                <w:lang w:val="en-US"/>
              </w:rPr>
              <w:t>Support of activation/deactivation of SCG</w:t>
            </w:r>
            <w:r>
              <w:rPr>
                <w:rFonts w:eastAsia="MS PGothic"/>
                <w:lang w:val="en-US"/>
              </w:rPr>
              <w:t>.</w:t>
            </w:r>
          </w:p>
        </w:tc>
        <w:tc>
          <w:tcPr>
            <w:tcW w:w="990" w:type="dxa"/>
            <w:tcBorders>
              <w:top w:val="single" w:sz="4" w:space="0" w:color="auto"/>
              <w:left w:val="single" w:sz="4" w:space="0" w:color="auto"/>
              <w:bottom w:val="single" w:sz="4" w:space="0" w:color="auto"/>
              <w:right w:val="single" w:sz="4" w:space="0" w:color="auto"/>
            </w:tcBorders>
          </w:tcPr>
          <w:p w:rsidR="00642782" w:rsidRDefault="00642782">
            <w:pPr>
              <w:pStyle w:val="TAL"/>
              <w:rPr>
                <w:rFonts w:eastAsia="MS Mincho"/>
                <w:lang w:val="en-US"/>
              </w:rPr>
            </w:pPr>
          </w:p>
        </w:tc>
        <w:tc>
          <w:tcPr>
            <w:tcW w:w="1080" w:type="dxa"/>
            <w:tcBorders>
              <w:top w:val="single" w:sz="4" w:space="0" w:color="auto"/>
              <w:left w:val="single" w:sz="4" w:space="0" w:color="auto"/>
              <w:bottom w:val="single" w:sz="4" w:space="0" w:color="auto"/>
              <w:right w:val="single" w:sz="4" w:space="0" w:color="auto"/>
            </w:tcBorders>
          </w:tcPr>
          <w:p w:rsidR="00642782" w:rsidRDefault="00236082">
            <w:pPr>
              <w:pStyle w:val="TAL"/>
            </w:pPr>
            <w:r>
              <w:t>No</w:t>
            </w:r>
          </w:p>
        </w:tc>
        <w:tc>
          <w:tcPr>
            <w:tcW w:w="990" w:type="dxa"/>
            <w:tcBorders>
              <w:top w:val="single" w:sz="4" w:space="0" w:color="auto"/>
              <w:left w:val="single" w:sz="4" w:space="0" w:color="auto"/>
              <w:bottom w:val="single" w:sz="4" w:space="0" w:color="auto"/>
              <w:right w:val="single" w:sz="4" w:space="0" w:color="auto"/>
            </w:tcBorders>
          </w:tcPr>
          <w:p w:rsidR="00642782" w:rsidRDefault="00236082">
            <w:pPr>
              <w:pStyle w:val="TAL"/>
              <w:rPr>
                <w:rFonts w:eastAsia="等线"/>
                <w:lang w:val="en-US"/>
              </w:rPr>
            </w:pPr>
            <w:r>
              <w:rPr>
                <w:rFonts w:eastAsia="等线"/>
                <w:lang w:val="en-US"/>
              </w:rPr>
              <w:t>Yes</w:t>
            </w:r>
          </w:p>
        </w:tc>
        <w:tc>
          <w:tcPr>
            <w:tcW w:w="1620" w:type="dxa"/>
            <w:tcBorders>
              <w:top w:val="single" w:sz="4" w:space="0" w:color="auto"/>
              <w:left w:val="single" w:sz="4" w:space="0" w:color="auto"/>
              <w:bottom w:val="single" w:sz="4" w:space="0" w:color="auto"/>
              <w:right w:val="single" w:sz="4" w:space="0" w:color="auto"/>
            </w:tcBorders>
          </w:tcPr>
          <w:p w:rsidR="00642782" w:rsidRDefault="00236082">
            <w:pPr>
              <w:pStyle w:val="TAL"/>
              <w:rPr>
                <w:bCs/>
              </w:rPr>
            </w:pPr>
            <w:r>
              <w:rPr>
                <w:bCs/>
                <w:lang w:val="en-US"/>
              </w:rPr>
              <w:t>Per UE</w:t>
            </w:r>
          </w:p>
        </w:tc>
        <w:tc>
          <w:tcPr>
            <w:tcW w:w="1268" w:type="dxa"/>
            <w:tcBorders>
              <w:top w:val="single" w:sz="4" w:space="0" w:color="auto"/>
              <w:left w:val="single" w:sz="4" w:space="0" w:color="auto"/>
              <w:bottom w:val="single" w:sz="4" w:space="0" w:color="auto"/>
              <w:right w:val="single" w:sz="4" w:space="0" w:color="auto"/>
            </w:tcBorders>
          </w:tcPr>
          <w:p w:rsidR="00642782" w:rsidRDefault="00236082">
            <w:pPr>
              <w:pStyle w:val="TAL"/>
            </w:pPr>
            <w:r>
              <w:t>Optional with capability signalling</w:t>
            </w:r>
          </w:p>
        </w:tc>
      </w:tr>
      <w:tr w:rsidR="00642782">
        <w:trPr>
          <w:trHeight w:val="17"/>
        </w:trPr>
        <w:tc>
          <w:tcPr>
            <w:tcW w:w="614" w:type="dxa"/>
            <w:tcBorders>
              <w:top w:val="single" w:sz="4" w:space="0" w:color="auto"/>
              <w:left w:val="single" w:sz="4" w:space="0" w:color="auto"/>
              <w:bottom w:val="single" w:sz="4" w:space="0" w:color="auto"/>
              <w:right w:val="single" w:sz="4" w:space="0" w:color="auto"/>
            </w:tcBorders>
            <w:shd w:val="clear" w:color="auto" w:fill="auto"/>
          </w:tcPr>
          <w:p w:rsidR="00642782" w:rsidRDefault="00236082">
            <w:pPr>
              <w:pStyle w:val="TAL"/>
              <w:rPr>
                <w:rFonts w:asciiTheme="majorHAnsi" w:hAnsiTheme="majorHAnsi" w:cstheme="majorHAnsi"/>
                <w:szCs w:val="18"/>
              </w:rPr>
            </w:pPr>
            <w:r>
              <w:rPr>
                <w:lang w:val="en-US"/>
              </w:rPr>
              <w:t>x</w:t>
            </w:r>
            <w:r>
              <w:t>-2</w:t>
            </w: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642782" w:rsidRDefault="00236082">
            <w:pPr>
              <w:pStyle w:val="TAL"/>
              <w:rPr>
                <w:rFonts w:asciiTheme="majorHAnsi" w:eastAsia="宋体" w:hAnsiTheme="majorHAnsi" w:cstheme="majorHAnsi"/>
                <w:szCs w:val="18"/>
              </w:rPr>
            </w:pPr>
            <w:r>
              <w:rPr>
                <w:rFonts w:ascii="Times New Roman" w:eastAsia="宋体" w:hAnsi="Times New Roman"/>
                <w:lang w:val="en-US"/>
              </w:rPr>
              <w:t>Activation/Deactivation of SCG</w:t>
            </w:r>
          </w:p>
        </w:tc>
        <w:tc>
          <w:tcPr>
            <w:tcW w:w="1897" w:type="dxa"/>
            <w:tcBorders>
              <w:top w:val="single" w:sz="4" w:space="0" w:color="auto"/>
              <w:left w:val="single" w:sz="4" w:space="0" w:color="auto"/>
              <w:bottom w:val="single" w:sz="4" w:space="0" w:color="auto"/>
              <w:right w:val="single" w:sz="4" w:space="0" w:color="auto"/>
            </w:tcBorders>
            <w:shd w:val="clear" w:color="auto" w:fill="auto"/>
          </w:tcPr>
          <w:p w:rsidR="00642782" w:rsidRDefault="00236082">
            <w:pPr>
              <w:pStyle w:val="TAL"/>
              <w:rPr>
                <w:lang w:val="en-US"/>
              </w:rPr>
            </w:pPr>
            <w:proofErr w:type="gramStart"/>
            <w:r>
              <w:t>RACH-less SCG activation</w:t>
            </w:r>
            <w:r>
              <w:rPr>
                <w:lang w:val="en-US"/>
              </w:rPr>
              <w:t>.</w:t>
            </w:r>
            <w:proofErr w:type="gramEnd"/>
          </w:p>
        </w:tc>
        <w:tc>
          <w:tcPr>
            <w:tcW w:w="990" w:type="dxa"/>
            <w:tcBorders>
              <w:top w:val="single" w:sz="4" w:space="0" w:color="auto"/>
              <w:left w:val="single" w:sz="4" w:space="0" w:color="auto"/>
              <w:bottom w:val="single" w:sz="4" w:space="0" w:color="auto"/>
              <w:right w:val="single" w:sz="4" w:space="0" w:color="auto"/>
            </w:tcBorders>
            <w:shd w:val="clear" w:color="auto" w:fill="auto"/>
          </w:tcPr>
          <w:p w:rsidR="00642782" w:rsidRDefault="00236082">
            <w:pPr>
              <w:pStyle w:val="TAL"/>
              <w:rPr>
                <w:lang w:val="en-US"/>
              </w:rPr>
            </w:pPr>
            <w:r>
              <w:rPr>
                <w:lang w:val="en-US"/>
              </w:rPr>
              <w:t>FFS</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42782" w:rsidRDefault="00236082">
            <w:pPr>
              <w:pStyle w:val="TAL"/>
            </w:pPr>
            <w:r>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642782" w:rsidRDefault="00236082">
            <w:pPr>
              <w:pStyle w:val="TAL"/>
              <w:rPr>
                <w:rFonts w:eastAsia="等线"/>
                <w:lang w:val="en-US"/>
              </w:rPr>
            </w:pPr>
            <w:r>
              <w:rPr>
                <w:lang w:val="en-US"/>
              </w:rPr>
              <w:t>Yes</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42782" w:rsidRDefault="00236082">
            <w:pPr>
              <w:pStyle w:val="TAL"/>
              <w:rPr>
                <w:bCs/>
              </w:rPr>
            </w:pPr>
            <w:r>
              <w:rPr>
                <w:bCs/>
                <w:lang w:val="en-US"/>
              </w:rPr>
              <w:t>Per UE</w:t>
            </w:r>
          </w:p>
        </w:tc>
        <w:tc>
          <w:tcPr>
            <w:tcW w:w="1268" w:type="dxa"/>
            <w:tcBorders>
              <w:top w:val="single" w:sz="4" w:space="0" w:color="auto"/>
              <w:left w:val="single" w:sz="4" w:space="0" w:color="auto"/>
              <w:bottom w:val="single" w:sz="4" w:space="0" w:color="auto"/>
              <w:right w:val="single" w:sz="4" w:space="0" w:color="auto"/>
            </w:tcBorders>
            <w:shd w:val="clear" w:color="auto" w:fill="auto"/>
          </w:tcPr>
          <w:p w:rsidR="00642782" w:rsidRDefault="00236082">
            <w:pPr>
              <w:pStyle w:val="TAL"/>
            </w:pPr>
            <w:r>
              <w:t>Optional with capability signalling</w:t>
            </w:r>
          </w:p>
        </w:tc>
      </w:tr>
      <w:tr w:rsidR="00642782">
        <w:trPr>
          <w:trHeight w:val="17"/>
        </w:trPr>
        <w:tc>
          <w:tcPr>
            <w:tcW w:w="614" w:type="dxa"/>
            <w:tcBorders>
              <w:top w:val="single" w:sz="4" w:space="0" w:color="auto"/>
              <w:left w:val="single" w:sz="4" w:space="0" w:color="auto"/>
              <w:bottom w:val="single" w:sz="4" w:space="0" w:color="auto"/>
              <w:right w:val="single" w:sz="4" w:space="0" w:color="auto"/>
            </w:tcBorders>
            <w:shd w:val="clear" w:color="auto" w:fill="auto"/>
          </w:tcPr>
          <w:p w:rsidR="00642782" w:rsidRDefault="00236082">
            <w:pPr>
              <w:pStyle w:val="TAL"/>
              <w:rPr>
                <w:rFonts w:asciiTheme="majorHAnsi" w:hAnsiTheme="majorHAnsi" w:cstheme="majorHAnsi"/>
                <w:szCs w:val="18"/>
              </w:rPr>
            </w:pPr>
            <w:r>
              <w:rPr>
                <w:lang w:val="en-US"/>
              </w:rPr>
              <w:t>x-3</w:t>
            </w: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642782" w:rsidRDefault="00236082">
            <w:pPr>
              <w:pStyle w:val="TAL"/>
              <w:rPr>
                <w:rFonts w:asciiTheme="majorHAnsi" w:eastAsia="宋体" w:hAnsiTheme="majorHAnsi" w:cstheme="majorHAnsi"/>
                <w:szCs w:val="18"/>
                <w:lang w:val="en-US"/>
              </w:rPr>
            </w:pPr>
            <w:r>
              <w:rPr>
                <w:lang w:val="en-US"/>
              </w:rPr>
              <w:t>CPAC</w:t>
            </w:r>
          </w:p>
        </w:tc>
        <w:tc>
          <w:tcPr>
            <w:tcW w:w="1897" w:type="dxa"/>
            <w:tcBorders>
              <w:top w:val="single" w:sz="4" w:space="0" w:color="auto"/>
              <w:left w:val="single" w:sz="4" w:space="0" w:color="auto"/>
              <w:bottom w:val="single" w:sz="4" w:space="0" w:color="auto"/>
              <w:right w:val="single" w:sz="4" w:space="0" w:color="auto"/>
            </w:tcBorders>
            <w:shd w:val="clear" w:color="auto" w:fill="auto"/>
          </w:tcPr>
          <w:p w:rsidR="00642782" w:rsidRDefault="00236082">
            <w:pPr>
              <w:snapToGrid w:val="0"/>
              <w:spacing w:afterLines="50" w:after="120"/>
              <w:jc w:val="both"/>
              <w:rPr>
                <w:sz w:val="18"/>
              </w:rPr>
            </w:pPr>
            <w:r>
              <w:rPr>
                <w:sz w:val="18"/>
              </w:rPr>
              <w:t>CPA for NR-DC</w:t>
            </w:r>
          </w:p>
          <w:p w:rsidR="00642782" w:rsidRDefault="00642782">
            <w:pPr>
              <w:pStyle w:val="TAL"/>
              <w:rPr>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642782" w:rsidRDefault="00642782">
            <w:pPr>
              <w:pStyle w:val="TAL"/>
              <w:rPr>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42782" w:rsidRDefault="00236082">
            <w:pPr>
              <w:pStyle w:val="TAL"/>
              <w:rPr>
                <w:lang w:val="en-US"/>
              </w:rPr>
            </w:pPr>
            <w:r>
              <w:rPr>
                <w:lang w:val="en-US"/>
              </w:rPr>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642782" w:rsidRDefault="00236082">
            <w:pPr>
              <w:pStyle w:val="TAL"/>
            </w:pPr>
            <w:r>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42782" w:rsidRDefault="00236082">
            <w:pPr>
              <w:pStyle w:val="TAL"/>
              <w:rPr>
                <w:bCs/>
                <w:lang w:val="en-US"/>
              </w:rPr>
            </w:pPr>
            <w:r>
              <w:rPr>
                <w:bCs/>
                <w:lang w:val="en-US"/>
              </w:rPr>
              <w:t>Per UE</w:t>
            </w:r>
          </w:p>
        </w:tc>
        <w:tc>
          <w:tcPr>
            <w:tcW w:w="1268" w:type="dxa"/>
            <w:tcBorders>
              <w:top w:val="single" w:sz="4" w:space="0" w:color="auto"/>
              <w:left w:val="single" w:sz="4" w:space="0" w:color="auto"/>
              <w:bottom w:val="single" w:sz="4" w:space="0" w:color="auto"/>
              <w:right w:val="single" w:sz="4" w:space="0" w:color="auto"/>
            </w:tcBorders>
            <w:shd w:val="clear" w:color="auto" w:fill="auto"/>
          </w:tcPr>
          <w:p w:rsidR="00642782" w:rsidRDefault="00236082">
            <w:pPr>
              <w:pStyle w:val="TAL"/>
            </w:pPr>
            <w:r>
              <w:t>Optional with capability signalling</w:t>
            </w:r>
          </w:p>
        </w:tc>
      </w:tr>
      <w:tr w:rsidR="00642782">
        <w:trPr>
          <w:trHeight w:val="17"/>
        </w:trPr>
        <w:tc>
          <w:tcPr>
            <w:tcW w:w="614" w:type="dxa"/>
            <w:tcBorders>
              <w:top w:val="single" w:sz="4" w:space="0" w:color="auto"/>
              <w:left w:val="single" w:sz="4" w:space="0" w:color="auto"/>
              <w:bottom w:val="single" w:sz="4" w:space="0" w:color="auto"/>
              <w:right w:val="single" w:sz="4" w:space="0" w:color="auto"/>
            </w:tcBorders>
            <w:shd w:val="clear" w:color="auto" w:fill="auto"/>
          </w:tcPr>
          <w:p w:rsidR="00642782" w:rsidRDefault="00236082">
            <w:pPr>
              <w:pStyle w:val="TAL"/>
            </w:pPr>
            <w:r>
              <w:rPr>
                <w:lang w:val="en-US"/>
              </w:rPr>
              <w:t>x-</w:t>
            </w:r>
            <w:r>
              <w:t>4</w:t>
            </w: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642782" w:rsidRDefault="00236082">
            <w:pPr>
              <w:snapToGrid w:val="0"/>
              <w:spacing w:afterLines="50" w:after="120"/>
              <w:jc w:val="both"/>
              <w:rPr>
                <w:sz w:val="18"/>
              </w:rPr>
            </w:pPr>
            <w:r>
              <w:rPr>
                <w:sz w:val="18"/>
              </w:rPr>
              <w:t>CPAC</w:t>
            </w:r>
          </w:p>
          <w:p w:rsidR="00642782" w:rsidRDefault="00642782">
            <w:pPr>
              <w:pStyle w:val="TAL"/>
            </w:pPr>
          </w:p>
        </w:tc>
        <w:tc>
          <w:tcPr>
            <w:tcW w:w="1897" w:type="dxa"/>
            <w:tcBorders>
              <w:top w:val="single" w:sz="4" w:space="0" w:color="auto"/>
              <w:left w:val="single" w:sz="4" w:space="0" w:color="auto"/>
              <w:bottom w:val="single" w:sz="4" w:space="0" w:color="auto"/>
              <w:right w:val="single" w:sz="4" w:space="0" w:color="auto"/>
            </w:tcBorders>
            <w:shd w:val="clear" w:color="auto" w:fill="auto"/>
          </w:tcPr>
          <w:p w:rsidR="00642782" w:rsidRDefault="00236082">
            <w:pPr>
              <w:snapToGrid w:val="0"/>
              <w:spacing w:afterLines="50" w:after="120"/>
              <w:jc w:val="both"/>
              <w:rPr>
                <w:sz w:val="18"/>
              </w:rPr>
            </w:pPr>
            <w:r>
              <w:rPr>
                <w:sz w:val="18"/>
              </w:rPr>
              <w:t>CPA for (NG)EN-DC</w:t>
            </w:r>
          </w:p>
          <w:p w:rsidR="00642782" w:rsidRDefault="00642782">
            <w:pPr>
              <w:pStyle w:val="TAL"/>
              <w:rPr>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642782" w:rsidRDefault="00642782">
            <w:pPr>
              <w:pStyle w:val="TAL"/>
              <w:rPr>
                <w:lang w:val="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42782" w:rsidRDefault="00236082">
            <w:pPr>
              <w:pStyle w:val="TAL"/>
              <w:rPr>
                <w:lang w:val="en-US"/>
              </w:rPr>
            </w:pPr>
            <w:r>
              <w:rPr>
                <w:lang w:val="en-US"/>
              </w:rPr>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642782" w:rsidRDefault="00236082">
            <w:pPr>
              <w:pStyle w:val="TAL"/>
            </w:pPr>
            <w:r>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42782" w:rsidRDefault="00236082">
            <w:pPr>
              <w:pStyle w:val="TAL"/>
              <w:rPr>
                <w:bCs/>
                <w:lang w:val="en-US"/>
              </w:rPr>
            </w:pPr>
            <w:r>
              <w:rPr>
                <w:bCs/>
                <w:lang w:val="en-US"/>
              </w:rPr>
              <w:t>Per UE</w:t>
            </w:r>
          </w:p>
        </w:tc>
        <w:tc>
          <w:tcPr>
            <w:tcW w:w="1268" w:type="dxa"/>
            <w:tcBorders>
              <w:top w:val="single" w:sz="4" w:space="0" w:color="auto"/>
              <w:left w:val="single" w:sz="4" w:space="0" w:color="auto"/>
              <w:bottom w:val="single" w:sz="4" w:space="0" w:color="auto"/>
              <w:right w:val="single" w:sz="4" w:space="0" w:color="auto"/>
            </w:tcBorders>
            <w:shd w:val="clear" w:color="auto" w:fill="auto"/>
          </w:tcPr>
          <w:p w:rsidR="00642782" w:rsidRDefault="00236082">
            <w:pPr>
              <w:pStyle w:val="TAL"/>
            </w:pPr>
            <w:r>
              <w:t>Optional with capability signalling</w:t>
            </w:r>
          </w:p>
        </w:tc>
      </w:tr>
      <w:tr w:rsidR="00642782">
        <w:trPr>
          <w:trHeight w:val="17"/>
        </w:trPr>
        <w:tc>
          <w:tcPr>
            <w:tcW w:w="614" w:type="dxa"/>
            <w:tcBorders>
              <w:top w:val="single" w:sz="4" w:space="0" w:color="auto"/>
              <w:left w:val="single" w:sz="4" w:space="0" w:color="auto"/>
              <w:bottom w:val="single" w:sz="4" w:space="0" w:color="auto"/>
              <w:right w:val="single" w:sz="4" w:space="0" w:color="auto"/>
            </w:tcBorders>
            <w:shd w:val="clear" w:color="auto" w:fill="auto"/>
          </w:tcPr>
          <w:p w:rsidR="00642782" w:rsidRDefault="00236082">
            <w:pPr>
              <w:pStyle w:val="TAL"/>
            </w:pPr>
            <w:r>
              <w:rPr>
                <w:lang w:val="en-US"/>
              </w:rPr>
              <w:t>x</w:t>
            </w:r>
            <w:r>
              <w:t>-5</w:t>
            </w: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642782" w:rsidRDefault="00236082">
            <w:pPr>
              <w:pStyle w:val="TAL"/>
            </w:pPr>
            <w:r>
              <w:rPr>
                <w:lang w:val="en-US"/>
              </w:rPr>
              <w:t>CPAC</w:t>
            </w:r>
          </w:p>
        </w:tc>
        <w:tc>
          <w:tcPr>
            <w:tcW w:w="1897" w:type="dxa"/>
            <w:tcBorders>
              <w:top w:val="single" w:sz="4" w:space="0" w:color="auto"/>
              <w:left w:val="single" w:sz="4" w:space="0" w:color="auto"/>
              <w:bottom w:val="single" w:sz="4" w:space="0" w:color="auto"/>
              <w:right w:val="single" w:sz="4" w:space="0" w:color="auto"/>
            </w:tcBorders>
            <w:shd w:val="clear" w:color="auto" w:fill="auto"/>
          </w:tcPr>
          <w:p w:rsidR="00642782" w:rsidRDefault="00236082">
            <w:pPr>
              <w:snapToGrid w:val="0"/>
              <w:spacing w:afterLines="50" w:after="120"/>
              <w:jc w:val="both"/>
              <w:rPr>
                <w:sz w:val="18"/>
              </w:rPr>
            </w:pPr>
            <w:r>
              <w:rPr>
                <w:sz w:val="18"/>
              </w:rPr>
              <w:t>MN initiated CPC in NR-DC</w:t>
            </w:r>
          </w:p>
          <w:p w:rsidR="00642782" w:rsidRDefault="00642782">
            <w:pPr>
              <w:pStyle w:val="TAL"/>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642782" w:rsidRDefault="00236082">
            <w:pPr>
              <w:pStyle w:val="TAL"/>
              <w:rPr>
                <w:lang w:val="en-US"/>
              </w:rPr>
            </w:pPr>
            <w:r>
              <w:rPr>
                <w:lang w:val="en-US"/>
              </w:rPr>
              <w:t>FFS</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42782" w:rsidRDefault="00236082">
            <w:pPr>
              <w:pStyle w:val="TAL"/>
              <w:rPr>
                <w:lang w:val="en-US"/>
              </w:rPr>
            </w:pPr>
            <w:r>
              <w:rPr>
                <w:lang w:val="en-US"/>
              </w:rPr>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642782" w:rsidRDefault="00236082">
            <w:pPr>
              <w:pStyle w:val="TAL"/>
            </w:pPr>
            <w:r>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42782" w:rsidRDefault="00236082">
            <w:pPr>
              <w:pStyle w:val="TAL"/>
              <w:rPr>
                <w:bCs/>
                <w:lang w:val="en-US"/>
              </w:rPr>
            </w:pPr>
            <w:r>
              <w:rPr>
                <w:bCs/>
                <w:lang w:val="en-US"/>
              </w:rPr>
              <w:t>Per UE</w:t>
            </w:r>
          </w:p>
        </w:tc>
        <w:tc>
          <w:tcPr>
            <w:tcW w:w="1268" w:type="dxa"/>
            <w:tcBorders>
              <w:top w:val="single" w:sz="4" w:space="0" w:color="auto"/>
              <w:left w:val="single" w:sz="4" w:space="0" w:color="auto"/>
              <w:bottom w:val="single" w:sz="4" w:space="0" w:color="auto"/>
              <w:right w:val="single" w:sz="4" w:space="0" w:color="auto"/>
            </w:tcBorders>
            <w:shd w:val="clear" w:color="auto" w:fill="auto"/>
          </w:tcPr>
          <w:p w:rsidR="00642782" w:rsidRDefault="00236082">
            <w:pPr>
              <w:pStyle w:val="TAL"/>
              <w:rPr>
                <w:lang w:val="en-US"/>
              </w:rPr>
            </w:pPr>
            <w:r>
              <w:t>Optional with capability signalling</w:t>
            </w:r>
          </w:p>
        </w:tc>
      </w:tr>
      <w:tr w:rsidR="00642782">
        <w:trPr>
          <w:trHeight w:val="17"/>
        </w:trPr>
        <w:tc>
          <w:tcPr>
            <w:tcW w:w="614" w:type="dxa"/>
            <w:tcBorders>
              <w:top w:val="single" w:sz="4" w:space="0" w:color="auto"/>
              <w:left w:val="single" w:sz="4" w:space="0" w:color="auto"/>
              <w:bottom w:val="single" w:sz="4" w:space="0" w:color="auto"/>
              <w:right w:val="single" w:sz="4" w:space="0" w:color="auto"/>
            </w:tcBorders>
            <w:shd w:val="clear" w:color="auto" w:fill="auto"/>
          </w:tcPr>
          <w:p w:rsidR="00642782" w:rsidRDefault="00236082">
            <w:pPr>
              <w:pStyle w:val="TAL"/>
              <w:rPr>
                <w:rFonts w:asciiTheme="majorHAnsi" w:hAnsiTheme="majorHAnsi" w:cstheme="majorHAnsi"/>
                <w:szCs w:val="18"/>
              </w:rPr>
            </w:pPr>
            <w:r>
              <w:rPr>
                <w:lang w:val="en-US"/>
              </w:rPr>
              <w:t>x</w:t>
            </w:r>
            <w:r>
              <w:t>-6</w:t>
            </w:r>
          </w:p>
        </w:tc>
        <w:tc>
          <w:tcPr>
            <w:tcW w:w="1354" w:type="dxa"/>
            <w:tcBorders>
              <w:top w:val="single" w:sz="4" w:space="0" w:color="auto"/>
              <w:left w:val="single" w:sz="4" w:space="0" w:color="auto"/>
              <w:bottom w:val="single" w:sz="4" w:space="0" w:color="auto"/>
              <w:right w:val="single" w:sz="4" w:space="0" w:color="auto"/>
            </w:tcBorders>
            <w:shd w:val="clear" w:color="auto" w:fill="auto"/>
          </w:tcPr>
          <w:p w:rsidR="00642782" w:rsidRDefault="00236082">
            <w:pPr>
              <w:pStyle w:val="TAL"/>
              <w:rPr>
                <w:rFonts w:asciiTheme="majorHAnsi" w:eastAsia="宋体" w:hAnsiTheme="majorHAnsi" w:cstheme="majorHAnsi"/>
                <w:szCs w:val="18"/>
              </w:rPr>
            </w:pPr>
            <w:r>
              <w:rPr>
                <w:lang w:val="en-US"/>
              </w:rPr>
              <w:t>CPAC</w:t>
            </w:r>
          </w:p>
        </w:tc>
        <w:tc>
          <w:tcPr>
            <w:tcW w:w="1897" w:type="dxa"/>
            <w:tcBorders>
              <w:top w:val="single" w:sz="4" w:space="0" w:color="auto"/>
              <w:left w:val="single" w:sz="4" w:space="0" w:color="auto"/>
              <w:bottom w:val="single" w:sz="4" w:space="0" w:color="auto"/>
              <w:right w:val="single" w:sz="4" w:space="0" w:color="auto"/>
            </w:tcBorders>
            <w:shd w:val="clear" w:color="auto" w:fill="auto"/>
          </w:tcPr>
          <w:p w:rsidR="00642782" w:rsidRDefault="00236082">
            <w:pPr>
              <w:snapToGrid w:val="0"/>
              <w:spacing w:afterLines="50" w:after="120"/>
              <w:jc w:val="both"/>
              <w:rPr>
                <w:sz w:val="18"/>
              </w:rPr>
            </w:pPr>
            <w:r>
              <w:rPr>
                <w:sz w:val="18"/>
              </w:rPr>
              <w:t>MN initiated CPC in (NG)EN-DC</w:t>
            </w:r>
          </w:p>
          <w:p w:rsidR="00642782" w:rsidRDefault="00642782">
            <w:pPr>
              <w:pStyle w:val="TAL"/>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642782" w:rsidRDefault="00236082">
            <w:pPr>
              <w:pStyle w:val="TAL"/>
              <w:rPr>
                <w:lang w:val="en-US"/>
              </w:rPr>
            </w:pPr>
            <w:r>
              <w:rPr>
                <w:lang w:val="en-US"/>
              </w:rPr>
              <w:t>FFS</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42782" w:rsidRDefault="00236082">
            <w:pPr>
              <w:pStyle w:val="TAL"/>
            </w:pPr>
            <w:r>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642782" w:rsidRDefault="00236082">
            <w:pPr>
              <w:pStyle w:val="TAL"/>
            </w:pPr>
            <w:r>
              <w:t>No</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42782" w:rsidRDefault="00236082">
            <w:pPr>
              <w:pStyle w:val="TAL"/>
              <w:rPr>
                <w:bCs/>
              </w:rPr>
            </w:pPr>
            <w:r>
              <w:rPr>
                <w:bCs/>
                <w:lang w:val="en-US"/>
              </w:rPr>
              <w:t>Per UE</w:t>
            </w:r>
          </w:p>
        </w:tc>
        <w:tc>
          <w:tcPr>
            <w:tcW w:w="1268" w:type="dxa"/>
            <w:tcBorders>
              <w:top w:val="single" w:sz="4" w:space="0" w:color="auto"/>
              <w:left w:val="single" w:sz="4" w:space="0" w:color="auto"/>
              <w:bottom w:val="single" w:sz="4" w:space="0" w:color="auto"/>
              <w:right w:val="single" w:sz="4" w:space="0" w:color="auto"/>
            </w:tcBorders>
            <w:shd w:val="clear" w:color="auto" w:fill="auto"/>
          </w:tcPr>
          <w:p w:rsidR="00642782" w:rsidRDefault="00236082">
            <w:pPr>
              <w:pStyle w:val="TAL"/>
            </w:pPr>
            <w:r>
              <w:t>Optional with capability signalling</w:t>
            </w:r>
          </w:p>
        </w:tc>
      </w:tr>
    </w:tbl>
    <w:p w:rsidR="00642782" w:rsidRDefault="00642782">
      <w:pPr>
        <w:pStyle w:val="Doc-text2"/>
        <w:rPr>
          <w:i/>
          <w:iCs/>
        </w:rPr>
      </w:pPr>
    </w:p>
    <w:p w:rsidR="00642782" w:rsidRDefault="00642782">
      <w:pPr>
        <w:pStyle w:val="Doc-text2"/>
        <w:rPr>
          <w:i/>
          <w:iCs/>
        </w:rPr>
      </w:pPr>
    </w:p>
    <w:p w:rsidR="00642782" w:rsidRDefault="00236082">
      <w:pPr>
        <w:pStyle w:val="Agreement"/>
        <w:overflowPunct/>
        <w:autoSpaceDE/>
        <w:autoSpaceDN/>
        <w:adjustRightInd/>
        <w:ind w:left="1619" w:hanging="360"/>
      </w:pPr>
      <w:r>
        <w:t xml:space="preserve">2: RAN2 to </w:t>
      </w:r>
      <w:proofErr w:type="spellStart"/>
      <w:r>
        <w:t>further</w:t>
      </w:r>
      <w:proofErr w:type="spellEnd"/>
      <w:r>
        <w:t xml:space="preserve"> </w:t>
      </w:r>
      <w:proofErr w:type="spellStart"/>
      <w:r>
        <w:t>discuss</w:t>
      </w:r>
      <w:proofErr w:type="spellEnd"/>
      <w:r>
        <w:t xml:space="preserve"> the </w:t>
      </w:r>
      <w:proofErr w:type="spellStart"/>
      <w:r>
        <w:t>following</w:t>
      </w:r>
      <w:proofErr w:type="spellEnd"/>
      <w:r>
        <w:t xml:space="preserve"> open issues in the </w:t>
      </w:r>
      <w:proofErr w:type="spellStart"/>
      <w:r>
        <w:t>next</w:t>
      </w:r>
      <w:proofErr w:type="spellEnd"/>
      <w:r>
        <w:t xml:space="preserve"> meeting:</w:t>
      </w:r>
    </w:p>
    <w:p w:rsidR="00642782" w:rsidRDefault="00236082">
      <w:pPr>
        <w:pStyle w:val="Agreement"/>
        <w:numPr>
          <w:ilvl w:val="0"/>
          <w:numId w:val="0"/>
        </w:numPr>
        <w:ind w:left="1619"/>
      </w:pPr>
      <w:r>
        <w:t>1)</w:t>
      </w:r>
      <w:r>
        <w:tab/>
      </w:r>
      <w:proofErr w:type="spellStart"/>
      <w:r>
        <w:t>Whether</w:t>
      </w:r>
      <w:proofErr w:type="spellEnd"/>
      <w:r>
        <w:t xml:space="preserve"> to use condPSCellChange-r16 as the </w:t>
      </w:r>
      <w:proofErr w:type="spellStart"/>
      <w:r>
        <w:t>Prerequisite</w:t>
      </w:r>
      <w:proofErr w:type="spellEnd"/>
      <w:r>
        <w:t xml:space="preserve"> for R17 MN </w:t>
      </w:r>
      <w:proofErr w:type="spellStart"/>
      <w:r>
        <w:t>initiated</w:t>
      </w:r>
      <w:proofErr w:type="spellEnd"/>
      <w:r>
        <w:t xml:space="preserve"> CPC?</w:t>
      </w:r>
    </w:p>
    <w:p w:rsidR="00642782" w:rsidRDefault="00236082">
      <w:pPr>
        <w:pStyle w:val="Agreement"/>
        <w:numPr>
          <w:ilvl w:val="0"/>
          <w:numId w:val="0"/>
        </w:numPr>
        <w:ind w:left="1619"/>
      </w:pPr>
      <w:r>
        <w:t>2)</w:t>
      </w:r>
      <w:r>
        <w:tab/>
      </w:r>
      <w:proofErr w:type="spellStart"/>
      <w:r>
        <w:t>Whether</w:t>
      </w:r>
      <w:proofErr w:type="spellEnd"/>
      <w:r>
        <w:t xml:space="preserve"> to </w:t>
      </w:r>
      <w:proofErr w:type="spellStart"/>
      <w:r>
        <w:t>reuse</w:t>
      </w:r>
      <w:proofErr w:type="spellEnd"/>
      <w:r>
        <w:t xml:space="preserve"> R15 RLF/BFD UE </w:t>
      </w:r>
      <w:proofErr w:type="spellStart"/>
      <w:r>
        <w:t>capabilities</w:t>
      </w:r>
      <w:proofErr w:type="spellEnd"/>
      <w:r>
        <w:t xml:space="preserve"> for RLF/BFD monitoring on </w:t>
      </w:r>
      <w:proofErr w:type="spellStart"/>
      <w:r>
        <w:t>deactivated</w:t>
      </w:r>
      <w:proofErr w:type="spellEnd"/>
      <w:r>
        <w:t xml:space="preserve"> SCG?</w:t>
      </w:r>
    </w:p>
    <w:p w:rsidR="00642782" w:rsidRDefault="00236082">
      <w:pPr>
        <w:pStyle w:val="Agreement"/>
        <w:numPr>
          <w:ilvl w:val="0"/>
          <w:numId w:val="0"/>
        </w:numPr>
        <w:ind w:left="1619"/>
      </w:pPr>
      <w:r>
        <w:lastRenderedPageBreak/>
        <w:t>3)</w:t>
      </w:r>
      <w:r>
        <w:tab/>
      </w:r>
      <w:proofErr w:type="spellStart"/>
      <w:r>
        <w:t>Whether</w:t>
      </w:r>
      <w:proofErr w:type="spellEnd"/>
      <w:r>
        <w:t xml:space="preserve"> to </w:t>
      </w:r>
      <w:proofErr w:type="spellStart"/>
      <w:r>
        <w:t>make</w:t>
      </w:r>
      <w:proofErr w:type="spellEnd"/>
      <w:r>
        <w:t xml:space="preserve"> support of RLM/BFD monitoring on </w:t>
      </w:r>
      <w:proofErr w:type="spellStart"/>
      <w:r>
        <w:t>deactivated</w:t>
      </w:r>
      <w:proofErr w:type="spellEnd"/>
      <w:r>
        <w:t xml:space="preserve"> SCG as the </w:t>
      </w:r>
      <w:proofErr w:type="spellStart"/>
      <w:r>
        <w:t>Prerequisite</w:t>
      </w:r>
      <w:proofErr w:type="spellEnd"/>
      <w:r>
        <w:t xml:space="preserve"> for </w:t>
      </w:r>
      <w:proofErr w:type="spellStart"/>
      <w:r>
        <w:t>Rachless</w:t>
      </w:r>
      <w:proofErr w:type="spellEnd"/>
      <w:r>
        <w:t xml:space="preserve"> SCG activation?</w:t>
      </w:r>
    </w:p>
    <w:p w:rsidR="00642782" w:rsidRDefault="00236082">
      <w:pPr>
        <w:pStyle w:val="Agreement"/>
        <w:numPr>
          <w:ilvl w:val="0"/>
          <w:numId w:val="0"/>
        </w:numPr>
        <w:ind w:left="1619"/>
      </w:pPr>
      <w:r>
        <w:t>4)</w:t>
      </w:r>
      <w:r>
        <w:tab/>
      </w:r>
      <w:proofErr w:type="spellStart"/>
      <w:r>
        <w:t>Whether</w:t>
      </w:r>
      <w:proofErr w:type="spellEnd"/>
      <w:r>
        <w:t xml:space="preserve"> to have </w:t>
      </w:r>
      <w:proofErr w:type="spellStart"/>
      <w:r>
        <w:t>separate</w:t>
      </w:r>
      <w:proofErr w:type="spellEnd"/>
      <w:r>
        <w:t xml:space="preserve"> </w:t>
      </w:r>
      <w:proofErr w:type="spellStart"/>
      <w:r>
        <w:t>capabilities</w:t>
      </w:r>
      <w:proofErr w:type="spellEnd"/>
      <w:r>
        <w:t xml:space="preserve"> for Activation/</w:t>
      </w:r>
      <w:proofErr w:type="spellStart"/>
      <w:r>
        <w:t>Deactivation</w:t>
      </w:r>
      <w:proofErr w:type="spellEnd"/>
      <w:r>
        <w:t xml:space="preserve"> of SCG in </w:t>
      </w:r>
      <w:proofErr w:type="spellStart"/>
      <w:r>
        <w:t>Resume</w:t>
      </w:r>
      <w:proofErr w:type="spellEnd"/>
      <w:r>
        <w:t xml:space="preserve"> and Reconfiguration cases?</w:t>
      </w:r>
    </w:p>
    <w:p w:rsidR="00642782" w:rsidRDefault="00236082">
      <w:pPr>
        <w:rPr>
          <w:rFonts w:eastAsia="宋体"/>
          <w:lang w:eastAsia="zh-CN"/>
        </w:rPr>
      </w:pPr>
      <w:r>
        <w:rPr>
          <w:rFonts w:eastAsia="宋体"/>
          <w:lang w:eastAsia="zh-CN"/>
        </w:rPr>
        <w:t xml:space="preserve"> </w:t>
      </w:r>
    </w:p>
    <w:p w:rsidR="00642782" w:rsidRDefault="00236082">
      <w:pPr>
        <w:pStyle w:val="Heading1"/>
        <w:numPr>
          <w:ilvl w:val="0"/>
          <w:numId w:val="11"/>
        </w:numPr>
        <w:rPr>
          <w:rFonts w:eastAsia="宋体"/>
          <w:lang w:eastAsia="zh-CN"/>
        </w:rPr>
      </w:pPr>
      <w:bookmarkStart w:id="2" w:name="OLE_LINK1"/>
      <w:bookmarkStart w:id="3" w:name="OLE_LINK2"/>
      <w:r>
        <w:rPr>
          <w:rFonts w:eastAsia="宋体"/>
          <w:lang w:eastAsia="zh-CN"/>
        </w:rPr>
        <w:t>Discussion</w:t>
      </w:r>
    </w:p>
    <w:p w:rsidR="00642782" w:rsidRDefault="00236082">
      <w:pPr>
        <w:pStyle w:val="Heading2"/>
        <w:numPr>
          <w:ilvl w:val="1"/>
          <w:numId w:val="11"/>
        </w:numPr>
        <w:rPr>
          <w:rFonts w:eastAsia="宋体"/>
          <w:lang w:eastAsia="zh-CN"/>
        </w:rPr>
      </w:pPr>
      <w:r>
        <w:rPr>
          <w:rFonts w:eastAsia="宋体"/>
          <w:lang w:eastAsia="zh-CN"/>
        </w:rPr>
        <w:t>SCG activation/deactivation</w:t>
      </w:r>
    </w:p>
    <w:p w:rsidR="00642782" w:rsidRDefault="00236082">
      <w:pPr>
        <w:rPr>
          <w:rFonts w:eastAsia="宋体"/>
          <w:lang w:eastAsia="zh-CN"/>
        </w:rPr>
      </w:pPr>
      <w:r>
        <w:rPr>
          <w:rFonts w:eastAsia="宋体"/>
          <w:lang w:eastAsia="zh-CN"/>
        </w:rPr>
        <w:t xml:space="preserve">When the SCG is deactivated, the SCG will not send the TA command to the UE. </w:t>
      </w:r>
      <w:proofErr w:type="spellStart"/>
      <w:r>
        <w:rPr>
          <w:rFonts w:eastAsia="宋体"/>
          <w:lang w:eastAsia="zh-CN"/>
        </w:rPr>
        <w:t>Althought</w:t>
      </w:r>
      <w:proofErr w:type="spellEnd"/>
      <w:r>
        <w:rPr>
          <w:rFonts w:eastAsia="宋体"/>
          <w:lang w:eastAsia="zh-CN"/>
        </w:rPr>
        <w:t xml:space="preserve"> the TAT is still running, we think the maintenance of uplink time </w:t>
      </w:r>
      <w:proofErr w:type="spellStart"/>
      <w:r>
        <w:rPr>
          <w:rFonts w:eastAsia="宋体"/>
          <w:lang w:eastAsia="zh-CN"/>
        </w:rPr>
        <w:t>aligment</w:t>
      </w:r>
      <w:proofErr w:type="spellEnd"/>
      <w:r>
        <w:rPr>
          <w:rFonts w:eastAsia="宋体"/>
          <w:lang w:eastAsia="zh-CN"/>
        </w:rPr>
        <w:t xml:space="preserve"> in the SCG deactivation is less reliable than the normal case.  </w:t>
      </w:r>
      <w:proofErr w:type="gramStart"/>
      <w:r>
        <w:rPr>
          <w:rFonts w:eastAsia="宋体"/>
          <w:lang w:eastAsia="zh-CN"/>
        </w:rPr>
        <w:t>Also  RAN2</w:t>
      </w:r>
      <w:proofErr w:type="gramEnd"/>
      <w:r>
        <w:rPr>
          <w:rFonts w:eastAsia="宋体"/>
          <w:lang w:eastAsia="zh-CN"/>
        </w:rPr>
        <w:t xml:space="preserve"> has agreed that the UE can perform random access towards the PSCell </w:t>
      </w:r>
      <w:proofErr w:type="spellStart"/>
      <w:r>
        <w:rPr>
          <w:rFonts w:eastAsia="宋体"/>
          <w:lang w:eastAsia="zh-CN"/>
        </w:rPr>
        <w:t>accroding</w:t>
      </w:r>
      <w:proofErr w:type="spellEnd"/>
      <w:r>
        <w:rPr>
          <w:rFonts w:eastAsia="宋体"/>
          <w:lang w:eastAsia="zh-CN"/>
        </w:rPr>
        <w:t xml:space="preserve"> the indication in the SCG activation command even if the TAT is still running. </w:t>
      </w:r>
      <w:proofErr w:type="gramStart"/>
      <w:r>
        <w:rPr>
          <w:rFonts w:eastAsia="宋体"/>
          <w:lang w:eastAsia="zh-CN"/>
        </w:rPr>
        <w:t>Therefore</w:t>
      </w:r>
      <w:proofErr w:type="gramEnd"/>
      <w:r>
        <w:rPr>
          <w:rFonts w:eastAsia="宋体"/>
          <w:lang w:eastAsia="zh-CN"/>
        </w:rPr>
        <w:t xml:space="preserve"> we think RAN2 can </w:t>
      </w:r>
      <w:proofErr w:type="spellStart"/>
      <w:r>
        <w:rPr>
          <w:rFonts w:eastAsia="宋体"/>
          <w:lang w:eastAsia="zh-CN"/>
        </w:rPr>
        <w:t>introdcue</w:t>
      </w:r>
      <w:proofErr w:type="spellEnd"/>
      <w:r>
        <w:rPr>
          <w:rFonts w:eastAsia="宋体"/>
          <w:lang w:eastAsia="zh-CN"/>
        </w:rPr>
        <w:t xml:space="preserve"> one UE capability for the RACH less SCG activation.</w:t>
      </w:r>
    </w:p>
    <w:p w:rsidR="00642782" w:rsidRDefault="00236082">
      <w:pPr>
        <w:pStyle w:val="Proposal"/>
      </w:pPr>
      <w:r>
        <w:t>Introduce one UE capability for RACH-less SCG activation.</w:t>
      </w:r>
    </w:p>
    <w:p w:rsidR="00642782" w:rsidRDefault="00236082">
      <w:pPr>
        <w:rPr>
          <w:rFonts w:eastAsia="宋体"/>
          <w:lang w:eastAsia="zh-CN"/>
        </w:rPr>
      </w:pPr>
      <w:r>
        <w:rPr>
          <w:rFonts w:eastAsia="宋体"/>
          <w:lang w:eastAsia="zh-CN"/>
        </w:rPr>
        <w:t xml:space="preserve">For the RLM/BFD in R15, the BFD is mandated for FR2 and optional for FR1. The RLM for SCG is mandated. The motivation of SCG deactivation is to reduce the power consumption. If the UE does not support the RACH less for the SCG activation, it seems that the UE does not need to perform the RLF/BFD during the SCG deactivation. </w:t>
      </w:r>
      <w:proofErr w:type="gramStart"/>
      <w:r>
        <w:rPr>
          <w:rFonts w:eastAsia="宋体"/>
          <w:lang w:eastAsia="zh-CN"/>
        </w:rPr>
        <w:t>Therefore</w:t>
      </w:r>
      <w:proofErr w:type="gramEnd"/>
      <w:r>
        <w:rPr>
          <w:rFonts w:eastAsia="宋体"/>
          <w:lang w:eastAsia="zh-CN"/>
        </w:rPr>
        <w:t xml:space="preserve"> we propose to introduce new UE capabilities for the RLM/BFD during the SCG deactivation.</w:t>
      </w:r>
    </w:p>
    <w:p w:rsidR="00642782" w:rsidRDefault="00236082">
      <w:pPr>
        <w:pStyle w:val="Proposal"/>
      </w:pPr>
      <w:r>
        <w:t xml:space="preserve">Introduce new UE capabilities for the RLM/BFD during the SCG deactivation </w:t>
      </w:r>
    </w:p>
    <w:p w:rsidR="00642782" w:rsidRDefault="00236082">
      <w:pPr>
        <w:rPr>
          <w:rFonts w:eastAsia="宋体"/>
          <w:lang w:eastAsia="zh-CN"/>
        </w:rPr>
      </w:pPr>
      <w:proofErr w:type="gramStart"/>
      <w:r>
        <w:rPr>
          <w:rFonts w:eastAsia="宋体"/>
          <w:lang w:eastAsia="zh-CN"/>
        </w:rPr>
        <w:t>Also</w:t>
      </w:r>
      <w:proofErr w:type="gramEnd"/>
      <w:r>
        <w:rPr>
          <w:rFonts w:eastAsia="宋体"/>
          <w:lang w:eastAsia="zh-CN"/>
        </w:rPr>
        <w:t xml:space="preserve"> RAN2 thinks the RACH less SCG activation only depends on the TAT. </w:t>
      </w:r>
      <w:proofErr w:type="gramStart"/>
      <w:r>
        <w:rPr>
          <w:rFonts w:eastAsia="宋体"/>
          <w:lang w:eastAsia="zh-CN"/>
        </w:rPr>
        <w:t>Therefore</w:t>
      </w:r>
      <w:proofErr w:type="gramEnd"/>
      <w:r>
        <w:rPr>
          <w:rFonts w:eastAsia="宋体"/>
          <w:lang w:eastAsia="zh-CN"/>
        </w:rPr>
        <w:t xml:space="preserve"> we think RLM/BFD monitoring is not mandated for the RACH less SCG activation.</w:t>
      </w:r>
    </w:p>
    <w:p w:rsidR="00642782" w:rsidRDefault="00236082">
      <w:pPr>
        <w:pStyle w:val="Proposal"/>
      </w:pPr>
      <w:r>
        <w:rPr>
          <w:rFonts w:eastAsia="宋体"/>
          <w:lang w:eastAsia="zh-CN"/>
        </w:rPr>
        <w:t xml:space="preserve">RLM/BFD monitoring is not </w:t>
      </w:r>
      <w:r>
        <w:t>the prerequisite of RACH-less SCG activation.</w:t>
      </w:r>
    </w:p>
    <w:p w:rsidR="00642782" w:rsidRDefault="00236082">
      <w:pPr>
        <w:rPr>
          <w:rFonts w:eastAsia="宋体"/>
          <w:lang w:eastAsia="zh-CN"/>
        </w:rPr>
      </w:pPr>
      <w:r>
        <w:rPr>
          <w:rFonts w:eastAsia="宋体"/>
          <w:lang w:eastAsia="zh-CN"/>
        </w:rPr>
        <w:t xml:space="preserve">In R16 direct SCell activation, we have separate capabilities for the direct SCell activation in Resume and reconfiguration case. </w:t>
      </w:r>
      <w:proofErr w:type="gramStart"/>
      <w:r>
        <w:rPr>
          <w:rFonts w:eastAsia="宋体"/>
          <w:lang w:eastAsia="zh-CN"/>
        </w:rPr>
        <w:t>Therefore</w:t>
      </w:r>
      <w:proofErr w:type="gramEnd"/>
      <w:r>
        <w:rPr>
          <w:rFonts w:eastAsia="宋体"/>
          <w:lang w:eastAsia="zh-CN"/>
        </w:rPr>
        <w:t xml:space="preserve"> we can use the same principles for the SCG (de)activation.</w:t>
      </w:r>
    </w:p>
    <w:p w:rsidR="00642782" w:rsidRDefault="00236082">
      <w:pPr>
        <w:pStyle w:val="Proposal"/>
        <w:rPr>
          <w:rFonts w:eastAsia="宋体"/>
          <w:lang w:eastAsia="zh-CN"/>
        </w:rPr>
      </w:pPr>
      <w:r>
        <w:rPr>
          <w:rFonts w:eastAsia="宋体"/>
          <w:lang w:eastAsia="zh-CN"/>
        </w:rPr>
        <w:t>Use separate capabilities for SCG (de)activation in Resume and reconfiguration.</w:t>
      </w:r>
    </w:p>
    <w:p w:rsidR="00642782" w:rsidRDefault="00236082">
      <w:pPr>
        <w:pStyle w:val="Proposal"/>
        <w:numPr>
          <w:ilvl w:val="0"/>
          <w:numId w:val="0"/>
        </w:numPr>
        <w:rPr>
          <w:rFonts w:eastAsia="宋体"/>
          <w:b w:val="0"/>
          <w:lang w:eastAsia="zh-CN"/>
        </w:rPr>
      </w:pPr>
      <w:r>
        <w:rPr>
          <w:rFonts w:eastAsia="宋体"/>
          <w:b w:val="0"/>
          <w:lang w:eastAsia="zh-CN"/>
        </w:rPr>
        <w:t>The (NG</w:t>
      </w:r>
      <w:proofErr w:type="gramStart"/>
      <w:r>
        <w:rPr>
          <w:rFonts w:eastAsia="宋体"/>
          <w:b w:val="0"/>
          <w:lang w:eastAsia="zh-CN"/>
        </w:rPr>
        <w:t>)EN</w:t>
      </w:r>
      <w:proofErr w:type="gramEnd"/>
      <w:r>
        <w:rPr>
          <w:rFonts w:eastAsia="宋体"/>
          <w:b w:val="0"/>
          <w:lang w:eastAsia="zh-CN"/>
        </w:rPr>
        <w:t>-DC and NR-DC have different impacts on the specification. The UE vendors may want to support the SCG (de)activation in different timetable. Therefore we think RAN2 need to introduce different capabilities for NR-DC and (NG</w:t>
      </w:r>
      <w:proofErr w:type="gramStart"/>
      <w:r>
        <w:rPr>
          <w:rFonts w:eastAsia="宋体"/>
          <w:b w:val="0"/>
          <w:lang w:eastAsia="zh-CN"/>
        </w:rPr>
        <w:t>)EN</w:t>
      </w:r>
      <w:proofErr w:type="gramEnd"/>
      <w:r>
        <w:rPr>
          <w:rFonts w:eastAsia="宋体"/>
          <w:b w:val="0"/>
          <w:lang w:eastAsia="zh-CN"/>
        </w:rPr>
        <w:t xml:space="preserve">-DC. </w:t>
      </w:r>
      <w:proofErr w:type="gramStart"/>
      <w:r>
        <w:rPr>
          <w:rFonts w:eastAsia="宋体"/>
          <w:b w:val="0"/>
          <w:lang w:eastAsia="zh-CN"/>
        </w:rPr>
        <w:t>And</w:t>
      </w:r>
      <w:proofErr w:type="gramEnd"/>
      <w:r>
        <w:rPr>
          <w:rFonts w:eastAsia="宋体"/>
          <w:b w:val="0"/>
          <w:lang w:eastAsia="zh-CN"/>
        </w:rPr>
        <w:t xml:space="preserve"> we does not see the strong reasons to distinguish the </w:t>
      </w:r>
      <w:proofErr w:type="spellStart"/>
      <w:r>
        <w:rPr>
          <w:rFonts w:eastAsia="宋体"/>
          <w:b w:val="0"/>
          <w:lang w:eastAsia="zh-CN"/>
        </w:rPr>
        <w:t>capabilites</w:t>
      </w:r>
      <w:proofErr w:type="spellEnd"/>
      <w:r>
        <w:rPr>
          <w:rFonts w:eastAsia="宋体"/>
          <w:b w:val="0"/>
          <w:lang w:eastAsia="zh-CN"/>
        </w:rPr>
        <w:t xml:space="preserve"> for FRX/XDD.</w:t>
      </w:r>
    </w:p>
    <w:p w:rsidR="00642782" w:rsidRDefault="00236082">
      <w:pPr>
        <w:pStyle w:val="Proposal"/>
        <w:rPr>
          <w:rFonts w:eastAsia="宋体"/>
          <w:lang w:eastAsia="zh-CN"/>
        </w:rPr>
      </w:pPr>
      <w:r>
        <w:rPr>
          <w:rFonts w:eastAsia="宋体"/>
          <w:lang w:eastAsia="zh-CN"/>
        </w:rPr>
        <w:t>All the UE capabilities for SCG (de)activation are set per UE.</w:t>
      </w:r>
    </w:p>
    <w:p w:rsidR="00642782" w:rsidRDefault="00236082">
      <w:pPr>
        <w:pStyle w:val="Heading2"/>
        <w:numPr>
          <w:ilvl w:val="1"/>
          <w:numId w:val="11"/>
        </w:numPr>
        <w:rPr>
          <w:rFonts w:eastAsia="宋体"/>
          <w:lang w:eastAsia="zh-CN"/>
        </w:rPr>
      </w:pPr>
      <w:r>
        <w:rPr>
          <w:rFonts w:eastAsia="宋体" w:hint="eastAsia"/>
          <w:lang w:eastAsia="zh-CN"/>
        </w:rPr>
        <w:t>C</w:t>
      </w:r>
      <w:r>
        <w:rPr>
          <w:rFonts w:eastAsia="宋体"/>
          <w:lang w:eastAsia="zh-CN"/>
        </w:rPr>
        <w:t>PAC</w:t>
      </w:r>
    </w:p>
    <w:p w:rsidR="00642782" w:rsidRDefault="00236082">
      <w:pPr>
        <w:rPr>
          <w:rFonts w:eastAsia="宋体"/>
          <w:lang w:eastAsia="zh-CN"/>
        </w:rPr>
      </w:pPr>
      <w:r>
        <w:rPr>
          <w:rFonts w:eastAsia="宋体" w:hint="eastAsia"/>
          <w:lang w:eastAsia="zh-CN"/>
        </w:rPr>
        <w:t>F</w:t>
      </w:r>
      <w:r>
        <w:rPr>
          <w:rFonts w:eastAsia="宋体"/>
          <w:lang w:eastAsia="zh-CN"/>
        </w:rPr>
        <w:t>or the CPAC, the (NG</w:t>
      </w:r>
      <w:proofErr w:type="gramStart"/>
      <w:r>
        <w:rPr>
          <w:rFonts w:eastAsia="宋体"/>
          <w:lang w:eastAsia="zh-CN"/>
        </w:rPr>
        <w:t>)EN</w:t>
      </w:r>
      <w:proofErr w:type="gramEnd"/>
      <w:r>
        <w:rPr>
          <w:rFonts w:eastAsia="宋体"/>
          <w:lang w:eastAsia="zh-CN"/>
        </w:rPr>
        <w:t>-DC have impacts on the LTE specification and the UE vendors may want to support the CPAC for NR-DC and (NG)EN-DC in different timetable. Therefore we think the NR-DC and (NG</w:t>
      </w:r>
      <w:proofErr w:type="gramStart"/>
      <w:r>
        <w:rPr>
          <w:rFonts w:eastAsia="宋体"/>
          <w:lang w:eastAsia="zh-CN"/>
        </w:rPr>
        <w:t>)EN</w:t>
      </w:r>
      <w:proofErr w:type="gramEnd"/>
      <w:r>
        <w:rPr>
          <w:rFonts w:eastAsia="宋体"/>
          <w:lang w:eastAsia="zh-CN"/>
        </w:rPr>
        <w:t>-DC can have separate capabilities.</w:t>
      </w:r>
    </w:p>
    <w:p w:rsidR="00642782" w:rsidRDefault="00236082">
      <w:pPr>
        <w:rPr>
          <w:rFonts w:eastAsia="宋体"/>
          <w:lang w:eastAsia="zh-CN"/>
        </w:rPr>
      </w:pPr>
      <w:r>
        <w:rPr>
          <w:rFonts w:eastAsia="宋体" w:hint="eastAsia"/>
          <w:lang w:eastAsia="zh-CN"/>
        </w:rPr>
        <w:t>I</w:t>
      </w:r>
      <w:r>
        <w:rPr>
          <w:rFonts w:eastAsia="宋体"/>
          <w:lang w:eastAsia="zh-CN"/>
        </w:rPr>
        <w:t xml:space="preserve">n our understanding, from UE side, the processing of CPA and MN initiated CPC are same. </w:t>
      </w:r>
      <w:proofErr w:type="gramStart"/>
      <w:r>
        <w:rPr>
          <w:rFonts w:eastAsia="宋体"/>
          <w:lang w:eastAsia="zh-CN"/>
        </w:rPr>
        <w:t>Therefore</w:t>
      </w:r>
      <w:proofErr w:type="gramEnd"/>
      <w:r>
        <w:rPr>
          <w:rFonts w:eastAsia="宋体"/>
          <w:lang w:eastAsia="zh-CN"/>
        </w:rPr>
        <w:t xml:space="preserve"> it is not need to introduce the separate capabilities for these two features. For the SN initiated CPC, the UE behaviours is different from the behaviours in CPA and MN initiated CPC.  For example, the UE need send the SN RRCReconfigurationComplete message to the source SN after receiving the SN initiated CPC </w:t>
      </w:r>
      <w:proofErr w:type="gramStart"/>
      <w:r>
        <w:rPr>
          <w:rFonts w:eastAsia="宋体"/>
          <w:lang w:eastAsia="zh-CN"/>
        </w:rPr>
        <w:t>configuration .</w:t>
      </w:r>
      <w:proofErr w:type="gramEnd"/>
      <w:r>
        <w:rPr>
          <w:rFonts w:eastAsia="宋体"/>
          <w:lang w:eastAsia="zh-CN"/>
        </w:rPr>
        <w:t xml:space="preserve"> Also the UE behaviours and the network behaviours are different from the behaviours in R16 intra-SN </w:t>
      </w:r>
      <w:proofErr w:type="gramStart"/>
      <w:r>
        <w:rPr>
          <w:rFonts w:eastAsia="宋体"/>
          <w:lang w:eastAsia="zh-CN"/>
        </w:rPr>
        <w:t>CPC .</w:t>
      </w:r>
      <w:proofErr w:type="gramEnd"/>
      <w:r>
        <w:rPr>
          <w:rFonts w:eastAsia="宋体"/>
          <w:lang w:eastAsia="zh-CN"/>
        </w:rPr>
        <w:t xml:space="preserve"> </w:t>
      </w:r>
      <w:proofErr w:type="gramStart"/>
      <w:r>
        <w:rPr>
          <w:rFonts w:eastAsia="宋体"/>
          <w:lang w:eastAsia="zh-CN"/>
        </w:rPr>
        <w:t>Therefore</w:t>
      </w:r>
      <w:proofErr w:type="gramEnd"/>
      <w:r>
        <w:rPr>
          <w:rFonts w:eastAsia="宋体"/>
          <w:lang w:eastAsia="zh-CN"/>
        </w:rPr>
        <w:t xml:space="preserve"> we think a separate capability is needed for the SN initiated inter-SN CPC.</w:t>
      </w:r>
    </w:p>
    <w:p w:rsidR="00642782" w:rsidRDefault="00236082">
      <w:pPr>
        <w:pStyle w:val="Proposal"/>
        <w:numPr>
          <w:ilvl w:val="0"/>
          <w:numId w:val="0"/>
        </w:numPr>
        <w:rPr>
          <w:rFonts w:eastAsia="宋体"/>
          <w:b w:val="0"/>
          <w:lang w:eastAsia="zh-CN"/>
        </w:rPr>
      </w:pPr>
      <w:r>
        <w:rPr>
          <w:rFonts w:eastAsia="宋体"/>
          <w:b w:val="0"/>
          <w:lang w:eastAsia="zh-CN"/>
        </w:rPr>
        <w:t xml:space="preserve">In R16 intra-SN CPC, RAN2 introduces the following </w:t>
      </w:r>
      <w:proofErr w:type="spellStart"/>
      <w:r>
        <w:rPr>
          <w:rFonts w:eastAsia="宋体"/>
          <w:b w:val="0"/>
          <w:lang w:eastAsia="zh-CN"/>
        </w:rPr>
        <w:t>capabilites</w:t>
      </w:r>
      <w:proofErr w:type="spellEnd"/>
      <w:r>
        <w:rPr>
          <w:rFonts w:eastAsia="宋体"/>
          <w:b w:val="0"/>
          <w:lang w:eastAsia="zh-CN"/>
        </w:rPr>
        <w:t>.</w:t>
      </w:r>
    </w:p>
    <w:tbl>
      <w:tblPr>
        <w:tblW w:w="8638"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205"/>
        <w:gridCol w:w="636"/>
        <w:gridCol w:w="508"/>
        <w:gridCol w:w="636"/>
        <w:gridCol w:w="653"/>
      </w:tblGrid>
      <w:tr w:rsidR="00642782">
        <w:trPr>
          <w:cantSplit/>
          <w:trHeight w:val="1020"/>
          <w:tblHeader/>
        </w:trPr>
        <w:tc>
          <w:tcPr>
            <w:tcW w:w="6205" w:type="dxa"/>
            <w:tcBorders>
              <w:top w:val="single" w:sz="4" w:space="0" w:color="808080"/>
              <w:left w:val="single" w:sz="4" w:space="0" w:color="808080"/>
              <w:bottom w:val="single" w:sz="4" w:space="0" w:color="808080"/>
              <w:right w:val="single" w:sz="4" w:space="0" w:color="808080"/>
            </w:tcBorders>
            <w:shd w:val="clear" w:color="auto" w:fill="auto"/>
          </w:tcPr>
          <w:p w:rsidR="00642782" w:rsidRDefault="00236082">
            <w:pPr>
              <w:pStyle w:val="NormalWeb"/>
              <w:keepNext/>
              <w:keepLines/>
              <w:overflowPunct w:val="0"/>
              <w:autoSpaceDE w:val="0"/>
              <w:autoSpaceDN w:val="0"/>
              <w:adjustRightInd w:val="0"/>
              <w:spacing w:before="0" w:beforeAutospacing="0" w:after="0" w:afterAutospacing="0"/>
              <w:rPr>
                <w:rFonts w:cs="Arial"/>
                <w:b/>
                <w:i/>
                <w:szCs w:val="18"/>
              </w:rPr>
            </w:pPr>
            <w:r>
              <w:rPr>
                <w:rFonts w:ascii="Arial" w:eastAsia="Times New Roman" w:hAnsi="Arial" w:cs="Arial"/>
                <w:b/>
                <w:i/>
                <w:sz w:val="18"/>
                <w:szCs w:val="18"/>
                <w:lang w:bidi="ar"/>
              </w:rPr>
              <w:lastRenderedPageBreak/>
              <w:t>condPSCellChange-r16</w:t>
            </w:r>
          </w:p>
          <w:p w:rsidR="00642782" w:rsidRDefault="00236082">
            <w:pPr>
              <w:pStyle w:val="NormalWeb"/>
              <w:keepNext/>
              <w:keepLines/>
              <w:overflowPunct w:val="0"/>
              <w:autoSpaceDE w:val="0"/>
              <w:autoSpaceDN w:val="0"/>
              <w:adjustRightInd w:val="0"/>
              <w:spacing w:before="0" w:beforeAutospacing="0" w:after="0" w:afterAutospacing="0"/>
              <w:rPr>
                <w:b/>
                <w:i/>
              </w:rPr>
            </w:pPr>
            <w:r>
              <w:rPr>
                <w:rFonts w:ascii="Arial" w:eastAsia="MS PGothic" w:hAnsi="Arial" w:cs="Arial"/>
                <w:sz w:val="18"/>
                <w:szCs w:val="18"/>
                <w:lang w:bidi="ar"/>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636" w:type="dxa"/>
            <w:tcBorders>
              <w:top w:val="single" w:sz="4" w:space="0" w:color="808080"/>
              <w:left w:val="single" w:sz="4" w:space="0" w:color="808080"/>
              <w:bottom w:val="single" w:sz="4" w:space="0" w:color="808080"/>
              <w:right w:val="single" w:sz="4" w:space="0" w:color="808080"/>
            </w:tcBorders>
            <w:shd w:val="clear" w:color="auto" w:fill="auto"/>
          </w:tcPr>
          <w:p w:rsidR="00642782" w:rsidRDefault="00236082">
            <w:pPr>
              <w:pStyle w:val="NormalWeb"/>
              <w:keepNext/>
              <w:keepLines/>
              <w:overflowPunct w:val="0"/>
              <w:autoSpaceDE w:val="0"/>
              <w:autoSpaceDN w:val="0"/>
              <w:adjustRightInd w:val="0"/>
              <w:spacing w:before="0" w:beforeAutospacing="0" w:after="0" w:afterAutospacing="0"/>
              <w:jc w:val="center"/>
            </w:pPr>
            <w:r>
              <w:rPr>
                <w:rFonts w:ascii="Arial" w:eastAsia="MS Mincho" w:hAnsi="Arial" w:cs="Arial"/>
                <w:bCs/>
                <w:iCs/>
                <w:sz w:val="18"/>
                <w:szCs w:val="18"/>
                <w:lang w:bidi="ar"/>
              </w:rPr>
              <w:t>Band</w:t>
            </w:r>
          </w:p>
        </w:tc>
        <w:tc>
          <w:tcPr>
            <w:tcW w:w="508" w:type="dxa"/>
            <w:tcBorders>
              <w:top w:val="single" w:sz="4" w:space="0" w:color="808080"/>
              <w:left w:val="single" w:sz="4" w:space="0" w:color="808080"/>
              <w:bottom w:val="single" w:sz="4" w:space="0" w:color="808080"/>
              <w:right w:val="single" w:sz="4" w:space="0" w:color="808080"/>
            </w:tcBorders>
            <w:shd w:val="clear" w:color="auto" w:fill="auto"/>
          </w:tcPr>
          <w:p w:rsidR="00642782" w:rsidRDefault="00236082">
            <w:pPr>
              <w:pStyle w:val="NormalWeb"/>
              <w:keepNext/>
              <w:keepLines/>
              <w:overflowPunct w:val="0"/>
              <w:autoSpaceDE w:val="0"/>
              <w:autoSpaceDN w:val="0"/>
              <w:adjustRightInd w:val="0"/>
              <w:spacing w:before="0" w:beforeAutospacing="0" w:after="0" w:afterAutospacing="0"/>
              <w:jc w:val="center"/>
            </w:pPr>
            <w:r>
              <w:rPr>
                <w:rFonts w:ascii="Arial" w:eastAsia="MS Mincho" w:hAnsi="Arial" w:cs="Arial"/>
                <w:bCs/>
                <w:iCs/>
                <w:sz w:val="18"/>
                <w:szCs w:val="18"/>
                <w:lang w:bidi="ar"/>
              </w:rPr>
              <w:t>No</w:t>
            </w:r>
          </w:p>
        </w:tc>
        <w:tc>
          <w:tcPr>
            <w:tcW w:w="636" w:type="dxa"/>
            <w:tcBorders>
              <w:top w:val="single" w:sz="4" w:space="0" w:color="808080"/>
              <w:left w:val="single" w:sz="4" w:space="0" w:color="808080"/>
              <w:bottom w:val="single" w:sz="4" w:space="0" w:color="808080"/>
              <w:right w:val="single" w:sz="4" w:space="0" w:color="808080"/>
            </w:tcBorders>
            <w:shd w:val="clear" w:color="auto" w:fill="auto"/>
          </w:tcPr>
          <w:p w:rsidR="00642782" w:rsidRDefault="00236082">
            <w:pPr>
              <w:pStyle w:val="NormalWeb"/>
              <w:keepNext/>
              <w:keepLines/>
              <w:overflowPunct w:val="0"/>
              <w:autoSpaceDE w:val="0"/>
              <w:autoSpaceDN w:val="0"/>
              <w:adjustRightInd w:val="0"/>
              <w:spacing w:before="0" w:beforeAutospacing="0" w:after="0" w:afterAutospacing="0"/>
              <w:jc w:val="center"/>
              <w:rPr>
                <w:bCs/>
                <w:iCs/>
              </w:rPr>
            </w:pPr>
            <w:r>
              <w:rPr>
                <w:rFonts w:ascii="Arial" w:eastAsia="Times New Roman" w:hAnsi="Arial" w:cs="Times New Roman"/>
                <w:bCs/>
                <w:iCs/>
                <w:sz w:val="18"/>
                <w:szCs w:val="20"/>
                <w:lang w:bidi="ar"/>
              </w:rPr>
              <w:t>N/A</w:t>
            </w:r>
          </w:p>
        </w:tc>
        <w:tc>
          <w:tcPr>
            <w:tcW w:w="653" w:type="dxa"/>
            <w:tcBorders>
              <w:top w:val="single" w:sz="4" w:space="0" w:color="808080"/>
              <w:left w:val="single" w:sz="4" w:space="0" w:color="808080"/>
              <w:bottom w:val="single" w:sz="4" w:space="0" w:color="808080"/>
              <w:right w:val="single" w:sz="4" w:space="0" w:color="808080"/>
            </w:tcBorders>
            <w:shd w:val="clear" w:color="auto" w:fill="auto"/>
          </w:tcPr>
          <w:p w:rsidR="00642782" w:rsidRDefault="00236082">
            <w:pPr>
              <w:pStyle w:val="NormalWeb"/>
              <w:keepNext/>
              <w:keepLines/>
              <w:overflowPunct w:val="0"/>
              <w:autoSpaceDE w:val="0"/>
              <w:autoSpaceDN w:val="0"/>
              <w:adjustRightInd w:val="0"/>
              <w:spacing w:before="0" w:beforeAutospacing="0" w:after="0" w:afterAutospacing="0"/>
              <w:jc w:val="center"/>
              <w:rPr>
                <w:bCs/>
                <w:iCs/>
              </w:rPr>
            </w:pPr>
            <w:r>
              <w:rPr>
                <w:rFonts w:ascii="Arial" w:eastAsia="Times New Roman" w:hAnsi="Arial" w:cs="Times New Roman"/>
                <w:bCs/>
                <w:iCs/>
                <w:sz w:val="18"/>
                <w:szCs w:val="20"/>
                <w:lang w:bidi="ar"/>
              </w:rPr>
              <w:t>N/A</w:t>
            </w:r>
          </w:p>
        </w:tc>
      </w:tr>
      <w:tr w:rsidR="00642782">
        <w:trPr>
          <w:cantSplit/>
          <w:tblHeader/>
        </w:trPr>
        <w:tc>
          <w:tcPr>
            <w:tcW w:w="6205" w:type="dxa"/>
            <w:tcBorders>
              <w:top w:val="single" w:sz="4" w:space="0" w:color="808080"/>
              <w:left w:val="single" w:sz="4" w:space="0" w:color="808080"/>
              <w:bottom w:val="single" w:sz="4" w:space="0" w:color="808080"/>
              <w:right w:val="single" w:sz="4" w:space="0" w:color="808080"/>
            </w:tcBorders>
            <w:shd w:val="clear" w:color="auto" w:fill="auto"/>
          </w:tcPr>
          <w:p w:rsidR="00642782" w:rsidRDefault="00236082">
            <w:pPr>
              <w:pStyle w:val="NormalWeb"/>
              <w:keepNext/>
              <w:keepLines/>
              <w:overflowPunct w:val="0"/>
              <w:autoSpaceDE w:val="0"/>
              <w:autoSpaceDN w:val="0"/>
              <w:adjustRightInd w:val="0"/>
              <w:spacing w:before="0" w:beforeAutospacing="0" w:after="0" w:afterAutospacing="0"/>
              <w:rPr>
                <w:rFonts w:eastAsia="MS PGothic" w:cs="Arial"/>
                <w:b/>
                <w:i/>
                <w:szCs w:val="18"/>
              </w:rPr>
            </w:pPr>
            <w:r>
              <w:rPr>
                <w:rFonts w:ascii="Arial" w:eastAsia="Times New Roman" w:hAnsi="Arial" w:cs="Arial"/>
                <w:b/>
                <w:i/>
                <w:sz w:val="18"/>
                <w:szCs w:val="18"/>
                <w:lang w:bidi="ar"/>
              </w:rPr>
              <w:t>condPSCellChangeTwoTriggerEvents-r16</w:t>
            </w:r>
          </w:p>
          <w:p w:rsidR="00642782" w:rsidRDefault="00236082">
            <w:pPr>
              <w:pStyle w:val="NormalWeb"/>
              <w:keepNext/>
              <w:keepLines/>
              <w:overflowPunct w:val="0"/>
              <w:autoSpaceDE w:val="0"/>
              <w:autoSpaceDN w:val="0"/>
              <w:adjustRightInd w:val="0"/>
              <w:spacing w:before="0" w:beforeAutospacing="0" w:after="0" w:afterAutospacing="0"/>
              <w:rPr>
                <w:b/>
                <w:i/>
              </w:rPr>
            </w:pPr>
            <w:r>
              <w:rPr>
                <w:rFonts w:ascii="Arial" w:eastAsia="Times New Roman" w:hAnsi="Arial" w:cs="Times New Roman"/>
                <w:sz w:val="18"/>
                <w:szCs w:val="20"/>
                <w:lang w:bidi="ar"/>
              </w:rPr>
              <w:t xml:space="preserve">Indicates whether the UE supports 2 trigger events for same execution condition. This feature is mandatory supported if the UE supports </w:t>
            </w:r>
            <w:r>
              <w:rPr>
                <w:rFonts w:ascii="Arial" w:eastAsia="Times New Roman" w:hAnsi="Arial" w:cs="Times New Roman"/>
                <w:i/>
                <w:sz w:val="18"/>
                <w:szCs w:val="20"/>
                <w:lang w:bidi="ar"/>
              </w:rPr>
              <w:t>condPSCellChange-r16</w:t>
            </w:r>
            <w:r>
              <w:rPr>
                <w:rFonts w:ascii="Arial" w:eastAsia="Times New Roman" w:hAnsi="Arial" w:cs="Times New Roman"/>
                <w:sz w:val="18"/>
                <w:szCs w:val="20"/>
                <w:lang w:bidi="ar"/>
              </w:rPr>
              <w:t xml:space="preserve">. </w:t>
            </w:r>
            <w:r>
              <w:rPr>
                <w:rFonts w:ascii="Arial" w:eastAsia="MS PGothic" w:hAnsi="Arial" w:cs="Arial"/>
                <w:sz w:val="18"/>
                <w:szCs w:val="18"/>
                <w:lang w:bidi="ar"/>
              </w:rPr>
              <w:t>UE shall set the capability value consistently for all FDD-FR1 bands, all TDD-FR1 bands and all TDD-FR2 bands respectively.</w:t>
            </w:r>
          </w:p>
        </w:tc>
        <w:tc>
          <w:tcPr>
            <w:tcW w:w="636" w:type="dxa"/>
            <w:tcBorders>
              <w:top w:val="single" w:sz="4" w:space="0" w:color="808080"/>
              <w:left w:val="single" w:sz="4" w:space="0" w:color="808080"/>
              <w:bottom w:val="single" w:sz="4" w:space="0" w:color="808080"/>
              <w:right w:val="single" w:sz="4" w:space="0" w:color="808080"/>
            </w:tcBorders>
            <w:shd w:val="clear" w:color="auto" w:fill="auto"/>
          </w:tcPr>
          <w:p w:rsidR="00642782" w:rsidRDefault="00236082">
            <w:pPr>
              <w:pStyle w:val="NormalWeb"/>
              <w:keepNext/>
              <w:keepLines/>
              <w:overflowPunct w:val="0"/>
              <w:autoSpaceDE w:val="0"/>
              <w:autoSpaceDN w:val="0"/>
              <w:adjustRightInd w:val="0"/>
              <w:spacing w:before="0" w:beforeAutospacing="0" w:after="0" w:afterAutospacing="0"/>
              <w:jc w:val="center"/>
            </w:pPr>
            <w:r>
              <w:rPr>
                <w:rFonts w:ascii="Arial" w:eastAsia="MS Mincho" w:hAnsi="Arial" w:cs="Arial"/>
                <w:bCs/>
                <w:iCs/>
                <w:sz w:val="18"/>
                <w:szCs w:val="18"/>
                <w:lang w:bidi="ar"/>
              </w:rPr>
              <w:t>Band</w:t>
            </w:r>
          </w:p>
        </w:tc>
        <w:tc>
          <w:tcPr>
            <w:tcW w:w="508" w:type="dxa"/>
            <w:tcBorders>
              <w:top w:val="single" w:sz="4" w:space="0" w:color="808080"/>
              <w:left w:val="single" w:sz="4" w:space="0" w:color="808080"/>
              <w:bottom w:val="single" w:sz="4" w:space="0" w:color="808080"/>
              <w:right w:val="single" w:sz="4" w:space="0" w:color="808080"/>
            </w:tcBorders>
            <w:shd w:val="clear" w:color="auto" w:fill="auto"/>
          </w:tcPr>
          <w:p w:rsidR="00642782" w:rsidRDefault="00236082">
            <w:pPr>
              <w:pStyle w:val="NormalWeb"/>
              <w:keepNext/>
              <w:keepLines/>
              <w:overflowPunct w:val="0"/>
              <w:autoSpaceDE w:val="0"/>
              <w:autoSpaceDN w:val="0"/>
              <w:adjustRightInd w:val="0"/>
              <w:spacing w:before="0" w:beforeAutospacing="0" w:after="0" w:afterAutospacing="0"/>
              <w:jc w:val="center"/>
            </w:pPr>
            <w:r>
              <w:rPr>
                <w:rFonts w:ascii="Arial" w:eastAsia="MS Mincho" w:hAnsi="Arial" w:cs="Arial"/>
                <w:bCs/>
                <w:iCs/>
                <w:sz w:val="18"/>
                <w:szCs w:val="18"/>
                <w:lang w:bidi="ar"/>
              </w:rPr>
              <w:t>CY</w:t>
            </w:r>
          </w:p>
        </w:tc>
        <w:tc>
          <w:tcPr>
            <w:tcW w:w="636" w:type="dxa"/>
            <w:tcBorders>
              <w:top w:val="single" w:sz="4" w:space="0" w:color="808080"/>
              <w:left w:val="single" w:sz="4" w:space="0" w:color="808080"/>
              <w:bottom w:val="single" w:sz="4" w:space="0" w:color="808080"/>
              <w:right w:val="single" w:sz="4" w:space="0" w:color="808080"/>
            </w:tcBorders>
            <w:shd w:val="clear" w:color="auto" w:fill="auto"/>
          </w:tcPr>
          <w:p w:rsidR="00642782" w:rsidRDefault="00236082">
            <w:pPr>
              <w:pStyle w:val="NormalWeb"/>
              <w:keepNext/>
              <w:keepLines/>
              <w:overflowPunct w:val="0"/>
              <w:autoSpaceDE w:val="0"/>
              <w:autoSpaceDN w:val="0"/>
              <w:adjustRightInd w:val="0"/>
              <w:spacing w:before="0" w:beforeAutospacing="0" w:after="0" w:afterAutospacing="0"/>
              <w:jc w:val="center"/>
              <w:rPr>
                <w:bCs/>
                <w:iCs/>
              </w:rPr>
            </w:pPr>
            <w:r>
              <w:rPr>
                <w:rFonts w:ascii="Arial" w:eastAsia="Times New Roman" w:hAnsi="Arial" w:cs="Times New Roman"/>
                <w:bCs/>
                <w:iCs/>
                <w:sz w:val="18"/>
                <w:szCs w:val="20"/>
                <w:lang w:bidi="ar"/>
              </w:rPr>
              <w:t>N/A</w:t>
            </w:r>
          </w:p>
        </w:tc>
        <w:tc>
          <w:tcPr>
            <w:tcW w:w="653" w:type="dxa"/>
            <w:tcBorders>
              <w:top w:val="single" w:sz="4" w:space="0" w:color="808080"/>
              <w:left w:val="single" w:sz="4" w:space="0" w:color="808080"/>
              <w:bottom w:val="single" w:sz="4" w:space="0" w:color="808080"/>
              <w:right w:val="single" w:sz="4" w:space="0" w:color="808080"/>
            </w:tcBorders>
            <w:shd w:val="clear" w:color="auto" w:fill="auto"/>
          </w:tcPr>
          <w:p w:rsidR="00642782" w:rsidRDefault="00236082">
            <w:pPr>
              <w:pStyle w:val="NormalWeb"/>
              <w:keepNext/>
              <w:keepLines/>
              <w:overflowPunct w:val="0"/>
              <w:autoSpaceDE w:val="0"/>
              <w:autoSpaceDN w:val="0"/>
              <w:adjustRightInd w:val="0"/>
              <w:spacing w:before="0" w:beforeAutospacing="0" w:after="0" w:afterAutospacing="0"/>
              <w:jc w:val="center"/>
              <w:rPr>
                <w:bCs/>
                <w:iCs/>
              </w:rPr>
            </w:pPr>
            <w:r>
              <w:rPr>
                <w:rFonts w:ascii="Arial" w:eastAsia="Times New Roman" w:hAnsi="Arial" w:cs="Times New Roman"/>
                <w:bCs/>
                <w:iCs/>
                <w:sz w:val="18"/>
                <w:szCs w:val="20"/>
                <w:lang w:bidi="ar"/>
              </w:rPr>
              <w:t>N/A</w:t>
            </w:r>
          </w:p>
        </w:tc>
      </w:tr>
    </w:tbl>
    <w:p w:rsidR="00642782" w:rsidRDefault="00642782">
      <w:pPr>
        <w:pStyle w:val="Proposal"/>
        <w:numPr>
          <w:ilvl w:val="0"/>
          <w:numId w:val="0"/>
        </w:numPr>
        <w:rPr>
          <w:rFonts w:eastAsia="宋体"/>
          <w:lang w:eastAsia="zh-CN"/>
        </w:rPr>
      </w:pPr>
    </w:p>
    <w:tbl>
      <w:tblPr>
        <w:tblW w:w="8637"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171"/>
        <w:gridCol w:w="642"/>
        <w:gridCol w:w="511"/>
        <w:gridCol w:w="645"/>
        <w:gridCol w:w="668"/>
      </w:tblGrid>
      <w:tr w:rsidR="00642782">
        <w:trPr>
          <w:cantSplit/>
        </w:trPr>
        <w:tc>
          <w:tcPr>
            <w:tcW w:w="6171" w:type="dxa"/>
            <w:tcBorders>
              <w:top w:val="single" w:sz="4" w:space="0" w:color="808080"/>
              <w:left w:val="single" w:sz="4" w:space="0" w:color="808080"/>
              <w:bottom w:val="single" w:sz="4" w:space="0" w:color="808080"/>
              <w:right w:val="single" w:sz="4" w:space="0" w:color="808080"/>
            </w:tcBorders>
            <w:shd w:val="clear" w:color="auto" w:fill="auto"/>
          </w:tcPr>
          <w:p w:rsidR="00642782" w:rsidRDefault="00236082">
            <w:pPr>
              <w:pStyle w:val="NormalWeb"/>
              <w:keepNext/>
              <w:keepLines/>
              <w:overflowPunct w:val="0"/>
              <w:autoSpaceDE w:val="0"/>
              <w:autoSpaceDN w:val="0"/>
              <w:adjustRightInd w:val="0"/>
              <w:spacing w:before="0" w:beforeAutospacing="0" w:after="0" w:afterAutospacing="0"/>
              <w:rPr>
                <w:rFonts w:cs="Arial"/>
                <w:b/>
                <w:i/>
                <w:szCs w:val="18"/>
              </w:rPr>
            </w:pPr>
            <w:r>
              <w:rPr>
                <w:rFonts w:ascii="Arial" w:eastAsia="Times New Roman" w:hAnsi="Arial" w:cs="Arial"/>
                <w:b/>
                <w:i/>
                <w:sz w:val="18"/>
                <w:szCs w:val="18"/>
                <w:lang w:bidi="ar"/>
              </w:rPr>
              <w:t>condPSCellChangeFDD-TDD-r16</w:t>
            </w:r>
          </w:p>
          <w:p w:rsidR="00642782" w:rsidRDefault="00236082">
            <w:pPr>
              <w:pStyle w:val="NormalWeb"/>
              <w:keepNext/>
              <w:keepLines/>
              <w:overflowPunct w:val="0"/>
              <w:autoSpaceDE w:val="0"/>
              <w:autoSpaceDN w:val="0"/>
              <w:adjustRightInd w:val="0"/>
              <w:spacing w:before="0" w:beforeAutospacing="0" w:after="0" w:afterAutospacing="0"/>
              <w:rPr>
                <w:rFonts w:cs="Arial"/>
                <w:b/>
                <w:i/>
                <w:szCs w:val="18"/>
              </w:rPr>
            </w:pPr>
            <w:r>
              <w:rPr>
                <w:rFonts w:ascii="Arial" w:eastAsia="MS PGothic" w:hAnsi="Arial" w:cs="Arial"/>
                <w:sz w:val="18"/>
                <w:szCs w:val="18"/>
                <w:lang w:bidi="ar"/>
              </w:rPr>
              <w:t>Indicates whether the UE supports conditional PSCell change between FDD and TDD cells.</w:t>
            </w:r>
            <w:r>
              <w:rPr>
                <w:rFonts w:ascii="Arial" w:eastAsia="Times New Roman" w:hAnsi="Arial" w:cs="Times New Roman"/>
                <w:sz w:val="18"/>
                <w:szCs w:val="20"/>
                <w:lang w:bidi="ar"/>
              </w:rPr>
              <w:t xml:space="preserve"> The parameter can only be set if </w:t>
            </w:r>
            <w:r>
              <w:rPr>
                <w:rFonts w:ascii="Arial" w:eastAsia="Times New Roman" w:hAnsi="Arial" w:cs="Times New Roman"/>
                <w:i/>
                <w:sz w:val="18"/>
                <w:szCs w:val="20"/>
                <w:lang w:bidi="ar"/>
              </w:rPr>
              <w:t>condPSCellChange-r16</w:t>
            </w:r>
            <w:r>
              <w:rPr>
                <w:rFonts w:ascii="Arial" w:eastAsia="Times New Roman" w:hAnsi="Arial" w:cs="Times New Roman"/>
                <w:sz w:val="18"/>
                <w:szCs w:val="20"/>
                <w:lang w:bidi="ar"/>
              </w:rPr>
              <w:t xml:space="preserve"> is set for at least one FDD band and one TDD band.</w:t>
            </w:r>
          </w:p>
        </w:tc>
        <w:tc>
          <w:tcPr>
            <w:tcW w:w="642" w:type="dxa"/>
            <w:tcBorders>
              <w:top w:val="single" w:sz="4" w:space="0" w:color="808080"/>
              <w:left w:val="single" w:sz="4" w:space="0" w:color="808080"/>
              <w:bottom w:val="single" w:sz="4" w:space="0" w:color="808080"/>
              <w:right w:val="single" w:sz="4" w:space="0" w:color="808080"/>
            </w:tcBorders>
            <w:shd w:val="clear" w:color="auto" w:fill="auto"/>
          </w:tcPr>
          <w:p w:rsidR="00642782" w:rsidRDefault="00236082">
            <w:pPr>
              <w:pStyle w:val="NormalWeb"/>
              <w:keepNext/>
              <w:keepLines/>
              <w:overflowPunct w:val="0"/>
              <w:autoSpaceDE w:val="0"/>
              <w:autoSpaceDN w:val="0"/>
              <w:adjustRightInd w:val="0"/>
              <w:spacing w:before="0" w:beforeAutospacing="0" w:after="0" w:afterAutospacing="0"/>
              <w:jc w:val="center"/>
              <w:rPr>
                <w:rFonts w:eastAsia="MS Mincho" w:cs="Arial"/>
                <w:bCs/>
                <w:iCs/>
                <w:szCs w:val="18"/>
              </w:rPr>
            </w:pPr>
            <w:r>
              <w:rPr>
                <w:rFonts w:ascii="Arial" w:eastAsia="MS Mincho" w:hAnsi="Arial" w:cs="Arial"/>
                <w:bCs/>
                <w:iCs/>
                <w:sz w:val="18"/>
                <w:szCs w:val="18"/>
                <w:lang w:bidi="ar"/>
              </w:rPr>
              <w:t>UE</w:t>
            </w:r>
          </w:p>
        </w:tc>
        <w:tc>
          <w:tcPr>
            <w:tcW w:w="511" w:type="dxa"/>
            <w:tcBorders>
              <w:top w:val="single" w:sz="4" w:space="0" w:color="808080"/>
              <w:left w:val="single" w:sz="4" w:space="0" w:color="808080"/>
              <w:bottom w:val="single" w:sz="4" w:space="0" w:color="808080"/>
              <w:right w:val="single" w:sz="4" w:space="0" w:color="808080"/>
            </w:tcBorders>
            <w:shd w:val="clear" w:color="auto" w:fill="auto"/>
          </w:tcPr>
          <w:p w:rsidR="00642782" w:rsidRDefault="00236082">
            <w:pPr>
              <w:pStyle w:val="NormalWeb"/>
              <w:keepNext/>
              <w:keepLines/>
              <w:overflowPunct w:val="0"/>
              <w:autoSpaceDE w:val="0"/>
              <w:autoSpaceDN w:val="0"/>
              <w:adjustRightInd w:val="0"/>
              <w:spacing w:before="0" w:beforeAutospacing="0" w:after="0" w:afterAutospacing="0"/>
              <w:jc w:val="center"/>
              <w:rPr>
                <w:rFonts w:eastAsia="MS Mincho" w:cs="Arial"/>
                <w:bCs/>
                <w:iCs/>
                <w:szCs w:val="18"/>
              </w:rPr>
            </w:pPr>
            <w:r>
              <w:rPr>
                <w:rFonts w:ascii="Arial" w:eastAsia="MS Mincho" w:hAnsi="Arial" w:cs="Arial"/>
                <w:bCs/>
                <w:iCs/>
                <w:sz w:val="18"/>
                <w:szCs w:val="18"/>
                <w:lang w:bidi="ar"/>
              </w:rPr>
              <w:t>No</w:t>
            </w:r>
          </w:p>
        </w:tc>
        <w:tc>
          <w:tcPr>
            <w:tcW w:w="645" w:type="dxa"/>
            <w:tcBorders>
              <w:top w:val="single" w:sz="4" w:space="0" w:color="808080"/>
              <w:left w:val="single" w:sz="4" w:space="0" w:color="808080"/>
              <w:bottom w:val="single" w:sz="4" w:space="0" w:color="808080"/>
              <w:right w:val="single" w:sz="4" w:space="0" w:color="808080"/>
            </w:tcBorders>
            <w:shd w:val="clear" w:color="auto" w:fill="auto"/>
          </w:tcPr>
          <w:p w:rsidR="00642782" w:rsidRDefault="00236082">
            <w:pPr>
              <w:pStyle w:val="NormalWeb"/>
              <w:keepNext/>
              <w:keepLines/>
              <w:overflowPunct w:val="0"/>
              <w:autoSpaceDE w:val="0"/>
              <w:autoSpaceDN w:val="0"/>
              <w:adjustRightInd w:val="0"/>
              <w:spacing w:before="0" w:beforeAutospacing="0" w:after="0" w:afterAutospacing="0"/>
              <w:jc w:val="center"/>
              <w:rPr>
                <w:rFonts w:eastAsia="MS Mincho" w:cs="Arial"/>
                <w:bCs/>
                <w:iCs/>
                <w:szCs w:val="18"/>
              </w:rPr>
            </w:pPr>
            <w:r>
              <w:rPr>
                <w:rFonts w:ascii="Arial" w:eastAsia="MS Mincho" w:hAnsi="Arial" w:cs="Arial"/>
                <w:bCs/>
                <w:iCs/>
                <w:sz w:val="18"/>
                <w:szCs w:val="18"/>
                <w:lang w:bidi="ar"/>
              </w:rPr>
              <w:t>No</w:t>
            </w:r>
          </w:p>
        </w:tc>
        <w:tc>
          <w:tcPr>
            <w:tcW w:w="668" w:type="dxa"/>
            <w:tcBorders>
              <w:top w:val="single" w:sz="4" w:space="0" w:color="808080"/>
              <w:left w:val="single" w:sz="4" w:space="0" w:color="808080"/>
              <w:bottom w:val="single" w:sz="4" w:space="0" w:color="808080"/>
              <w:right w:val="single" w:sz="4" w:space="0" w:color="808080"/>
            </w:tcBorders>
            <w:shd w:val="clear" w:color="auto" w:fill="auto"/>
          </w:tcPr>
          <w:p w:rsidR="00642782" w:rsidRDefault="00236082">
            <w:pPr>
              <w:pStyle w:val="NormalWeb"/>
              <w:keepNext/>
              <w:keepLines/>
              <w:overflowPunct w:val="0"/>
              <w:autoSpaceDE w:val="0"/>
              <w:autoSpaceDN w:val="0"/>
              <w:adjustRightInd w:val="0"/>
              <w:spacing w:before="0" w:beforeAutospacing="0" w:after="0" w:afterAutospacing="0"/>
              <w:jc w:val="center"/>
              <w:rPr>
                <w:rFonts w:eastAsia="MS Mincho" w:cs="Arial"/>
                <w:bCs/>
                <w:iCs/>
                <w:szCs w:val="18"/>
              </w:rPr>
            </w:pPr>
            <w:r>
              <w:rPr>
                <w:rFonts w:ascii="Arial" w:eastAsia="MS Mincho" w:hAnsi="Arial" w:cs="Arial"/>
                <w:bCs/>
                <w:iCs/>
                <w:sz w:val="18"/>
                <w:szCs w:val="18"/>
                <w:lang w:bidi="ar"/>
              </w:rPr>
              <w:t>No</w:t>
            </w:r>
          </w:p>
        </w:tc>
      </w:tr>
      <w:tr w:rsidR="00642782">
        <w:trPr>
          <w:cantSplit/>
        </w:trPr>
        <w:tc>
          <w:tcPr>
            <w:tcW w:w="6171" w:type="dxa"/>
            <w:tcBorders>
              <w:top w:val="single" w:sz="4" w:space="0" w:color="808080"/>
              <w:left w:val="single" w:sz="4" w:space="0" w:color="808080"/>
              <w:bottom w:val="single" w:sz="4" w:space="0" w:color="808080"/>
              <w:right w:val="single" w:sz="4" w:space="0" w:color="808080"/>
            </w:tcBorders>
            <w:shd w:val="clear" w:color="auto" w:fill="auto"/>
          </w:tcPr>
          <w:p w:rsidR="00642782" w:rsidRDefault="00236082">
            <w:pPr>
              <w:pStyle w:val="NormalWeb"/>
              <w:keepNext/>
              <w:keepLines/>
              <w:overflowPunct w:val="0"/>
              <w:autoSpaceDE w:val="0"/>
              <w:autoSpaceDN w:val="0"/>
              <w:adjustRightInd w:val="0"/>
              <w:spacing w:before="0" w:beforeAutospacing="0" w:after="0" w:afterAutospacing="0"/>
              <w:rPr>
                <w:b/>
                <w:i/>
              </w:rPr>
            </w:pPr>
            <w:r>
              <w:rPr>
                <w:rFonts w:ascii="Arial" w:eastAsia="Times New Roman" w:hAnsi="Arial" w:cs="Times New Roman"/>
                <w:b/>
                <w:i/>
                <w:sz w:val="18"/>
                <w:szCs w:val="20"/>
                <w:lang w:bidi="ar"/>
              </w:rPr>
              <w:t>condPSCellChangeFR1-FR2-r16</w:t>
            </w:r>
          </w:p>
          <w:p w:rsidR="00642782" w:rsidRDefault="00236082">
            <w:pPr>
              <w:pStyle w:val="NormalWeb"/>
              <w:keepNext/>
              <w:keepLines/>
              <w:overflowPunct w:val="0"/>
              <w:autoSpaceDE w:val="0"/>
              <w:autoSpaceDN w:val="0"/>
              <w:adjustRightInd w:val="0"/>
              <w:spacing w:before="0" w:beforeAutospacing="0" w:after="0" w:afterAutospacing="0"/>
              <w:rPr>
                <w:rFonts w:cs="Arial"/>
                <w:b/>
                <w:i/>
                <w:szCs w:val="18"/>
              </w:rPr>
            </w:pPr>
            <w:r>
              <w:rPr>
                <w:rFonts w:ascii="Arial" w:eastAsia="Times New Roman" w:hAnsi="Arial" w:cs="Times New Roman"/>
                <w:sz w:val="18"/>
                <w:szCs w:val="20"/>
                <w:lang w:bidi="ar"/>
              </w:rPr>
              <w:t xml:space="preserve">Indicates whether the UE supports conditional PSCell change between FR1 and FR2. The parameter can only be set if </w:t>
            </w:r>
            <w:r>
              <w:rPr>
                <w:rFonts w:ascii="Arial" w:eastAsia="Times New Roman" w:hAnsi="Arial" w:cs="Times New Roman"/>
                <w:i/>
                <w:sz w:val="18"/>
                <w:szCs w:val="20"/>
                <w:lang w:bidi="ar"/>
              </w:rPr>
              <w:t>condPSCellChange-r16</w:t>
            </w:r>
            <w:r>
              <w:rPr>
                <w:rFonts w:ascii="Arial" w:eastAsia="Times New Roman" w:hAnsi="Arial" w:cs="Times New Roman"/>
                <w:sz w:val="18"/>
                <w:szCs w:val="20"/>
                <w:lang w:bidi="ar"/>
              </w:rPr>
              <w:t xml:space="preserve"> is set for at least one FR1 band and one FR2 band.</w:t>
            </w:r>
          </w:p>
        </w:tc>
        <w:tc>
          <w:tcPr>
            <w:tcW w:w="642" w:type="dxa"/>
            <w:tcBorders>
              <w:top w:val="single" w:sz="4" w:space="0" w:color="808080"/>
              <w:left w:val="single" w:sz="4" w:space="0" w:color="808080"/>
              <w:bottom w:val="single" w:sz="4" w:space="0" w:color="808080"/>
              <w:right w:val="single" w:sz="4" w:space="0" w:color="808080"/>
            </w:tcBorders>
            <w:shd w:val="clear" w:color="auto" w:fill="auto"/>
          </w:tcPr>
          <w:p w:rsidR="00642782" w:rsidRDefault="00236082">
            <w:pPr>
              <w:pStyle w:val="NormalWeb"/>
              <w:keepNext/>
              <w:keepLines/>
              <w:overflowPunct w:val="0"/>
              <w:autoSpaceDE w:val="0"/>
              <w:autoSpaceDN w:val="0"/>
              <w:adjustRightInd w:val="0"/>
              <w:spacing w:before="0" w:beforeAutospacing="0" w:after="0" w:afterAutospacing="0"/>
              <w:jc w:val="center"/>
              <w:rPr>
                <w:rFonts w:eastAsia="MS Mincho" w:cs="Arial"/>
                <w:bCs/>
                <w:iCs/>
                <w:szCs w:val="18"/>
              </w:rPr>
            </w:pPr>
            <w:r>
              <w:rPr>
                <w:rFonts w:ascii="Arial" w:eastAsia="Yu Mincho" w:hAnsi="Arial" w:cs="Times New Roman"/>
                <w:sz w:val="18"/>
                <w:szCs w:val="20"/>
                <w:lang w:bidi="ar"/>
              </w:rPr>
              <w:t>UE</w:t>
            </w:r>
          </w:p>
        </w:tc>
        <w:tc>
          <w:tcPr>
            <w:tcW w:w="511" w:type="dxa"/>
            <w:tcBorders>
              <w:top w:val="single" w:sz="4" w:space="0" w:color="808080"/>
              <w:left w:val="single" w:sz="4" w:space="0" w:color="808080"/>
              <w:bottom w:val="single" w:sz="4" w:space="0" w:color="808080"/>
              <w:right w:val="single" w:sz="4" w:space="0" w:color="808080"/>
            </w:tcBorders>
            <w:shd w:val="clear" w:color="auto" w:fill="auto"/>
          </w:tcPr>
          <w:p w:rsidR="00642782" w:rsidRDefault="00236082">
            <w:pPr>
              <w:pStyle w:val="NormalWeb"/>
              <w:keepNext/>
              <w:keepLines/>
              <w:overflowPunct w:val="0"/>
              <w:autoSpaceDE w:val="0"/>
              <w:autoSpaceDN w:val="0"/>
              <w:adjustRightInd w:val="0"/>
              <w:spacing w:before="0" w:beforeAutospacing="0" w:after="0" w:afterAutospacing="0"/>
              <w:jc w:val="center"/>
              <w:rPr>
                <w:rFonts w:eastAsia="MS Mincho" w:cs="Arial"/>
                <w:bCs/>
                <w:iCs/>
                <w:szCs w:val="18"/>
              </w:rPr>
            </w:pPr>
            <w:r>
              <w:rPr>
                <w:rFonts w:ascii="Arial" w:eastAsia="Yu Mincho" w:hAnsi="Arial" w:cs="Times New Roman"/>
                <w:sz w:val="18"/>
                <w:szCs w:val="20"/>
                <w:lang w:bidi="ar"/>
              </w:rPr>
              <w:t>No</w:t>
            </w:r>
          </w:p>
        </w:tc>
        <w:tc>
          <w:tcPr>
            <w:tcW w:w="645" w:type="dxa"/>
            <w:tcBorders>
              <w:top w:val="single" w:sz="4" w:space="0" w:color="808080"/>
              <w:left w:val="single" w:sz="4" w:space="0" w:color="808080"/>
              <w:bottom w:val="single" w:sz="4" w:space="0" w:color="808080"/>
              <w:right w:val="single" w:sz="4" w:space="0" w:color="808080"/>
            </w:tcBorders>
            <w:shd w:val="clear" w:color="auto" w:fill="auto"/>
          </w:tcPr>
          <w:p w:rsidR="00642782" w:rsidRDefault="00236082">
            <w:pPr>
              <w:pStyle w:val="NormalWeb"/>
              <w:keepNext/>
              <w:keepLines/>
              <w:overflowPunct w:val="0"/>
              <w:autoSpaceDE w:val="0"/>
              <w:autoSpaceDN w:val="0"/>
              <w:adjustRightInd w:val="0"/>
              <w:spacing w:before="0" w:beforeAutospacing="0" w:after="0" w:afterAutospacing="0"/>
              <w:jc w:val="center"/>
              <w:rPr>
                <w:rFonts w:eastAsia="MS Mincho" w:cs="Arial"/>
                <w:bCs/>
                <w:iCs/>
                <w:szCs w:val="18"/>
              </w:rPr>
            </w:pPr>
            <w:r>
              <w:rPr>
                <w:rFonts w:ascii="Arial" w:eastAsia="Yu Mincho" w:hAnsi="Arial" w:cs="Times New Roman"/>
                <w:sz w:val="18"/>
                <w:szCs w:val="20"/>
                <w:lang w:bidi="ar"/>
              </w:rPr>
              <w:t>No</w:t>
            </w:r>
          </w:p>
        </w:tc>
        <w:tc>
          <w:tcPr>
            <w:tcW w:w="668" w:type="dxa"/>
            <w:tcBorders>
              <w:top w:val="single" w:sz="4" w:space="0" w:color="808080"/>
              <w:left w:val="single" w:sz="4" w:space="0" w:color="808080"/>
              <w:bottom w:val="single" w:sz="4" w:space="0" w:color="808080"/>
              <w:right w:val="single" w:sz="4" w:space="0" w:color="808080"/>
            </w:tcBorders>
            <w:shd w:val="clear" w:color="auto" w:fill="auto"/>
          </w:tcPr>
          <w:p w:rsidR="00642782" w:rsidRDefault="00236082">
            <w:pPr>
              <w:pStyle w:val="NormalWeb"/>
              <w:keepNext/>
              <w:keepLines/>
              <w:overflowPunct w:val="0"/>
              <w:autoSpaceDE w:val="0"/>
              <w:autoSpaceDN w:val="0"/>
              <w:adjustRightInd w:val="0"/>
              <w:spacing w:before="0" w:beforeAutospacing="0" w:after="0" w:afterAutospacing="0"/>
              <w:jc w:val="center"/>
              <w:rPr>
                <w:rFonts w:eastAsia="MS Mincho" w:cs="Arial"/>
                <w:bCs/>
                <w:iCs/>
                <w:szCs w:val="18"/>
              </w:rPr>
            </w:pPr>
            <w:r>
              <w:rPr>
                <w:rFonts w:ascii="Arial" w:eastAsia="MS Mincho" w:hAnsi="Arial" w:cs="Times New Roman"/>
                <w:sz w:val="18"/>
                <w:szCs w:val="20"/>
                <w:lang w:bidi="ar"/>
              </w:rPr>
              <w:t>No</w:t>
            </w:r>
          </w:p>
        </w:tc>
      </w:tr>
    </w:tbl>
    <w:p w:rsidR="00642782" w:rsidRDefault="00642782">
      <w:pPr>
        <w:pStyle w:val="Proposal"/>
        <w:numPr>
          <w:ilvl w:val="0"/>
          <w:numId w:val="0"/>
        </w:numPr>
        <w:rPr>
          <w:rFonts w:eastAsia="宋体"/>
          <w:lang w:eastAsia="zh-CN"/>
        </w:rPr>
      </w:pPr>
    </w:p>
    <w:p w:rsidR="00642782" w:rsidRDefault="00236082">
      <w:pPr>
        <w:pStyle w:val="Proposal"/>
        <w:numPr>
          <w:ilvl w:val="0"/>
          <w:numId w:val="0"/>
        </w:numPr>
        <w:rPr>
          <w:rFonts w:eastAsia="宋体"/>
          <w:b w:val="0"/>
          <w:lang w:eastAsia="zh-CN"/>
        </w:rPr>
      </w:pPr>
      <w:r>
        <w:rPr>
          <w:rFonts w:eastAsia="宋体"/>
          <w:b w:val="0"/>
          <w:lang w:eastAsia="zh-CN"/>
        </w:rPr>
        <w:t xml:space="preserve">In our understanding, for the </w:t>
      </w:r>
      <w:proofErr w:type="spellStart"/>
      <w:r>
        <w:rPr>
          <w:rFonts w:eastAsia="宋体"/>
          <w:b w:val="0"/>
          <w:lang w:eastAsia="zh-CN"/>
        </w:rPr>
        <w:t>capablities</w:t>
      </w:r>
      <w:proofErr w:type="spellEnd"/>
      <w:r>
        <w:rPr>
          <w:rFonts w:eastAsia="宋体"/>
          <w:b w:val="0"/>
          <w:lang w:eastAsia="zh-CN"/>
        </w:rPr>
        <w:t xml:space="preserve"> of CPA and inter-SN CPC, we can design using the same </w:t>
      </w:r>
      <w:proofErr w:type="spellStart"/>
      <w:r>
        <w:rPr>
          <w:rFonts w:eastAsia="宋体"/>
          <w:b w:val="0"/>
          <w:lang w:eastAsia="zh-CN"/>
        </w:rPr>
        <w:t>priciples</w:t>
      </w:r>
      <w:proofErr w:type="spellEnd"/>
      <w:r>
        <w:rPr>
          <w:rFonts w:eastAsia="宋体"/>
          <w:b w:val="0"/>
          <w:lang w:eastAsia="zh-CN"/>
        </w:rPr>
        <w:t xml:space="preserve"> as in intra-SN CPC.</w:t>
      </w:r>
    </w:p>
    <w:p w:rsidR="00642782" w:rsidRDefault="00236082">
      <w:pPr>
        <w:pStyle w:val="Proposal"/>
        <w:rPr>
          <w:rFonts w:eastAsia="宋体"/>
          <w:lang w:eastAsia="zh-CN"/>
        </w:rPr>
      </w:pPr>
      <w:r>
        <w:rPr>
          <w:rFonts w:eastAsia="宋体"/>
          <w:lang w:eastAsia="zh-CN"/>
        </w:rPr>
        <w:t xml:space="preserve"> Introduce the following capabilities for CPAC :</w:t>
      </w:r>
    </w:p>
    <w:p w:rsidR="00642782" w:rsidRDefault="00236082">
      <w:pPr>
        <w:pStyle w:val="Proposal"/>
        <w:numPr>
          <w:ilvl w:val="0"/>
          <w:numId w:val="12"/>
        </w:numPr>
        <w:rPr>
          <w:rFonts w:eastAsia="宋体"/>
          <w:lang w:eastAsia="zh-CN"/>
        </w:rPr>
      </w:pPr>
      <w:r>
        <w:rPr>
          <w:rFonts w:eastAsia="宋体"/>
          <w:lang w:eastAsia="zh-CN"/>
        </w:rPr>
        <w:t>CPA and MN initiated CPC for NR-DC</w:t>
      </w:r>
    </w:p>
    <w:p w:rsidR="00642782" w:rsidRDefault="00236082">
      <w:pPr>
        <w:pStyle w:val="Proposal"/>
        <w:numPr>
          <w:ilvl w:val="0"/>
          <w:numId w:val="12"/>
        </w:numPr>
        <w:rPr>
          <w:rFonts w:eastAsia="宋体"/>
          <w:lang w:eastAsia="zh-CN"/>
        </w:rPr>
      </w:pPr>
      <w:r>
        <w:rPr>
          <w:rFonts w:eastAsia="宋体"/>
          <w:lang w:eastAsia="zh-CN"/>
        </w:rPr>
        <w:t>CPA and MN initiated CPC for (NG)EN-DC</w:t>
      </w:r>
    </w:p>
    <w:p w:rsidR="00642782" w:rsidRDefault="00236082">
      <w:pPr>
        <w:pStyle w:val="Proposal"/>
        <w:numPr>
          <w:ilvl w:val="0"/>
          <w:numId w:val="12"/>
        </w:numPr>
        <w:rPr>
          <w:rFonts w:eastAsia="宋体"/>
          <w:lang w:eastAsia="zh-CN"/>
        </w:rPr>
      </w:pPr>
      <w:r>
        <w:rPr>
          <w:rFonts w:eastAsia="宋体"/>
          <w:lang w:eastAsia="zh-CN"/>
        </w:rPr>
        <w:t>SN initiated CPC for NR-DC</w:t>
      </w:r>
    </w:p>
    <w:p w:rsidR="00642782" w:rsidRDefault="00236082">
      <w:pPr>
        <w:pStyle w:val="Proposal"/>
        <w:numPr>
          <w:ilvl w:val="0"/>
          <w:numId w:val="12"/>
        </w:numPr>
        <w:rPr>
          <w:rFonts w:eastAsia="宋体"/>
          <w:lang w:eastAsia="zh-CN"/>
        </w:rPr>
      </w:pPr>
      <w:r>
        <w:rPr>
          <w:rFonts w:eastAsia="宋体"/>
          <w:lang w:eastAsia="zh-CN"/>
        </w:rPr>
        <w:t>SN initiated CPC for (NG)EN-DC</w:t>
      </w:r>
    </w:p>
    <w:p w:rsidR="00642782" w:rsidRDefault="00236082">
      <w:pPr>
        <w:pStyle w:val="Proposal"/>
        <w:numPr>
          <w:ilvl w:val="0"/>
          <w:numId w:val="12"/>
        </w:numPr>
        <w:rPr>
          <w:rFonts w:eastAsia="宋体"/>
          <w:sz w:val="21"/>
          <w:szCs w:val="22"/>
          <w:lang w:eastAsia="zh-CN"/>
        </w:rPr>
      </w:pPr>
      <w:r>
        <w:rPr>
          <w:rFonts w:eastAsia="宋体"/>
          <w:sz w:val="21"/>
          <w:szCs w:val="22"/>
          <w:lang w:eastAsia="zh-CN"/>
        </w:rPr>
        <w:t>two trigger event for CPA</w:t>
      </w:r>
    </w:p>
    <w:p w:rsidR="00642782" w:rsidRDefault="00236082">
      <w:pPr>
        <w:pStyle w:val="Proposal"/>
        <w:numPr>
          <w:ilvl w:val="0"/>
          <w:numId w:val="12"/>
        </w:numPr>
        <w:rPr>
          <w:rFonts w:eastAsia="宋体"/>
          <w:sz w:val="21"/>
          <w:szCs w:val="22"/>
          <w:lang w:eastAsia="zh-CN"/>
        </w:rPr>
      </w:pPr>
      <w:r>
        <w:rPr>
          <w:rFonts w:eastAsia="宋体"/>
          <w:sz w:val="21"/>
          <w:szCs w:val="22"/>
          <w:lang w:eastAsia="zh-CN"/>
        </w:rPr>
        <w:t>two trigger event for CPC</w:t>
      </w:r>
    </w:p>
    <w:p w:rsidR="00642782" w:rsidRDefault="00236082">
      <w:pPr>
        <w:pStyle w:val="Proposal"/>
        <w:numPr>
          <w:ilvl w:val="0"/>
          <w:numId w:val="12"/>
        </w:numPr>
        <w:rPr>
          <w:rFonts w:eastAsia="宋体"/>
          <w:sz w:val="21"/>
          <w:szCs w:val="22"/>
          <w:lang w:eastAsia="zh-CN"/>
        </w:rPr>
      </w:pPr>
      <w:r>
        <w:rPr>
          <w:rFonts w:eastAsia="宋体"/>
          <w:sz w:val="21"/>
          <w:szCs w:val="22"/>
          <w:lang w:eastAsia="zh-CN"/>
        </w:rPr>
        <w:t>inter-SN PSCell change between FDD and TDD</w:t>
      </w:r>
    </w:p>
    <w:p w:rsidR="00642782" w:rsidRDefault="00236082">
      <w:pPr>
        <w:pStyle w:val="Proposal"/>
        <w:numPr>
          <w:ilvl w:val="0"/>
          <w:numId w:val="12"/>
        </w:numPr>
        <w:rPr>
          <w:rFonts w:eastAsia="宋体"/>
          <w:sz w:val="21"/>
          <w:szCs w:val="22"/>
          <w:lang w:eastAsia="zh-CN"/>
        </w:rPr>
      </w:pPr>
      <w:r>
        <w:rPr>
          <w:rFonts w:eastAsia="宋体"/>
          <w:sz w:val="21"/>
          <w:szCs w:val="22"/>
          <w:lang w:eastAsia="zh-CN"/>
        </w:rPr>
        <w:t>inter-SN PSCell change between FR1 and FR2</w:t>
      </w:r>
    </w:p>
    <w:p w:rsidR="00642782" w:rsidRDefault="00236082">
      <w:pPr>
        <w:pStyle w:val="Heading1"/>
        <w:rPr>
          <w:rFonts w:eastAsia="宋体"/>
          <w:lang w:eastAsia="zh-CN"/>
        </w:rPr>
      </w:pPr>
      <w:bookmarkStart w:id="4" w:name="_Toc423020279"/>
      <w:bookmarkStart w:id="5" w:name="_Toc423020296"/>
      <w:bookmarkStart w:id="6" w:name="_Toc423019950"/>
      <w:bookmarkEnd w:id="2"/>
      <w:bookmarkEnd w:id="3"/>
      <w:bookmarkEnd w:id="4"/>
      <w:bookmarkEnd w:id="5"/>
      <w:bookmarkEnd w:id="6"/>
      <w:r>
        <w:rPr>
          <w:rFonts w:eastAsia="宋体"/>
          <w:lang w:eastAsia="zh-CN"/>
        </w:rPr>
        <w:t>3. Conclusion</w:t>
      </w:r>
    </w:p>
    <w:p w:rsidR="00642782" w:rsidRDefault="00236082">
      <w:pPr>
        <w:rPr>
          <w:lang w:eastAsia="zh-CN"/>
        </w:rPr>
      </w:pPr>
      <w:r>
        <w:rPr>
          <w:lang w:eastAsia="zh-CN"/>
        </w:rPr>
        <w:t>Based on the discussion in this paper, we have the following proposals:</w:t>
      </w:r>
    </w:p>
    <w:p w:rsidR="00642782" w:rsidRDefault="00236082">
      <w:pPr>
        <w:pStyle w:val="Proposal"/>
        <w:numPr>
          <w:ilvl w:val="0"/>
          <w:numId w:val="13"/>
        </w:numPr>
      </w:pPr>
      <w:r>
        <w:t>Introduce one UE capability for RACH-less SCG activation.</w:t>
      </w:r>
    </w:p>
    <w:p w:rsidR="00642782" w:rsidRDefault="00236082">
      <w:pPr>
        <w:pStyle w:val="Proposal"/>
      </w:pPr>
      <w:r>
        <w:t xml:space="preserve">Introduce new UE capabilities for the RLM/BFD during the SCG deactivation </w:t>
      </w:r>
    </w:p>
    <w:p w:rsidR="00642782" w:rsidRDefault="00236082">
      <w:pPr>
        <w:pStyle w:val="Proposal"/>
      </w:pPr>
      <w:r>
        <w:rPr>
          <w:rFonts w:eastAsia="宋体"/>
          <w:lang w:eastAsia="zh-CN"/>
        </w:rPr>
        <w:t xml:space="preserve">RLM/BFD monitoring is not </w:t>
      </w:r>
      <w:r>
        <w:t>the prerequisite of RACH less SCG activation.</w:t>
      </w:r>
    </w:p>
    <w:p w:rsidR="00642782" w:rsidRDefault="00236082">
      <w:pPr>
        <w:pStyle w:val="Proposal"/>
        <w:rPr>
          <w:rFonts w:eastAsia="宋体"/>
          <w:lang w:eastAsia="zh-CN"/>
        </w:rPr>
      </w:pPr>
      <w:r>
        <w:rPr>
          <w:rFonts w:eastAsia="宋体"/>
          <w:lang w:eastAsia="zh-CN"/>
        </w:rPr>
        <w:t>Use separate capabilities for SCG (de)activation in Resume and reconfiguration.</w:t>
      </w:r>
    </w:p>
    <w:p w:rsidR="00642782" w:rsidRDefault="00236082">
      <w:pPr>
        <w:pStyle w:val="Proposal"/>
        <w:rPr>
          <w:rFonts w:eastAsia="宋体"/>
          <w:lang w:eastAsia="zh-CN"/>
        </w:rPr>
      </w:pPr>
      <w:r>
        <w:rPr>
          <w:rFonts w:eastAsia="宋体"/>
          <w:lang w:eastAsia="zh-CN"/>
        </w:rPr>
        <w:t>All the UE capabilities for SCG (de)activation are set per UE.</w:t>
      </w:r>
    </w:p>
    <w:p w:rsidR="00642782" w:rsidRDefault="00236082">
      <w:pPr>
        <w:pStyle w:val="Proposal"/>
        <w:rPr>
          <w:rFonts w:eastAsia="宋体"/>
          <w:bCs/>
          <w:lang w:eastAsia="zh-CN"/>
        </w:rPr>
      </w:pPr>
      <w:r>
        <w:rPr>
          <w:rFonts w:eastAsia="宋体"/>
          <w:bCs/>
          <w:lang w:eastAsia="zh-CN"/>
        </w:rPr>
        <w:t xml:space="preserve"> Introduce the following capabilities for CPAC :</w:t>
      </w:r>
    </w:p>
    <w:p w:rsidR="00642782" w:rsidRDefault="00236082">
      <w:pPr>
        <w:pStyle w:val="Proposal"/>
        <w:numPr>
          <w:ilvl w:val="0"/>
          <w:numId w:val="12"/>
        </w:numPr>
        <w:rPr>
          <w:rFonts w:eastAsia="宋体"/>
          <w:bCs/>
          <w:sz w:val="21"/>
          <w:szCs w:val="22"/>
          <w:lang w:eastAsia="zh-CN"/>
        </w:rPr>
      </w:pPr>
      <w:r>
        <w:rPr>
          <w:rFonts w:eastAsia="宋体"/>
          <w:bCs/>
          <w:sz w:val="21"/>
          <w:szCs w:val="22"/>
          <w:lang w:eastAsia="zh-CN"/>
        </w:rPr>
        <w:t>CPA and MN initiated CPC for NR-DC</w:t>
      </w:r>
    </w:p>
    <w:p w:rsidR="00642782" w:rsidRDefault="00236082">
      <w:pPr>
        <w:pStyle w:val="Proposal"/>
        <w:numPr>
          <w:ilvl w:val="0"/>
          <w:numId w:val="12"/>
        </w:numPr>
        <w:rPr>
          <w:rFonts w:eastAsia="宋体"/>
          <w:bCs/>
          <w:sz w:val="21"/>
          <w:szCs w:val="22"/>
          <w:lang w:eastAsia="zh-CN"/>
        </w:rPr>
      </w:pPr>
      <w:r>
        <w:rPr>
          <w:rFonts w:eastAsia="宋体"/>
          <w:bCs/>
          <w:sz w:val="21"/>
          <w:szCs w:val="22"/>
          <w:lang w:eastAsia="zh-CN"/>
        </w:rPr>
        <w:t>CPA and MN initiated CPC for (NG)EN-DC</w:t>
      </w:r>
    </w:p>
    <w:p w:rsidR="00642782" w:rsidRDefault="00236082">
      <w:pPr>
        <w:pStyle w:val="Proposal"/>
        <w:numPr>
          <w:ilvl w:val="0"/>
          <w:numId w:val="12"/>
        </w:numPr>
        <w:rPr>
          <w:rFonts w:eastAsia="宋体"/>
          <w:bCs/>
          <w:sz w:val="21"/>
          <w:szCs w:val="22"/>
          <w:lang w:eastAsia="zh-CN"/>
        </w:rPr>
      </w:pPr>
      <w:r>
        <w:rPr>
          <w:rFonts w:eastAsia="宋体"/>
          <w:bCs/>
          <w:sz w:val="21"/>
          <w:szCs w:val="22"/>
          <w:lang w:eastAsia="zh-CN"/>
        </w:rPr>
        <w:lastRenderedPageBreak/>
        <w:t>SN initiated CPC for NR-DC</w:t>
      </w:r>
    </w:p>
    <w:p w:rsidR="00642782" w:rsidRDefault="00236082">
      <w:pPr>
        <w:pStyle w:val="Proposal"/>
        <w:numPr>
          <w:ilvl w:val="0"/>
          <w:numId w:val="12"/>
        </w:numPr>
        <w:rPr>
          <w:rFonts w:eastAsia="宋体"/>
          <w:bCs/>
          <w:sz w:val="21"/>
          <w:szCs w:val="22"/>
          <w:lang w:eastAsia="zh-CN"/>
        </w:rPr>
      </w:pPr>
      <w:r>
        <w:rPr>
          <w:rFonts w:eastAsia="宋体"/>
          <w:bCs/>
          <w:sz w:val="21"/>
          <w:szCs w:val="22"/>
          <w:lang w:eastAsia="zh-CN"/>
        </w:rPr>
        <w:t>SN initiated CPC for (NG)EN-DC</w:t>
      </w:r>
    </w:p>
    <w:p w:rsidR="00642782" w:rsidRDefault="00236082">
      <w:pPr>
        <w:pStyle w:val="Proposal"/>
        <w:numPr>
          <w:ilvl w:val="0"/>
          <w:numId w:val="12"/>
        </w:numPr>
        <w:rPr>
          <w:rFonts w:eastAsia="宋体"/>
          <w:bCs/>
          <w:sz w:val="21"/>
          <w:szCs w:val="22"/>
          <w:lang w:eastAsia="zh-CN"/>
        </w:rPr>
      </w:pPr>
      <w:r>
        <w:rPr>
          <w:rFonts w:eastAsia="宋体"/>
          <w:bCs/>
          <w:sz w:val="21"/>
          <w:szCs w:val="22"/>
          <w:lang w:eastAsia="zh-CN"/>
        </w:rPr>
        <w:t>two trigger event for CPA</w:t>
      </w:r>
    </w:p>
    <w:p w:rsidR="00642782" w:rsidRDefault="00236082">
      <w:pPr>
        <w:pStyle w:val="Proposal"/>
        <w:numPr>
          <w:ilvl w:val="0"/>
          <w:numId w:val="12"/>
        </w:numPr>
        <w:rPr>
          <w:rFonts w:eastAsia="宋体"/>
          <w:bCs/>
          <w:sz w:val="21"/>
          <w:szCs w:val="22"/>
          <w:lang w:eastAsia="zh-CN"/>
        </w:rPr>
      </w:pPr>
      <w:r>
        <w:rPr>
          <w:rFonts w:eastAsia="宋体"/>
          <w:bCs/>
          <w:sz w:val="21"/>
          <w:szCs w:val="22"/>
          <w:lang w:eastAsia="zh-CN"/>
        </w:rPr>
        <w:t>two trigger event for CPC</w:t>
      </w:r>
    </w:p>
    <w:p w:rsidR="00642782" w:rsidRDefault="00236082">
      <w:pPr>
        <w:pStyle w:val="Proposal"/>
        <w:numPr>
          <w:ilvl w:val="0"/>
          <w:numId w:val="12"/>
        </w:numPr>
        <w:rPr>
          <w:rFonts w:eastAsia="宋体"/>
          <w:bCs/>
          <w:sz w:val="21"/>
          <w:szCs w:val="22"/>
          <w:lang w:eastAsia="zh-CN"/>
        </w:rPr>
      </w:pPr>
      <w:r>
        <w:rPr>
          <w:rFonts w:eastAsia="宋体"/>
          <w:bCs/>
          <w:sz w:val="21"/>
          <w:szCs w:val="22"/>
          <w:lang w:eastAsia="zh-CN"/>
        </w:rPr>
        <w:t>inter-SN PSCell change between FDD and TDD</w:t>
      </w:r>
    </w:p>
    <w:p w:rsidR="00642782" w:rsidRDefault="00236082">
      <w:pPr>
        <w:pStyle w:val="Proposal"/>
        <w:numPr>
          <w:ilvl w:val="0"/>
          <w:numId w:val="12"/>
        </w:numPr>
        <w:rPr>
          <w:rFonts w:eastAsia="宋体"/>
          <w:bCs/>
          <w:sz w:val="21"/>
          <w:szCs w:val="22"/>
          <w:lang w:eastAsia="zh-CN"/>
        </w:rPr>
      </w:pPr>
      <w:r>
        <w:rPr>
          <w:rFonts w:eastAsia="宋体"/>
          <w:bCs/>
          <w:sz w:val="21"/>
          <w:szCs w:val="22"/>
          <w:lang w:eastAsia="zh-CN"/>
        </w:rPr>
        <w:t>inter-SN PSCell change between FR1 and FR2</w:t>
      </w:r>
    </w:p>
    <w:bookmarkEnd w:id="0"/>
    <w:p w:rsidR="00642782" w:rsidRDefault="00642782">
      <w:pPr>
        <w:tabs>
          <w:tab w:val="left" w:pos="2228"/>
        </w:tabs>
        <w:rPr>
          <w:rFonts w:eastAsiaTheme="minorEastAsia"/>
          <w:lang w:eastAsia="zh-CN"/>
        </w:rPr>
      </w:pPr>
    </w:p>
    <w:sectPr w:rsidR="00642782">
      <w:footnotePr>
        <w:numRestart w:val="eachSect"/>
      </w:footnotePr>
      <w:pgSz w:w="11907" w:h="16840"/>
      <w:pgMar w:top="1416" w:right="1133" w:bottom="1133" w:left="1133" w:header="850"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S PGothic">
    <w:panose1 w:val="020B0600070205080204"/>
    <w:charset w:val="80"/>
    <w:family w:val="swiss"/>
    <w:pitch w:val="variable"/>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57051"/>
    <w:multiLevelType w:val="multilevel"/>
    <w:tmpl w:val="04A57051"/>
    <w:lvl w:ilvl="0">
      <w:start w:val="2018"/>
      <w:numFmt w:val="bullet"/>
      <w:lvlText w:val="-"/>
      <w:lvlJc w:val="left"/>
      <w:pPr>
        <w:ind w:left="780" w:hanging="420"/>
      </w:pPr>
      <w:rPr>
        <w:rFonts w:ascii="Arial" w:eastAsia="Yu Mincho" w:hAnsi="Arial" w:cs="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CD777A1"/>
    <w:multiLevelType w:val="multilevel"/>
    <w:tmpl w:val="2CD777A1"/>
    <w:lvl w:ilvl="0">
      <w:start w:val="1"/>
      <w:numFmt w:val="decimal"/>
      <w:pStyle w:val="ListParagraph"/>
      <w:lvlText w:val="Proposal %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36A34518"/>
    <w:multiLevelType w:val="multilevel"/>
    <w:tmpl w:val="36A34518"/>
    <w:lvl w:ilvl="0">
      <w:start w:val="1"/>
      <w:numFmt w:val="decimal"/>
      <w:pStyle w:val="Proposal"/>
      <w:lvlText w:val="Proposal %1:"/>
      <w:lvlJc w:val="left"/>
      <w:pPr>
        <w:ind w:left="360" w:hanging="360"/>
      </w:pPr>
      <w:rPr>
        <w:rFonts w:hint="eastAsia"/>
      </w:rPr>
    </w:lvl>
    <w:lvl w:ilvl="1">
      <w:start w:val="1"/>
      <w:numFmt w:val="lowerLetter"/>
      <w:lvlText w:val="%2."/>
      <w:lvlJc w:val="left"/>
      <w:pPr>
        <w:ind w:left="1015" w:hanging="360"/>
      </w:pPr>
    </w:lvl>
    <w:lvl w:ilvl="2">
      <w:start w:val="1"/>
      <w:numFmt w:val="lowerRoman"/>
      <w:lvlText w:val="%3."/>
      <w:lvlJc w:val="right"/>
      <w:pPr>
        <w:ind w:left="1735" w:hanging="180"/>
      </w:pPr>
    </w:lvl>
    <w:lvl w:ilvl="3">
      <w:start w:val="1"/>
      <w:numFmt w:val="decimal"/>
      <w:lvlText w:val="%4."/>
      <w:lvlJc w:val="left"/>
      <w:pPr>
        <w:ind w:left="2455" w:hanging="360"/>
      </w:pPr>
    </w:lvl>
    <w:lvl w:ilvl="4">
      <w:start w:val="1"/>
      <w:numFmt w:val="lowerLetter"/>
      <w:lvlText w:val="%5."/>
      <w:lvlJc w:val="left"/>
      <w:pPr>
        <w:ind w:left="3175" w:hanging="360"/>
      </w:pPr>
    </w:lvl>
    <w:lvl w:ilvl="5">
      <w:start w:val="1"/>
      <w:numFmt w:val="lowerRoman"/>
      <w:lvlText w:val="%6."/>
      <w:lvlJc w:val="right"/>
      <w:pPr>
        <w:ind w:left="3895" w:hanging="180"/>
      </w:pPr>
    </w:lvl>
    <w:lvl w:ilvl="6">
      <w:start w:val="1"/>
      <w:numFmt w:val="decimal"/>
      <w:lvlText w:val="%7."/>
      <w:lvlJc w:val="left"/>
      <w:pPr>
        <w:ind w:left="4615" w:hanging="360"/>
      </w:pPr>
    </w:lvl>
    <w:lvl w:ilvl="7">
      <w:start w:val="1"/>
      <w:numFmt w:val="lowerLetter"/>
      <w:lvlText w:val="%8."/>
      <w:lvlJc w:val="left"/>
      <w:pPr>
        <w:ind w:left="5335" w:hanging="360"/>
      </w:pPr>
    </w:lvl>
    <w:lvl w:ilvl="8">
      <w:start w:val="1"/>
      <w:numFmt w:val="lowerRoman"/>
      <w:lvlText w:val="%9."/>
      <w:lvlJc w:val="right"/>
      <w:pPr>
        <w:ind w:left="6055" w:hanging="180"/>
      </w:pPr>
    </w:lvl>
  </w:abstractNum>
  <w:abstractNum w:abstractNumId="7" w15:restartNumberingAfterBreak="0">
    <w:nsid w:val="3C6B1C6B"/>
    <w:multiLevelType w:val="multilevel"/>
    <w:tmpl w:val="3C6B1C6B"/>
    <w:lvl w:ilvl="0">
      <w:start w:val="1"/>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0"/>
  </w:num>
  <w:num w:numId="3">
    <w:abstractNumId w:val="8"/>
  </w:num>
  <w:num w:numId="4">
    <w:abstractNumId w:val="9"/>
  </w:num>
  <w:num w:numId="5">
    <w:abstractNumId w:val="2"/>
  </w:num>
  <w:num w:numId="6">
    <w:abstractNumId w:val="1"/>
  </w:num>
  <w:num w:numId="7">
    <w:abstractNumId w:val="6"/>
  </w:num>
  <w:num w:numId="8">
    <w:abstractNumId w:val="11"/>
  </w:num>
  <w:num w:numId="9">
    <w:abstractNumId w:val="5"/>
  </w:num>
  <w:num w:numId="10">
    <w:abstractNumId w:val="4"/>
  </w:num>
  <w:num w:numId="11">
    <w:abstractNumId w:val="7"/>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64E5BAC"/>
    <w:rsid w:val="BBBEF6A1"/>
    <w:rsid w:val="BC7DE770"/>
    <w:rsid w:val="BFE7FDE9"/>
    <w:rsid w:val="DDFE889D"/>
    <w:rsid w:val="E7EEB841"/>
    <w:rsid w:val="EFDF4A70"/>
    <w:rsid w:val="F7D7CA47"/>
    <w:rsid w:val="F89FECFE"/>
    <w:rsid w:val="F9ED3E38"/>
    <w:rsid w:val="FBFD9A2A"/>
    <w:rsid w:val="FCF76EC5"/>
    <w:rsid w:val="FF9F1DF7"/>
    <w:rsid w:val="00000537"/>
    <w:rsid w:val="00000823"/>
    <w:rsid w:val="00001940"/>
    <w:rsid w:val="00001C97"/>
    <w:rsid w:val="0000253C"/>
    <w:rsid w:val="00002862"/>
    <w:rsid w:val="00002C5F"/>
    <w:rsid w:val="00003904"/>
    <w:rsid w:val="00003DF6"/>
    <w:rsid w:val="00003FCF"/>
    <w:rsid w:val="000044DA"/>
    <w:rsid w:val="0000613E"/>
    <w:rsid w:val="0000671D"/>
    <w:rsid w:val="000068C4"/>
    <w:rsid w:val="00006AA0"/>
    <w:rsid w:val="00007BD3"/>
    <w:rsid w:val="00010CED"/>
    <w:rsid w:val="000110CA"/>
    <w:rsid w:val="00011674"/>
    <w:rsid w:val="000118F6"/>
    <w:rsid w:val="00011D9D"/>
    <w:rsid w:val="000125F7"/>
    <w:rsid w:val="00013CB8"/>
    <w:rsid w:val="00014271"/>
    <w:rsid w:val="00014D1E"/>
    <w:rsid w:val="0001509B"/>
    <w:rsid w:val="000151C9"/>
    <w:rsid w:val="00015330"/>
    <w:rsid w:val="0001565F"/>
    <w:rsid w:val="0001701A"/>
    <w:rsid w:val="000170DA"/>
    <w:rsid w:val="00017C43"/>
    <w:rsid w:val="000205C0"/>
    <w:rsid w:val="00020BFF"/>
    <w:rsid w:val="00021A22"/>
    <w:rsid w:val="000224E8"/>
    <w:rsid w:val="00022E4A"/>
    <w:rsid w:val="00023E5C"/>
    <w:rsid w:val="00025434"/>
    <w:rsid w:val="0002553E"/>
    <w:rsid w:val="0002747B"/>
    <w:rsid w:val="00030ED5"/>
    <w:rsid w:val="00031567"/>
    <w:rsid w:val="00032AB8"/>
    <w:rsid w:val="0003413B"/>
    <w:rsid w:val="0003419C"/>
    <w:rsid w:val="000346B7"/>
    <w:rsid w:val="0003489C"/>
    <w:rsid w:val="00034DBD"/>
    <w:rsid w:val="000357E9"/>
    <w:rsid w:val="00035E3F"/>
    <w:rsid w:val="00036E11"/>
    <w:rsid w:val="00037B33"/>
    <w:rsid w:val="00040B64"/>
    <w:rsid w:val="00040D80"/>
    <w:rsid w:val="0004127F"/>
    <w:rsid w:val="000421C4"/>
    <w:rsid w:val="00043BC5"/>
    <w:rsid w:val="00043D7F"/>
    <w:rsid w:val="000442D9"/>
    <w:rsid w:val="00044562"/>
    <w:rsid w:val="000460B7"/>
    <w:rsid w:val="000468A5"/>
    <w:rsid w:val="00047300"/>
    <w:rsid w:val="00047A86"/>
    <w:rsid w:val="00047D2B"/>
    <w:rsid w:val="000502EF"/>
    <w:rsid w:val="0005055D"/>
    <w:rsid w:val="00052018"/>
    <w:rsid w:val="000520DD"/>
    <w:rsid w:val="0005476A"/>
    <w:rsid w:val="00054CEB"/>
    <w:rsid w:val="00057F83"/>
    <w:rsid w:val="00060802"/>
    <w:rsid w:val="00061B84"/>
    <w:rsid w:val="000622D3"/>
    <w:rsid w:val="00062A3B"/>
    <w:rsid w:val="00064173"/>
    <w:rsid w:val="00064F7C"/>
    <w:rsid w:val="000655EF"/>
    <w:rsid w:val="00065DD9"/>
    <w:rsid w:val="00070CDD"/>
    <w:rsid w:val="00072EDF"/>
    <w:rsid w:val="000737BB"/>
    <w:rsid w:val="00073C97"/>
    <w:rsid w:val="00075247"/>
    <w:rsid w:val="00076E64"/>
    <w:rsid w:val="00076E9F"/>
    <w:rsid w:val="00081C37"/>
    <w:rsid w:val="00083024"/>
    <w:rsid w:val="000832CF"/>
    <w:rsid w:val="00083842"/>
    <w:rsid w:val="000843D9"/>
    <w:rsid w:val="00084F0C"/>
    <w:rsid w:val="00084F5E"/>
    <w:rsid w:val="00085DF3"/>
    <w:rsid w:val="00086B96"/>
    <w:rsid w:val="00091226"/>
    <w:rsid w:val="000913DC"/>
    <w:rsid w:val="00091874"/>
    <w:rsid w:val="000918C5"/>
    <w:rsid w:val="00093E22"/>
    <w:rsid w:val="00094829"/>
    <w:rsid w:val="0009762D"/>
    <w:rsid w:val="00097964"/>
    <w:rsid w:val="00097992"/>
    <w:rsid w:val="00097FD1"/>
    <w:rsid w:val="000A10EB"/>
    <w:rsid w:val="000A2D64"/>
    <w:rsid w:val="000A3769"/>
    <w:rsid w:val="000A394F"/>
    <w:rsid w:val="000A3B27"/>
    <w:rsid w:val="000A3CD7"/>
    <w:rsid w:val="000A4357"/>
    <w:rsid w:val="000A4C5A"/>
    <w:rsid w:val="000A689E"/>
    <w:rsid w:val="000A6CBD"/>
    <w:rsid w:val="000B13E4"/>
    <w:rsid w:val="000B3028"/>
    <w:rsid w:val="000B48A6"/>
    <w:rsid w:val="000B4B4A"/>
    <w:rsid w:val="000B54C1"/>
    <w:rsid w:val="000B5774"/>
    <w:rsid w:val="000B5F7E"/>
    <w:rsid w:val="000B78CC"/>
    <w:rsid w:val="000C00E1"/>
    <w:rsid w:val="000C2128"/>
    <w:rsid w:val="000C42DD"/>
    <w:rsid w:val="000C4E93"/>
    <w:rsid w:val="000C5104"/>
    <w:rsid w:val="000C62E2"/>
    <w:rsid w:val="000C6547"/>
    <w:rsid w:val="000C6CBB"/>
    <w:rsid w:val="000C6D76"/>
    <w:rsid w:val="000C6E31"/>
    <w:rsid w:val="000C7168"/>
    <w:rsid w:val="000D0344"/>
    <w:rsid w:val="000D1037"/>
    <w:rsid w:val="000D1CA3"/>
    <w:rsid w:val="000D3B23"/>
    <w:rsid w:val="000D468C"/>
    <w:rsid w:val="000D5EC9"/>
    <w:rsid w:val="000D74E8"/>
    <w:rsid w:val="000E02F8"/>
    <w:rsid w:val="000E13C9"/>
    <w:rsid w:val="000E1964"/>
    <w:rsid w:val="000E301C"/>
    <w:rsid w:val="000E3370"/>
    <w:rsid w:val="000E33C3"/>
    <w:rsid w:val="000E4329"/>
    <w:rsid w:val="000E4FB2"/>
    <w:rsid w:val="000E558F"/>
    <w:rsid w:val="000E7C81"/>
    <w:rsid w:val="000F025B"/>
    <w:rsid w:val="000F1FC4"/>
    <w:rsid w:val="000F446E"/>
    <w:rsid w:val="000F5047"/>
    <w:rsid w:val="000F53CE"/>
    <w:rsid w:val="000F6965"/>
    <w:rsid w:val="000F6E6D"/>
    <w:rsid w:val="000F7A9D"/>
    <w:rsid w:val="000F7B91"/>
    <w:rsid w:val="00100151"/>
    <w:rsid w:val="00100609"/>
    <w:rsid w:val="00100BFE"/>
    <w:rsid w:val="00101C00"/>
    <w:rsid w:val="00101C0B"/>
    <w:rsid w:val="001024B9"/>
    <w:rsid w:val="001039FD"/>
    <w:rsid w:val="001040CF"/>
    <w:rsid w:val="001053B5"/>
    <w:rsid w:val="0010634F"/>
    <w:rsid w:val="00107AA9"/>
    <w:rsid w:val="00107EFF"/>
    <w:rsid w:val="00107FF6"/>
    <w:rsid w:val="00110973"/>
    <w:rsid w:val="00110CE9"/>
    <w:rsid w:val="001117EC"/>
    <w:rsid w:val="001119E6"/>
    <w:rsid w:val="00112C1D"/>
    <w:rsid w:val="001133CF"/>
    <w:rsid w:val="00113571"/>
    <w:rsid w:val="00113586"/>
    <w:rsid w:val="00114EB0"/>
    <w:rsid w:val="001177F1"/>
    <w:rsid w:val="00117B42"/>
    <w:rsid w:val="00117E84"/>
    <w:rsid w:val="00121CA2"/>
    <w:rsid w:val="0012227B"/>
    <w:rsid w:val="001227E7"/>
    <w:rsid w:val="001247EB"/>
    <w:rsid w:val="00125A22"/>
    <w:rsid w:val="00125CC7"/>
    <w:rsid w:val="00126539"/>
    <w:rsid w:val="00126BF7"/>
    <w:rsid w:val="0013091C"/>
    <w:rsid w:val="00130C8A"/>
    <w:rsid w:val="00130D93"/>
    <w:rsid w:val="001312D1"/>
    <w:rsid w:val="0013156C"/>
    <w:rsid w:val="00131814"/>
    <w:rsid w:val="00131884"/>
    <w:rsid w:val="00131EA5"/>
    <w:rsid w:val="0013204A"/>
    <w:rsid w:val="00132625"/>
    <w:rsid w:val="0013370D"/>
    <w:rsid w:val="00133ECD"/>
    <w:rsid w:val="00134F5D"/>
    <w:rsid w:val="00135B09"/>
    <w:rsid w:val="00135B41"/>
    <w:rsid w:val="00140232"/>
    <w:rsid w:val="001402C5"/>
    <w:rsid w:val="0014087A"/>
    <w:rsid w:val="00141333"/>
    <w:rsid w:val="001413BB"/>
    <w:rsid w:val="00141DD6"/>
    <w:rsid w:val="00143C8C"/>
    <w:rsid w:val="00144AA6"/>
    <w:rsid w:val="0014638D"/>
    <w:rsid w:val="00146C75"/>
    <w:rsid w:val="0015093A"/>
    <w:rsid w:val="00150FD5"/>
    <w:rsid w:val="0015114B"/>
    <w:rsid w:val="00152608"/>
    <w:rsid w:val="00153239"/>
    <w:rsid w:val="001551A2"/>
    <w:rsid w:val="0015526C"/>
    <w:rsid w:val="001563A2"/>
    <w:rsid w:val="00157372"/>
    <w:rsid w:val="0016006A"/>
    <w:rsid w:val="0016044E"/>
    <w:rsid w:val="00160DF5"/>
    <w:rsid w:val="00161493"/>
    <w:rsid w:val="001636D5"/>
    <w:rsid w:val="00163EEC"/>
    <w:rsid w:val="00165014"/>
    <w:rsid w:val="001668C0"/>
    <w:rsid w:val="0016764C"/>
    <w:rsid w:val="001679FD"/>
    <w:rsid w:val="0017100B"/>
    <w:rsid w:val="00171F68"/>
    <w:rsid w:val="00175ADD"/>
    <w:rsid w:val="00177369"/>
    <w:rsid w:val="001775C4"/>
    <w:rsid w:val="001778DC"/>
    <w:rsid w:val="00177ED9"/>
    <w:rsid w:val="0018017B"/>
    <w:rsid w:val="00180CAB"/>
    <w:rsid w:val="00181069"/>
    <w:rsid w:val="00184EF7"/>
    <w:rsid w:val="00185A40"/>
    <w:rsid w:val="001860A0"/>
    <w:rsid w:val="00186B52"/>
    <w:rsid w:val="0019227A"/>
    <w:rsid w:val="00195650"/>
    <w:rsid w:val="001977C8"/>
    <w:rsid w:val="00197C7B"/>
    <w:rsid w:val="001A1B88"/>
    <w:rsid w:val="001A1F92"/>
    <w:rsid w:val="001A2382"/>
    <w:rsid w:val="001A34F0"/>
    <w:rsid w:val="001A38C1"/>
    <w:rsid w:val="001A484A"/>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21B"/>
    <w:rsid w:val="001C2AB9"/>
    <w:rsid w:val="001C2DD3"/>
    <w:rsid w:val="001C4A8B"/>
    <w:rsid w:val="001C5F62"/>
    <w:rsid w:val="001C6466"/>
    <w:rsid w:val="001C6FB6"/>
    <w:rsid w:val="001C70E5"/>
    <w:rsid w:val="001D0E4C"/>
    <w:rsid w:val="001D1842"/>
    <w:rsid w:val="001D1EAA"/>
    <w:rsid w:val="001D2965"/>
    <w:rsid w:val="001D4FA8"/>
    <w:rsid w:val="001D504E"/>
    <w:rsid w:val="001D6D47"/>
    <w:rsid w:val="001D6F72"/>
    <w:rsid w:val="001D711B"/>
    <w:rsid w:val="001E0B57"/>
    <w:rsid w:val="001E0E99"/>
    <w:rsid w:val="001E1A4D"/>
    <w:rsid w:val="001E3038"/>
    <w:rsid w:val="001E3592"/>
    <w:rsid w:val="001E35AF"/>
    <w:rsid w:val="001E3784"/>
    <w:rsid w:val="001E41F3"/>
    <w:rsid w:val="001E4AA3"/>
    <w:rsid w:val="001E50E2"/>
    <w:rsid w:val="001E6065"/>
    <w:rsid w:val="001E7450"/>
    <w:rsid w:val="001E7D40"/>
    <w:rsid w:val="001F0201"/>
    <w:rsid w:val="001F0CA1"/>
    <w:rsid w:val="001F2538"/>
    <w:rsid w:val="001F2CFC"/>
    <w:rsid w:val="001F38DF"/>
    <w:rsid w:val="001F3BDF"/>
    <w:rsid w:val="001F46A0"/>
    <w:rsid w:val="001F5B17"/>
    <w:rsid w:val="001F6117"/>
    <w:rsid w:val="001F7A97"/>
    <w:rsid w:val="0020023D"/>
    <w:rsid w:val="00200340"/>
    <w:rsid w:val="002010F1"/>
    <w:rsid w:val="0020116F"/>
    <w:rsid w:val="0020138F"/>
    <w:rsid w:val="00201B6E"/>
    <w:rsid w:val="002023A8"/>
    <w:rsid w:val="002023FE"/>
    <w:rsid w:val="002042A1"/>
    <w:rsid w:val="00204D2E"/>
    <w:rsid w:val="0020587A"/>
    <w:rsid w:val="00205B9C"/>
    <w:rsid w:val="00205BCE"/>
    <w:rsid w:val="00205EE6"/>
    <w:rsid w:val="00206268"/>
    <w:rsid w:val="00206464"/>
    <w:rsid w:val="00207048"/>
    <w:rsid w:val="00207793"/>
    <w:rsid w:val="002107B2"/>
    <w:rsid w:val="0021160E"/>
    <w:rsid w:val="00212651"/>
    <w:rsid w:val="00214219"/>
    <w:rsid w:val="00214991"/>
    <w:rsid w:val="00215546"/>
    <w:rsid w:val="00217946"/>
    <w:rsid w:val="00220898"/>
    <w:rsid w:val="002214AD"/>
    <w:rsid w:val="0022182B"/>
    <w:rsid w:val="00223223"/>
    <w:rsid w:val="00223374"/>
    <w:rsid w:val="00223971"/>
    <w:rsid w:val="0022418F"/>
    <w:rsid w:val="0022499C"/>
    <w:rsid w:val="00224B6C"/>
    <w:rsid w:val="00225BF4"/>
    <w:rsid w:val="002261DC"/>
    <w:rsid w:val="002263AA"/>
    <w:rsid w:val="00226AF5"/>
    <w:rsid w:val="002277A5"/>
    <w:rsid w:val="002302E2"/>
    <w:rsid w:val="002313BF"/>
    <w:rsid w:val="00231E54"/>
    <w:rsid w:val="002321E8"/>
    <w:rsid w:val="002322F7"/>
    <w:rsid w:val="002323C1"/>
    <w:rsid w:val="00232BAB"/>
    <w:rsid w:val="00232E93"/>
    <w:rsid w:val="0023360F"/>
    <w:rsid w:val="00234668"/>
    <w:rsid w:val="00234F69"/>
    <w:rsid w:val="00235251"/>
    <w:rsid w:val="00235B4C"/>
    <w:rsid w:val="00236082"/>
    <w:rsid w:val="00236705"/>
    <w:rsid w:val="0023683D"/>
    <w:rsid w:val="002376A3"/>
    <w:rsid w:val="002379A1"/>
    <w:rsid w:val="00241AD4"/>
    <w:rsid w:val="0024335F"/>
    <w:rsid w:val="00243BC1"/>
    <w:rsid w:val="00244332"/>
    <w:rsid w:val="00245042"/>
    <w:rsid w:val="00245B23"/>
    <w:rsid w:val="00246DE8"/>
    <w:rsid w:val="0025022A"/>
    <w:rsid w:val="00250854"/>
    <w:rsid w:val="00251A3B"/>
    <w:rsid w:val="0025228F"/>
    <w:rsid w:val="002530BE"/>
    <w:rsid w:val="00253E55"/>
    <w:rsid w:val="002541A5"/>
    <w:rsid w:val="00254B25"/>
    <w:rsid w:val="00256294"/>
    <w:rsid w:val="00257195"/>
    <w:rsid w:val="0025749D"/>
    <w:rsid w:val="002578D8"/>
    <w:rsid w:val="00257D30"/>
    <w:rsid w:val="002613A5"/>
    <w:rsid w:val="002631A2"/>
    <w:rsid w:val="00264844"/>
    <w:rsid w:val="00265297"/>
    <w:rsid w:val="00267881"/>
    <w:rsid w:val="002723F2"/>
    <w:rsid w:val="00273821"/>
    <w:rsid w:val="00273FC1"/>
    <w:rsid w:val="00274E67"/>
    <w:rsid w:val="0027555E"/>
    <w:rsid w:val="00275D12"/>
    <w:rsid w:val="00276CD2"/>
    <w:rsid w:val="00276E96"/>
    <w:rsid w:val="00277A1E"/>
    <w:rsid w:val="0028062F"/>
    <w:rsid w:val="002808AD"/>
    <w:rsid w:val="002809AF"/>
    <w:rsid w:val="00280FEC"/>
    <w:rsid w:val="00281EB0"/>
    <w:rsid w:val="0028456D"/>
    <w:rsid w:val="00285749"/>
    <w:rsid w:val="0028675B"/>
    <w:rsid w:val="002918B3"/>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325"/>
    <w:rsid w:val="002B565A"/>
    <w:rsid w:val="002B59FE"/>
    <w:rsid w:val="002B689A"/>
    <w:rsid w:val="002B7766"/>
    <w:rsid w:val="002C0977"/>
    <w:rsid w:val="002C24E5"/>
    <w:rsid w:val="002C28CD"/>
    <w:rsid w:val="002C2A0F"/>
    <w:rsid w:val="002C3F9C"/>
    <w:rsid w:val="002C4BB7"/>
    <w:rsid w:val="002C5758"/>
    <w:rsid w:val="002C5BCD"/>
    <w:rsid w:val="002C63B6"/>
    <w:rsid w:val="002C7216"/>
    <w:rsid w:val="002C73CF"/>
    <w:rsid w:val="002C7B02"/>
    <w:rsid w:val="002D1D19"/>
    <w:rsid w:val="002D28AB"/>
    <w:rsid w:val="002D2931"/>
    <w:rsid w:val="002D32AD"/>
    <w:rsid w:val="002D3445"/>
    <w:rsid w:val="002D3F6E"/>
    <w:rsid w:val="002D4229"/>
    <w:rsid w:val="002D43F8"/>
    <w:rsid w:val="002D4826"/>
    <w:rsid w:val="002D4B06"/>
    <w:rsid w:val="002D4DCF"/>
    <w:rsid w:val="002D721E"/>
    <w:rsid w:val="002D756C"/>
    <w:rsid w:val="002E068A"/>
    <w:rsid w:val="002E0B07"/>
    <w:rsid w:val="002E0E6D"/>
    <w:rsid w:val="002E16EB"/>
    <w:rsid w:val="002E1BC1"/>
    <w:rsid w:val="002E2184"/>
    <w:rsid w:val="002E2C3E"/>
    <w:rsid w:val="002E3333"/>
    <w:rsid w:val="002E3EF6"/>
    <w:rsid w:val="002E4216"/>
    <w:rsid w:val="002E4C5F"/>
    <w:rsid w:val="002E5A45"/>
    <w:rsid w:val="002E5E1A"/>
    <w:rsid w:val="002E74B9"/>
    <w:rsid w:val="002F03BC"/>
    <w:rsid w:val="002F1E63"/>
    <w:rsid w:val="002F3787"/>
    <w:rsid w:val="002F4309"/>
    <w:rsid w:val="002F4657"/>
    <w:rsid w:val="002F55B2"/>
    <w:rsid w:val="002F6B54"/>
    <w:rsid w:val="002F7A88"/>
    <w:rsid w:val="003001D0"/>
    <w:rsid w:val="00302459"/>
    <w:rsid w:val="003028B2"/>
    <w:rsid w:val="00303421"/>
    <w:rsid w:val="00303DCF"/>
    <w:rsid w:val="003045A8"/>
    <w:rsid w:val="00304C5D"/>
    <w:rsid w:val="003053E5"/>
    <w:rsid w:val="00305706"/>
    <w:rsid w:val="00305BD4"/>
    <w:rsid w:val="00305EE5"/>
    <w:rsid w:val="0030696B"/>
    <w:rsid w:val="003079D9"/>
    <w:rsid w:val="00310AAF"/>
    <w:rsid w:val="00310F20"/>
    <w:rsid w:val="0031179C"/>
    <w:rsid w:val="00312856"/>
    <w:rsid w:val="00314DFC"/>
    <w:rsid w:val="0031543D"/>
    <w:rsid w:val="00315E42"/>
    <w:rsid w:val="00315F2F"/>
    <w:rsid w:val="00316D12"/>
    <w:rsid w:val="00316D4A"/>
    <w:rsid w:val="00317E51"/>
    <w:rsid w:val="003205DA"/>
    <w:rsid w:val="0032143F"/>
    <w:rsid w:val="00322BF9"/>
    <w:rsid w:val="00324E7A"/>
    <w:rsid w:val="00325769"/>
    <w:rsid w:val="00325B85"/>
    <w:rsid w:val="00326166"/>
    <w:rsid w:val="00326C1A"/>
    <w:rsid w:val="00327C4D"/>
    <w:rsid w:val="00327C80"/>
    <w:rsid w:val="0033143D"/>
    <w:rsid w:val="00331D74"/>
    <w:rsid w:val="00332B0C"/>
    <w:rsid w:val="00333266"/>
    <w:rsid w:val="00333921"/>
    <w:rsid w:val="00333991"/>
    <w:rsid w:val="00333B90"/>
    <w:rsid w:val="00334763"/>
    <w:rsid w:val="00334BBB"/>
    <w:rsid w:val="00336954"/>
    <w:rsid w:val="003371C6"/>
    <w:rsid w:val="00340141"/>
    <w:rsid w:val="00340FC5"/>
    <w:rsid w:val="00341115"/>
    <w:rsid w:val="00342A3B"/>
    <w:rsid w:val="00342E26"/>
    <w:rsid w:val="003436A3"/>
    <w:rsid w:val="00343FB8"/>
    <w:rsid w:val="003452B6"/>
    <w:rsid w:val="00347361"/>
    <w:rsid w:val="0035052F"/>
    <w:rsid w:val="0035109A"/>
    <w:rsid w:val="003513EF"/>
    <w:rsid w:val="00351711"/>
    <w:rsid w:val="00351B7B"/>
    <w:rsid w:val="00351BCD"/>
    <w:rsid w:val="00352A6B"/>
    <w:rsid w:val="0035378A"/>
    <w:rsid w:val="00353A10"/>
    <w:rsid w:val="00353A17"/>
    <w:rsid w:val="00353B6B"/>
    <w:rsid w:val="00355891"/>
    <w:rsid w:val="00355E3A"/>
    <w:rsid w:val="00355E72"/>
    <w:rsid w:val="003561A9"/>
    <w:rsid w:val="00357A1A"/>
    <w:rsid w:val="00357C16"/>
    <w:rsid w:val="00357C32"/>
    <w:rsid w:val="003601B5"/>
    <w:rsid w:val="00360667"/>
    <w:rsid w:val="003616A4"/>
    <w:rsid w:val="00361D36"/>
    <w:rsid w:val="003621A3"/>
    <w:rsid w:val="00363FF1"/>
    <w:rsid w:val="003643D7"/>
    <w:rsid w:val="00366FA1"/>
    <w:rsid w:val="00367250"/>
    <w:rsid w:val="00367757"/>
    <w:rsid w:val="0037004C"/>
    <w:rsid w:val="003703CB"/>
    <w:rsid w:val="0037119B"/>
    <w:rsid w:val="003716D6"/>
    <w:rsid w:val="00371EED"/>
    <w:rsid w:val="00372A7D"/>
    <w:rsid w:val="00372EED"/>
    <w:rsid w:val="00373E10"/>
    <w:rsid w:val="0037427C"/>
    <w:rsid w:val="00380EBB"/>
    <w:rsid w:val="003819DC"/>
    <w:rsid w:val="00381C0D"/>
    <w:rsid w:val="00381DC8"/>
    <w:rsid w:val="00381F6C"/>
    <w:rsid w:val="00382B41"/>
    <w:rsid w:val="00384193"/>
    <w:rsid w:val="00384EED"/>
    <w:rsid w:val="00384F91"/>
    <w:rsid w:val="003852F4"/>
    <w:rsid w:val="003862C3"/>
    <w:rsid w:val="00387985"/>
    <w:rsid w:val="00390EDA"/>
    <w:rsid w:val="00391BE3"/>
    <w:rsid w:val="003923AD"/>
    <w:rsid w:val="0039304B"/>
    <w:rsid w:val="003935A9"/>
    <w:rsid w:val="00393AB1"/>
    <w:rsid w:val="00393C91"/>
    <w:rsid w:val="00393FA3"/>
    <w:rsid w:val="0039412B"/>
    <w:rsid w:val="00394CE1"/>
    <w:rsid w:val="00394CF5"/>
    <w:rsid w:val="0039604D"/>
    <w:rsid w:val="00396450"/>
    <w:rsid w:val="003A18D4"/>
    <w:rsid w:val="003A2E9C"/>
    <w:rsid w:val="003A38B6"/>
    <w:rsid w:val="003A41E4"/>
    <w:rsid w:val="003A4FE1"/>
    <w:rsid w:val="003A557A"/>
    <w:rsid w:val="003A6D6C"/>
    <w:rsid w:val="003B3117"/>
    <w:rsid w:val="003B5800"/>
    <w:rsid w:val="003B7C7F"/>
    <w:rsid w:val="003B7F7F"/>
    <w:rsid w:val="003C1312"/>
    <w:rsid w:val="003C3310"/>
    <w:rsid w:val="003C4C53"/>
    <w:rsid w:val="003C5549"/>
    <w:rsid w:val="003C6D51"/>
    <w:rsid w:val="003C7216"/>
    <w:rsid w:val="003D0F1F"/>
    <w:rsid w:val="003D17A2"/>
    <w:rsid w:val="003D1A37"/>
    <w:rsid w:val="003D3616"/>
    <w:rsid w:val="003D4B4C"/>
    <w:rsid w:val="003D4CBF"/>
    <w:rsid w:val="003D5DCB"/>
    <w:rsid w:val="003D6692"/>
    <w:rsid w:val="003D6F36"/>
    <w:rsid w:val="003E0E02"/>
    <w:rsid w:val="003E0E80"/>
    <w:rsid w:val="003E1DB6"/>
    <w:rsid w:val="003E2447"/>
    <w:rsid w:val="003E3ABC"/>
    <w:rsid w:val="003E47BE"/>
    <w:rsid w:val="003E4E4F"/>
    <w:rsid w:val="003E4F0B"/>
    <w:rsid w:val="003E576C"/>
    <w:rsid w:val="003E6759"/>
    <w:rsid w:val="003E69F6"/>
    <w:rsid w:val="003E6C2A"/>
    <w:rsid w:val="003E71D0"/>
    <w:rsid w:val="003E7F9C"/>
    <w:rsid w:val="003F1253"/>
    <w:rsid w:val="003F1A72"/>
    <w:rsid w:val="003F1DA4"/>
    <w:rsid w:val="003F21A6"/>
    <w:rsid w:val="003F2306"/>
    <w:rsid w:val="003F27D5"/>
    <w:rsid w:val="003F2910"/>
    <w:rsid w:val="003F2930"/>
    <w:rsid w:val="003F473C"/>
    <w:rsid w:val="003F5304"/>
    <w:rsid w:val="003F5516"/>
    <w:rsid w:val="003F6A59"/>
    <w:rsid w:val="00403406"/>
    <w:rsid w:val="0040734E"/>
    <w:rsid w:val="00407AFD"/>
    <w:rsid w:val="00407F5D"/>
    <w:rsid w:val="00407F9F"/>
    <w:rsid w:val="004122AC"/>
    <w:rsid w:val="004131D9"/>
    <w:rsid w:val="0041390E"/>
    <w:rsid w:val="00414BB3"/>
    <w:rsid w:val="00415963"/>
    <w:rsid w:val="0041669D"/>
    <w:rsid w:val="00416961"/>
    <w:rsid w:val="00416AC5"/>
    <w:rsid w:val="004201F7"/>
    <w:rsid w:val="00421EAB"/>
    <w:rsid w:val="00422253"/>
    <w:rsid w:val="00422AC5"/>
    <w:rsid w:val="004250E4"/>
    <w:rsid w:val="00427079"/>
    <w:rsid w:val="0042735E"/>
    <w:rsid w:val="00431B3D"/>
    <w:rsid w:val="00433E63"/>
    <w:rsid w:val="00434BE2"/>
    <w:rsid w:val="00435C19"/>
    <w:rsid w:val="00435C42"/>
    <w:rsid w:val="00437000"/>
    <w:rsid w:val="004376D9"/>
    <w:rsid w:val="00437A99"/>
    <w:rsid w:val="00441A0F"/>
    <w:rsid w:val="004433DF"/>
    <w:rsid w:val="004436B0"/>
    <w:rsid w:val="00444983"/>
    <w:rsid w:val="00444F8C"/>
    <w:rsid w:val="004453C9"/>
    <w:rsid w:val="00445A1C"/>
    <w:rsid w:val="00445BCA"/>
    <w:rsid w:val="0044674B"/>
    <w:rsid w:val="00446771"/>
    <w:rsid w:val="00450744"/>
    <w:rsid w:val="00450C5C"/>
    <w:rsid w:val="00452126"/>
    <w:rsid w:val="004529A3"/>
    <w:rsid w:val="00453767"/>
    <w:rsid w:val="00453897"/>
    <w:rsid w:val="00454B84"/>
    <w:rsid w:val="004555BE"/>
    <w:rsid w:val="00455F90"/>
    <w:rsid w:val="004567A8"/>
    <w:rsid w:val="00456EF9"/>
    <w:rsid w:val="00456FB2"/>
    <w:rsid w:val="00457E35"/>
    <w:rsid w:val="004600F0"/>
    <w:rsid w:val="0046072B"/>
    <w:rsid w:val="004607BA"/>
    <w:rsid w:val="00460DFE"/>
    <w:rsid w:val="00461B67"/>
    <w:rsid w:val="004651DE"/>
    <w:rsid w:val="004667D7"/>
    <w:rsid w:val="00466B68"/>
    <w:rsid w:val="00466F57"/>
    <w:rsid w:val="00467069"/>
    <w:rsid w:val="00467854"/>
    <w:rsid w:val="004678D4"/>
    <w:rsid w:val="0047169D"/>
    <w:rsid w:val="0047197D"/>
    <w:rsid w:val="00471C06"/>
    <w:rsid w:val="00472352"/>
    <w:rsid w:val="004736B9"/>
    <w:rsid w:val="00473B6E"/>
    <w:rsid w:val="00474FC4"/>
    <w:rsid w:val="0047550E"/>
    <w:rsid w:val="00475FA8"/>
    <w:rsid w:val="004761B3"/>
    <w:rsid w:val="0047651F"/>
    <w:rsid w:val="0047739E"/>
    <w:rsid w:val="004822A4"/>
    <w:rsid w:val="00483D3E"/>
    <w:rsid w:val="00483ED7"/>
    <w:rsid w:val="0048513F"/>
    <w:rsid w:val="00485202"/>
    <w:rsid w:val="004852AE"/>
    <w:rsid w:val="00485C9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1DB3"/>
    <w:rsid w:val="004A2817"/>
    <w:rsid w:val="004A2EF8"/>
    <w:rsid w:val="004A35BF"/>
    <w:rsid w:val="004A3677"/>
    <w:rsid w:val="004A3D2F"/>
    <w:rsid w:val="004A486F"/>
    <w:rsid w:val="004A49E9"/>
    <w:rsid w:val="004A58B2"/>
    <w:rsid w:val="004A5A10"/>
    <w:rsid w:val="004A5E19"/>
    <w:rsid w:val="004A66C7"/>
    <w:rsid w:val="004A6E92"/>
    <w:rsid w:val="004A715A"/>
    <w:rsid w:val="004A724B"/>
    <w:rsid w:val="004A7C06"/>
    <w:rsid w:val="004A7E8D"/>
    <w:rsid w:val="004B3D21"/>
    <w:rsid w:val="004B3D55"/>
    <w:rsid w:val="004B4C38"/>
    <w:rsid w:val="004B5426"/>
    <w:rsid w:val="004B5622"/>
    <w:rsid w:val="004B73E3"/>
    <w:rsid w:val="004B763E"/>
    <w:rsid w:val="004C14E9"/>
    <w:rsid w:val="004C235F"/>
    <w:rsid w:val="004C2769"/>
    <w:rsid w:val="004C2932"/>
    <w:rsid w:val="004C32A5"/>
    <w:rsid w:val="004C3F63"/>
    <w:rsid w:val="004C41DF"/>
    <w:rsid w:val="004C4599"/>
    <w:rsid w:val="004C4D32"/>
    <w:rsid w:val="004C4FA4"/>
    <w:rsid w:val="004C5480"/>
    <w:rsid w:val="004C5649"/>
    <w:rsid w:val="004C702B"/>
    <w:rsid w:val="004C7705"/>
    <w:rsid w:val="004D0597"/>
    <w:rsid w:val="004D221A"/>
    <w:rsid w:val="004D2401"/>
    <w:rsid w:val="004D244F"/>
    <w:rsid w:val="004D2BD7"/>
    <w:rsid w:val="004D5606"/>
    <w:rsid w:val="004D6157"/>
    <w:rsid w:val="004D679B"/>
    <w:rsid w:val="004D6E09"/>
    <w:rsid w:val="004E0188"/>
    <w:rsid w:val="004E09C2"/>
    <w:rsid w:val="004E118E"/>
    <w:rsid w:val="004E1D68"/>
    <w:rsid w:val="004E22D6"/>
    <w:rsid w:val="004E6920"/>
    <w:rsid w:val="004E7EAF"/>
    <w:rsid w:val="004F08E6"/>
    <w:rsid w:val="004F0D89"/>
    <w:rsid w:val="004F16DF"/>
    <w:rsid w:val="004F2ABD"/>
    <w:rsid w:val="004F2B49"/>
    <w:rsid w:val="004F2C82"/>
    <w:rsid w:val="004F30D4"/>
    <w:rsid w:val="004F3427"/>
    <w:rsid w:val="004F34D4"/>
    <w:rsid w:val="004F3BBB"/>
    <w:rsid w:val="004F5418"/>
    <w:rsid w:val="004F58BC"/>
    <w:rsid w:val="004F5A8A"/>
    <w:rsid w:val="004F60A9"/>
    <w:rsid w:val="004F6211"/>
    <w:rsid w:val="004F6F3D"/>
    <w:rsid w:val="004F73A5"/>
    <w:rsid w:val="004F76F4"/>
    <w:rsid w:val="00501087"/>
    <w:rsid w:val="005014DE"/>
    <w:rsid w:val="00502CE9"/>
    <w:rsid w:val="00503992"/>
    <w:rsid w:val="00504ABB"/>
    <w:rsid w:val="00504E75"/>
    <w:rsid w:val="005051E7"/>
    <w:rsid w:val="005058E9"/>
    <w:rsid w:val="00506CEC"/>
    <w:rsid w:val="00510F75"/>
    <w:rsid w:val="00512344"/>
    <w:rsid w:val="005125DD"/>
    <w:rsid w:val="00512908"/>
    <w:rsid w:val="0051371E"/>
    <w:rsid w:val="00514BA5"/>
    <w:rsid w:val="00514D26"/>
    <w:rsid w:val="00516344"/>
    <w:rsid w:val="0051671D"/>
    <w:rsid w:val="00516808"/>
    <w:rsid w:val="00517F96"/>
    <w:rsid w:val="005203B7"/>
    <w:rsid w:val="0052072E"/>
    <w:rsid w:val="005223F3"/>
    <w:rsid w:val="005224AD"/>
    <w:rsid w:val="00522A48"/>
    <w:rsid w:val="00523857"/>
    <w:rsid w:val="00523B56"/>
    <w:rsid w:val="005242AC"/>
    <w:rsid w:val="00525A0A"/>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9A7"/>
    <w:rsid w:val="005400FA"/>
    <w:rsid w:val="0054059A"/>
    <w:rsid w:val="00540EB4"/>
    <w:rsid w:val="00541256"/>
    <w:rsid w:val="005424FD"/>
    <w:rsid w:val="00543B36"/>
    <w:rsid w:val="0054438E"/>
    <w:rsid w:val="005456E5"/>
    <w:rsid w:val="00545786"/>
    <w:rsid w:val="00545827"/>
    <w:rsid w:val="00546EF4"/>
    <w:rsid w:val="00547583"/>
    <w:rsid w:val="005475BF"/>
    <w:rsid w:val="0054785C"/>
    <w:rsid w:val="005478D5"/>
    <w:rsid w:val="00547B1A"/>
    <w:rsid w:val="005501A1"/>
    <w:rsid w:val="00550DD0"/>
    <w:rsid w:val="00551346"/>
    <w:rsid w:val="00551C3E"/>
    <w:rsid w:val="00551DDD"/>
    <w:rsid w:val="00552D60"/>
    <w:rsid w:val="00553B83"/>
    <w:rsid w:val="005546C7"/>
    <w:rsid w:val="00555282"/>
    <w:rsid w:val="005554DB"/>
    <w:rsid w:val="005556ED"/>
    <w:rsid w:val="00556125"/>
    <w:rsid w:val="005567AA"/>
    <w:rsid w:val="00557C6C"/>
    <w:rsid w:val="005602B5"/>
    <w:rsid w:val="005609CE"/>
    <w:rsid w:val="005618B6"/>
    <w:rsid w:val="00562F23"/>
    <w:rsid w:val="005634D7"/>
    <w:rsid w:val="005646BF"/>
    <w:rsid w:val="005650FA"/>
    <w:rsid w:val="00566E95"/>
    <w:rsid w:val="0056791E"/>
    <w:rsid w:val="00567EB3"/>
    <w:rsid w:val="00570CF3"/>
    <w:rsid w:val="00571F8F"/>
    <w:rsid w:val="00572763"/>
    <w:rsid w:val="00572797"/>
    <w:rsid w:val="005728A9"/>
    <w:rsid w:val="00572B6C"/>
    <w:rsid w:val="00572D3D"/>
    <w:rsid w:val="005736FD"/>
    <w:rsid w:val="00573C46"/>
    <w:rsid w:val="00573CE7"/>
    <w:rsid w:val="00573E45"/>
    <w:rsid w:val="00573FE3"/>
    <w:rsid w:val="0057426E"/>
    <w:rsid w:val="00575C14"/>
    <w:rsid w:val="00576B52"/>
    <w:rsid w:val="00576B57"/>
    <w:rsid w:val="00577754"/>
    <w:rsid w:val="00577C47"/>
    <w:rsid w:val="0058102B"/>
    <w:rsid w:val="0058196C"/>
    <w:rsid w:val="005831DD"/>
    <w:rsid w:val="005833EF"/>
    <w:rsid w:val="00583D3F"/>
    <w:rsid w:val="0058472F"/>
    <w:rsid w:val="00584912"/>
    <w:rsid w:val="005865D8"/>
    <w:rsid w:val="00586DD7"/>
    <w:rsid w:val="00586F21"/>
    <w:rsid w:val="005932E4"/>
    <w:rsid w:val="005936AE"/>
    <w:rsid w:val="005936AF"/>
    <w:rsid w:val="005944B8"/>
    <w:rsid w:val="005944E5"/>
    <w:rsid w:val="00594F1D"/>
    <w:rsid w:val="005950B0"/>
    <w:rsid w:val="0059611C"/>
    <w:rsid w:val="005969D8"/>
    <w:rsid w:val="00596CCB"/>
    <w:rsid w:val="005A0686"/>
    <w:rsid w:val="005A1934"/>
    <w:rsid w:val="005A2C0F"/>
    <w:rsid w:val="005A3E77"/>
    <w:rsid w:val="005A5317"/>
    <w:rsid w:val="005A5B67"/>
    <w:rsid w:val="005A6F63"/>
    <w:rsid w:val="005A77C6"/>
    <w:rsid w:val="005B0621"/>
    <w:rsid w:val="005B142A"/>
    <w:rsid w:val="005B17D5"/>
    <w:rsid w:val="005B1D67"/>
    <w:rsid w:val="005B21D8"/>
    <w:rsid w:val="005B286F"/>
    <w:rsid w:val="005B288E"/>
    <w:rsid w:val="005B42A4"/>
    <w:rsid w:val="005B5098"/>
    <w:rsid w:val="005B57AD"/>
    <w:rsid w:val="005B662F"/>
    <w:rsid w:val="005B79EA"/>
    <w:rsid w:val="005C0B1C"/>
    <w:rsid w:val="005C25B7"/>
    <w:rsid w:val="005C3BAF"/>
    <w:rsid w:val="005C3EA0"/>
    <w:rsid w:val="005C6730"/>
    <w:rsid w:val="005C7656"/>
    <w:rsid w:val="005D0520"/>
    <w:rsid w:val="005D08EA"/>
    <w:rsid w:val="005D0BF1"/>
    <w:rsid w:val="005D1877"/>
    <w:rsid w:val="005D1DAC"/>
    <w:rsid w:val="005D2E91"/>
    <w:rsid w:val="005D34B6"/>
    <w:rsid w:val="005D36B1"/>
    <w:rsid w:val="005D38FB"/>
    <w:rsid w:val="005D46A2"/>
    <w:rsid w:val="005D5A2E"/>
    <w:rsid w:val="005D693A"/>
    <w:rsid w:val="005E0079"/>
    <w:rsid w:val="005E066C"/>
    <w:rsid w:val="005E2C44"/>
    <w:rsid w:val="005E300B"/>
    <w:rsid w:val="005E3280"/>
    <w:rsid w:val="005E5A4E"/>
    <w:rsid w:val="005E64D8"/>
    <w:rsid w:val="005F0E08"/>
    <w:rsid w:val="005F1896"/>
    <w:rsid w:val="005F48CD"/>
    <w:rsid w:val="005F5014"/>
    <w:rsid w:val="00600BB7"/>
    <w:rsid w:val="00600E5D"/>
    <w:rsid w:val="006012B9"/>
    <w:rsid w:val="00602547"/>
    <w:rsid w:val="006050F1"/>
    <w:rsid w:val="00606F7E"/>
    <w:rsid w:val="00607113"/>
    <w:rsid w:val="0060743C"/>
    <w:rsid w:val="006079DE"/>
    <w:rsid w:val="00610758"/>
    <w:rsid w:val="0061083C"/>
    <w:rsid w:val="0061138D"/>
    <w:rsid w:val="00611D7A"/>
    <w:rsid w:val="00611FB2"/>
    <w:rsid w:val="00615149"/>
    <w:rsid w:val="00615C80"/>
    <w:rsid w:val="00615EEE"/>
    <w:rsid w:val="006209D5"/>
    <w:rsid w:val="00620B0F"/>
    <w:rsid w:val="00621D26"/>
    <w:rsid w:val="00622936"/>
    <w:rsid w:val="00623FA7"/>
    <w:rsid w:val="00625940"/>
    <w:rsid w:val="00625CEF"/>
    <w:rsid w:val="00625D09"/>
    <w:rsid w:val="0062601F"/>
    <w:rsid w:val="006261DD"/>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19B3"/>
    <w:rsid w:val="00642782"/>
    <w:rsid w:val="006429F8"/>
    <w:rsid w:val="00643726"/>
    <w:rsid w:val="006438A5"/>
    <w:rsid w:val="006439F7"/>
    <w:rsid w:val="00643D70"/>
    <w:rsid w:val="00643FDE"/>
    <w:rsid w:val="0064404E"/>
    <w:rsid w:val="006443C2"/>
    <w:rsid w:val="0064472A"/>
    <w:rsid w:val="0064476B"/>
    <w:rsid w:val="00646458"/>
    <w:rsid w:val="00646DBD"/>
    <w:rsid w:val="00647E1E"/>
    <w:rsid w:val="006502B8"/>
    <w:rsid w:val="00652E41"/>
    <w:rsid w:val="00652EF1"/>
    <w:rsid w:val="00653D47"/>
    <w:rsid w:val="0065407D"/>
    <w:rsid w:val="00654A1C"/>
    <w:rsid w:val="00656155"/>
    <w:rsid w:val="00656298"/>
    <w:rsid w:val="00656913"/>
    <w:rsid w:val="0065733B"/>
    <w:rsid w:val="006576F4"/>
    <w:rsid w:val="0065784D"/>
    <w:rsid w:val="0066041B"/>
    <w:rsid w:val="00661F1C"/>
    <w:rsid w:val="00662D5E"/>
    <w:rsid w:val="006631D6"/>
    <w:rsid w:val="006631D9"/>
    <w:rsid w:val="006645D7"/>
    <w:rsid w:val="00664C7E"/>
    <w:rsid w:val="0066605D"/>
    <w:rsid w:val="006660C6"/>
    <w:rsid w:val="00666395"/>
    <w:rsid w:val="00666DD8"/>
    <w:rsid w:val="006705F0"/>
    <w:rsid w:val="00670B5A"/>
    <w:rsid w:val="00670B7C"/>
    <w:rsid w:val="00670E91"/>
    <w:rsid w:val="00671283"/>
    <w:rsid w:val="006713FA"/>
    <w:rsid w:val="006726F6"/>
    <w:rsid w:val="00673B4E"/>
    <w:rsid w:val="00673F38"/>
    <w:rsid w:val="00674A87"/>
    <w:rsid w:val="00674FF0"/>
    <w:rsid w:val="006765FF"/>
    <w:rsid w:val="00681497"/>
    <w:rsid w:val="00682BA0"/>
    <w:rsid w:val="00683590"/>
    <w:rsid w:val="00683A98"/>
    <w:rsid w:val="0068422A"/>
    <w:rsid w:val="006853A9"/>
    <w:rsid w:val="00685676"/>
    <w:rsid w:val="00685AC5"/>
    <w:rsid w:val="00685CB5"/>
    <w:rsid w:val="0068764D"/>
    <w:rsid w:val="00690209"/>
    <w:rsid w:val="006906C2"/>
    <w:rsid w:val="00690D77"/>
    <w:rsid w:val="00691B18"/>
    <w:rsid w:val="00693A52"/>
    <w:rsid w:val="00694F02"/>
    <w:rsid w:val="00696285"/>
    <w:rsid w:val="006A443D"/>
    <w:rsid w:val="006A4BC4"/>
    <w:rsid w:val="006A4D7D"/>
    <w:rsid w:val="006A664F"/>
    <w:rsid w:val="006A6838"/>
    <w:rsid w:val="006A6996"/>
    <w:rsid w:val="006A6C31"/>
    <w:rsid w:val="006B007A"/>
    <w:rsid w:val="006B08BE"/>
    <w:rsid w:val="006B178C"/>
    <w:rsid w:val="006B1CA7"/>
    <w:rsid w:val="006B2F6F"/>
    <w:rsid w:val="006B4EF4"/>
    <w:rsid w:val="006B504A"/>
    <w:rsid w:val="006B512F"/>
    <w:rsid w:val="006B5246"/>
    <w:rsid w:val="006B6D17"/>
    <w:rsid w:val="006C09F2"/>
    <w:rsid w:val="006C0EE6"/>
    <w:rsid w:val="006C13FC"/>
    <w:rsid w:val="006C366D"/>
    <w:rsid w:val="006C3B71"/>
    <w:rsid w:val="006C3E60"/>
    <w:rsid w:val="006C73D1"/>
    <w:rsid w:val="006C76A0"/>
    <w:rsid w:val="006D0082"/>
    <w:rsid w:val="006D059C"/>
    <w:rsid w:val="006D0D08"/>
    <w:rsid w:val="006D1132"/>
    <w:rsid w:val="006D1E5C"/>
    <w:rsid w:val="006D3886"/>
    <w:rsid w:val="006D39AD"/>
    <w:rsid w:val="006D610E"/>
    <w:rsid w:val="006D6A93"/>
    <w:rsid w:val="006D6B98"/>
    <w:rsid w:val="006D6FC7"/>
    <w:rsid w:val="006E0B67"/>
    <w:rsid w:val="006E0CB0"/>
    <w:rsid w:val="006E0DB9"/>
    <w:rsid w:val="006E168D"/>
    <w:rsid w:val="006E208E"/>
    <w:rsid w:val="006E21E4"/>
    <w:rsid w:val="006E23B3"/>
    <w:rsid w:val="006E3A1C"/>
    <w:rsid w:val="006E46B3"/>
    <w:rsid w:val="006E59BA"/>
    <w:rsid w:val="006F1D76"/>
    <w:rsid w:val="006F1DCB"/>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2C3D"/>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6E95"/>
    <w:rsid w:val="007174EE"/>
    <w:rsid w:val="00720566"/>
    <w:rsid w:val="00720AED"/>
    <w:rsid w:val="00720CE4"/>
    <w:rsid w:val="00721BB2"/>
    <w:rsid w:val="00721E8E"/>
    <w:rsid w:val="007237E8"/>
    <w:rsid w:val="00726AB8"/>
    <w:rsid w:val="00726B94"/>
    <w:rsid w:val="007270C9"/>
    <w:rsid w:val="007277FE"/>
    <w:rsid w:val="007304DD"/>
    <w:rsid w:val="007310F2"/>
    <w:rsid w:val="007316DF"/>
    <w:rsid w:val="007320A6"/>
    <w:rsid w:val="00732E28"/>
    <w:rsid w:val="00733013"/>
    <w:rsid w:val="00733D85"/>
    <w:rsid w:val="007359D7"/>
    <w:rsid w:val="0073602F"/>
    <w:rsid w:val="007378BA"/>
    <w:rsid w:val="0074377F"/>
    <w:rsid w:val="00744523"/>
    <w:rsid w:val="007464A1"/>
    <w:rsid w:val="00746768"/>
    <w:rsid w:val="00746817"/>
    <w:rsid w:val="007468E1"/>
    <w:rsid w:val="00746DAC"/>
    <w:rsid w:val="007501DC"/>
    <w:rsid w:val="007503B9"/>
    <w:rsid w:val="007506E8"/>
    <w:rsid w:val="0075286F"/>
    <w:rsid w:val="007538D1"/>
    <w:rsid w:val="00753A02"/>
    <w:rsid w:val="0075402D"/>
    <w:rsid w:val="00754097"/>
    <w:rsid w:val="00755956"/>
    <w:rsid w:val="00761AD4"/>
    <w:rsid w:val="00764D85"/>
    <w:rsid w:val="007652AA"/>
    <w:rsid w:val="00765492"/>
    <w:rsid w:val="007659A7"/>
    <w:rsid w:val="00765E5F"/>
    <w:rsid w:val="00766154"/>
    <w:rsid w:val="00766225"/>
    <w:rsid w:val="007678AB"/>
    <w:rsid w:val="007678C0"/>
    <w:rsid w:val="007700E9"/>
    <w:rsid w:val="00772EE9"/>
    <w:rsid w:val="00773E86"/>
    <w:rsid w:val="00774029"/>
    <w:rsid w:val="00774723"/>
    <w:rsid w:val="00774B66"/>
    <w:rsid w:val="00775151"/>
    <w:rsid w:val="007751E2"/>
    <w:rsid w:val="007755FD"/>
    <w:rsid w:val="00775BE0"/>
    <w:rsid w:val="007764BF"/>
    <w:rsid w:val="00776727"/>
    <w:rsid w:val="00776B4A"/>
    <w:rsid w:val="00776D40"/>
    <w:rsid w:val="00777259"/>
    <w:rsid w:val="007778F6"/>
    <w:rsid w:val="007806CB"/>
    <w:rsid w:val="00780B3C"/>
    <w:rsid w:val="00781E7F"/>
    <w:rsid w:val="00783003"/>
    <w:rsid w:val="007831B3"/>
    <w:rsid w:val="00783551"/>
    <w:rsid w:val="00784C60"/>
    <w:rsid w:val="0078572C"/>
    <w:rsid w:val="00785739"/>
    <w:rsid w:val="007869BC"/>
    <w:rsid w:val="007877CE"/>
    <w:rsid w:val="007878BA"/>
    <w:rsid w:val="00787D2A"/>
    <w:rsid w:val="007922F8"/>
    <w:rsid w:val="00792CD6"/>
    <w:rsid w:val="007931BA"/>
    <w:rsid w:val="0079442D"/>
    <w:rsid w:val="00794441"/>
    <w:rsid w:val="00795D35"/>
    <w:rsid w:val="00795E88"/>
    <w:rsid w:val="00796155"/>
    <w:rsid w:val="00796522"/>
    <w:rsid w:val="00796B2F"/>
    <w:rsid w:val="00797D98"/>
    <w:rsid w:val="007A4999"/>
    <w:rsid w:val="007A4CD1"/>
    <w:rsid w:val="007A76A0"/>
    <w:rsid w:val="007B04B3"/>
    <w:rsid w:val="007B1072"/>
    <w:rsid w:val="007B446A"/>
    <w:rsid w:val="007B512A"/>
    <w:rsid w:val="007B5967"/>
    <w:rsid w:val="007B6720"/>
    <w:rsid w:val="007B73D6"/>
    <w:rsid w:val="007B744C"/>
    <w:rsid w:val="007B74F1"/>
    <w:rsid w:val="007B787C"/>
    <w:rsid w:val="007C1493"/>
    <w:rsid w:val="007C1ABF"/>
    <w:rsid w:val="007C31E4"/>
    <w:rsid w:val="007C377C"/>
    <w:rsid w:val="007C3D26"/>
    <w:rsid w:val="007C4F48"/>
    <w:rsid w:val="007C50C2"/>
    <w:rsid w:val="007C6471"/>
    <w:rsid w:val="007C6B55"/>
    <w:rsid w:val="007C7583"/>
    <w:rsid w:val="007D10FB"/>
    <w:rsid w:val="007D180C"/>
    <w:rsid w:val="007D1F62"/>
    <w:rsid w:val="007D3507"/>
    <w:rsid w:val="007D36E2"/>
    <w:rsid w:val="007D36F1"/>
    <w:rsid w:val="007D3E81"/>
    <w:rsid w:val="007D4827"/>
    <w:rsid w:val="007D54F5"/>
    <w:rsid w:val="007D5CB6"/>
    <w:rsid w:val="007D6BB2"/>
    <w:rsid w:val="007D7072"/>
    <w:rsid w:val="007E06D6"/>
    <w:rsid w:val="007E1EB8"/>
    <w:rsid w:val="007E2488"/>
    <w:rsid w:val="007E29EC"/>
    <w:rsid w:val="007E3B8F"/>
    <w:rsid w:val="007E6913"/>
    <w:rsid w:val="007E7FB5"/>
    <w:rsid w:val="007E7FB6"/>
    <w:rsid w:val="007F0E6B"/>
    <w:rsid w:val="007F11E8"/>
    <w:rsid w:val="007F12FC"/>
    <w:rsid w:val="007F1803"/>
    <w:rsid w:val="007F2759"/>
    <w:rsid w:val="007F4E74"/>
    <w:rsid w:val="007F5DA5"/>
    <w:rsid w:val="007F749D"/>
    <w:rsid w:val="007F750E"/>
    <w:rsid w:val="007F7A8D"/>
    <w:rsid w:val="007F7ACC"/>
    <w:rsid w:val="00801159"/>
    <w:rsid w:val="00801B02"/>
    <w:rsid w:val="00801B4F"/>
    <w:rsid w:val="0080469E"/>
    <w:rsid w:val="00804A7D"/>
    <w:rsid w:val="0080622C"/>
    <w:rsid w:val="00806BC5"/>
    <w:rsid w:val="00807E69"/>
    <w:rsid w:val="00810B65"/>
    <w:rsid w:val="00811EB2"/>
    <w:rsid w:val="00811FC3"/>
    <w:rsid w:val="00814156"/>
    <w:rsid w:val="008205BB"/>
    <w:rsid w:val="00822F59"/>
    <w:rsid w:val="0082326C"/>
    <w:rsid w:val="008236A1"/>
    <w:rsid w:val="00826975"/>
    <w:rsid w:val="00827178"/>
    <w:rsid w:val="00827BE8"/>
    <w:rsid w:val="0083056C"/>
    <w:rsid w:val="008309FB"/>
    <w:rsid w:val="008316E1"/>
    <w:rsid w:val="0083245A"/>
    <w:rsid w:val="00832EE8"/>
    <w:rsid w:val="00833076"/>
    <w:rsid w:val="008341DD"/>
    <w:rsid w:val="00835204"/>
    <w:rsid w:val="0083568C"/>
    <w:rsid w:val="0083606D"/>
    <w:rsid w:val="00836974"/>
    <w:rsid w:val="00836CE5"/>
    <w:rsid w:val="00837EEB"/>
    <w:rsid w:val="008403A5"/>
    <w:rsid w:val="008421D3"/>
    <w:rsid w:val="00842F5B"/>
    <w:rsid w:val="0084376F"/>
    <w:rsid w:val="00843B67"/>
    <w:rsid w:val="0084422A"/>
    <w:rsid w:val="00847222"/>
    <w:rsid w:val="00847343"/>
    <w:rsid w:val="008506A1"/>
    <w:rsid w:val="00850DCF"/>
    <w:rsid w:val="008525BE"/>
    <w:rsid w:val="008537FC"/>
    <w:rsid w:val="00853CFD"/>
    <w:rsid w:val="0085416F"/>
    <w:rsid w:val="00855B68"/>
    <w:rsid w:val="0085631C"/>
    <w:rsid w:val="0085641C"/>
    <w:rsid w:val="008620E3"/>
    <w:rsid w:val="008627B4"/>
    <w:rsid w:val="00863463"/>
    <w:rsid w:val="0086790E"/>
    <w:rsid w:val="008728FA"/>
    <w:rsid w:val="00872C69"/>
    <w:rsid w:val="00873AA0"/>
    <w:rsid w:val="00874E26"/>
    <w:rsid w:val="008761D3"/>
    <w:rsid w:val="00876865"/>
    <w:rsid w:val="008809A6"/>
    <w:rsid w:val="0088193D"/>
    <w:rsid w:val="00881BC8"/>
    <w:rsid w:val="008838A3"/>
    <w:rsid w:val="00883DE9"/>
    <w:rsid w:val="00884DB8"/>
    <w:rsid w:val="00884E52"/>
    <w:rsid w:val="008851E6"/>
    <w:rsid w:val="00885747"/>
    <w:rsid w:val="008860B9"/>
    <w:rsid w:val="0088719C"/>
    <w:rsid w:val="00887880"/>
    <w:rsid w:val="0089005A"/>
    <w:rsid w:val="00890994"/>
    <w:rsid w:val="00890C7C"/>
    <w:rsid w:val="00890F8C"/>
    <w:rsid w:val="008922C2"/>
    <w:rsid w:val="00892701"/>
    <w:rsid w:val="00892CEF"/>
    <w:rsid w:val="008946B7"/>
    <w:rsid w:val="0089648F"/>
    <w:rsid w:val="00897872"/>
    <w:rsid w:val="008A0411"/>
    <w:rsid w:val="008A07B6"/>
    <w:rsid w:val="008A089A"/>
    <w:rsid w:val="008A4B74"/>
    <w:rsid w:val="008A58C6"/>
    <w:rsid w:val="008A5FCC"/>
    <w:rsid w:val="008A60C1"/>
    <w:rsid w:val="008A6681"/>
    <w:rsid w:val="008A6A6E"/>
    <w:rsid w:val="008A6E23"/>
    <w:rsid w:val="008A701C"/>
    <w:rsid w:val="008A7C51"/>
    <w:rsid w:val="008B03C4"/>
    <w:rsid w:val="008B1A4E"/>
    <w:rsid w:val="008B1A91"/>
    <w:rsid w:val="008B2872"/>
    <w:rsid w:val="008B291E"/>
    <w:rsid w:val="008B574B"/>
    <w:rsid w:val="008B622C"/>
    <w:rsid w:val="008B6BBE"/>
    <w:rsid w:val="008B7099"/>
    <w:rsid w:val="008B719B"/>
    <w:rsid w:val="008B751B"/>
    <w:rsid w:val="008C0CFF"/>
    <w:rsid w:val="008C13BB"/>
    <w:rsid w:val="008C195A"/>
    <w:rsid w:val="008C1E98"/>
    <w:rsid w:val="008C2871"/>
    <w:rsid w:val="008C320D"/>
    <w:rsid w:val="008C39C5"/>
    <w:rsid w:val="008C4E04"/>
    <w:rsid w:val="008C51DE"/>
    <w:rsid w:val="008C53F3"/>
    <w:rsid w:val="008C7645"/>
    <w:rsid w:val="008C7D0D"/>
    <w:rsid w:val="008D0901"/>
    <w:rsid w:val="008D1335"/>
    <w:rsid w:val="008D1CC6"/>
    <w:rsid w:val="008D25B9"/>
    <w:rsid w:val="008D2C81"/>
    <w:rsid w:val="008D38CA"/>
    <w:rsid w:val="008D54BC"/>
    <w:rsid w:val="008D54D3"/>
    <w:rsid w:val="008D5FF6"/>
    <w:rsid w:val="008D62F9"/>
    <w:rsid w:val="008D665E"/>
    <w:rsid w:val="008D6B8C"/>
    <w:rsid w:val="008E03B8"/>
    <w:rsid w:val="008E0711"/>
    <w:rsid w:val="008E0875"/>
    <w:rsid w:val="008E1005"/>
    <w:rsid w:val="008E120E"/>
    <w:rsid w:val="008E317F"/>
    <w:rsid w:val="008E4174"/>
    <w:rsid w:val="008E48DB"/>
    <w:rsid w:val="008E4BE3"/>
    <w:rsid w:val="008E4CAC"/>
    <w:rsid w:val="008E5BD5"/>
    <w:rsid w:val="008E5CF9"/>
    <w:rsid w:val="008E71B8"/>
    <w:rsid w:val="008E726F"/>
    <w:rsid w:val="008E79CD"/>
    <w:rsid w:val="008E7DBA"/>
    <w:rsid w:val="008F1077"/>
    <w:rsid w:val="008F1DD5"/>
    <w:rsid w:val="008F2B18"/>
    <w:rsid w:val="008F2E09"/>
    <w:rsid w:val="008F2E96"/>
    <w:rsid w:val="008F316F"/>
    <w:rsid w:val="008F3493"/>
    <w:rsid w:val="008F3C0D"/>
    <w:rsid w:val="008F4441"/>
    <w:rsid w:val="008F5B85"/>
    <w:rsid w:val="008F6E98"/>
    <w:rsid w:val="008F77B1"/>
    <w:rsid w:val="008F797E"/>
    <w:rsid w:val="008F7CD0"/>
    <w:rsid w:val="00900564"/>
    <w:rsid w:val="00900ECE"/>
    <w:rsid w:val="009029D6"/>
    <w:rsid w:val="009031F0"/>
    <w:rsid w:val="009035C5"/>
    <w:rsid w:val="00904758"/>
    <w:rsid w:val="009051C8"/>
    <w:rsid w:val="00905409"/>
    <w:rsid w:val="00905879"/>
    <w:rsid w:val="00905B1B"/>
    <w:rsid w:val="0090710A"/>
    <w:rsid w:val="00910004"/>
    <w:rsid w:val="00910153"/>
    <w:rsid w:val="00910313"/>
    <w:rsid w:val="00910952"/>
    <w:rsid w:val="009118A8"/>
    <w:rsid w:val="009125AB"/>
    <w:rsid w:val="00916611"/>
    <w:rsid w:val="009173E2"/>
    <w:rsid w:val="0091792E"/>
    <w:rsid w:val="0092018B"/>
    <w:rsid w:val="00920974"/>
    <w:rsid w:val="00921032"/>
    <w:rsid w:val="00922225"/>
    <w:rsid w:val="009222D0"/>
    <w:rsid w:val="00922D7C"/>
    <w:rsid w:val="009239BB"/>
    <w:rsid w:val="0092516E"/>
    <w:rsid w:val="00926114"/>
    <w:rsid w:val="00927857"/>
    <w:rsid w:val="00931D6E"/>
    <w:rsid w:val="00931E63"/>
    <w:rsid w:val="00932114"/>
    <w:rsid w:val="0093285A"/>
    <w:rsid w:val="00932AE1"/>
    <w:rsid w:val="00933D96"/>
    <w:rsid w:val="009345CA"/>
    <w:rsid w:val="00934889"/>
    <w:rsid w:val="00935166"/>
    <w:rsid w:val="00935487"/>
    <w:rsid w:val="00935557"/>
    <w:rsid w:val="0093654F"/>
    <w:rsid w:val="0093757B"/>
    <w:rsid w:val="00937F89"/>
    <w:rsid w:val="0094074A"/>
    <w:rsid w:val="009421CA"/>
    <w:rsid w:val="00942DAE"/>
    <w:rsid w:val="00942E79"/>
    <w:rsid w:val="00943041"/>
    <w:rsid w:val="009433E5"/>
    <w:rsid w:val="00943AAA"/>
    <w:rsid w:val="00946A28"/>
    <w:rsid w:val="00947487"/>
    <w:rsid w:val="009477AB"/>
    <w:rsid w:val="00950BB4"/>
    <w:rsid w:val="00951CDA"/>
    <w:rsid w:val="00952731"/>
    <w:rsid w:val="00952DFC"/>
    <w:rsid w:val="009532B9"/>
    <w:rsid w:val="00953FE9"/>
    <w:rsid w:val="00954A16"/>
    <w:rsid w:val="00955911"/>
    <w:rsid w:val="00955C83"/>
    <w:rsid w:val="00955EC7"/>
    <w:rsid w:val="009568A6"/>
    <w:rsid w:val="00956F3A"/>
    <w:rsid w:val="009612A1"/>
    <w:rsid w:val="00964DEA"/>
    <w:rsid w:val="0096655C"/>
    <w:rsid w:val="00966653"/>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41EA"/>
    <w:rsid w:val="00987F4F"/>
    <w:rsid w:val="00990A84"/>
    <w:rsid w:val="00991380"/>
    <w:rsid w:val="00992F7D"/>
    <w:rsid w:val="009930E6"/>
    <w:rsid w:val="009935B7"/>
    <w:rsid w:val="0099527D"/>
    <w:rsid w:val="0099570D"/>
    <w:rsid w:val="00997584"/>
    <w:rsid w:val="00997F4A"/>
    <w:rsid w:val="009A0F2C"/>
    <w:rsid w:val="009A1557"/>
    <w:rsid w:val="009A184B"/>
    <w:rsid w:val="009A1CFA"/>
    <w:rsid w:val="009A265A"/>
    <w:rsid w:val="009A3ADD"/>
    <w:rsid w:val="009A5309"/>
    <w:rsid w:val="009A5C52"/>
    <w:rsid w:val="009A5CEE"/>
    <w:rsid w:val="009A676C"/>
    <w:rsid w:val="009A722D"/>
    <w:rsid w:val="009A7356"/>
    <w:rsid w:val="009B0470"/>
    <w:rsid w:val="009B0A57"/>
    <w:rsid w:val="009B2BFE"/>
    <w:rsid w:val="009B2EDE"/>
    <w:rsid w:val="009B3419"/>
    <w:rsid w:val="009B350B"/>
    <w:rsid w:val="009B3D69"/>
    <w:rsid w:val="009B5128"/>
    <w:rsid w:val="009B6FA1"/>
    <w:rsid w:val="009C1CF5"/>
    <w:rsid w:val="009C3424"/>
    <w:rsid w:val="009C387A"/>
    <w:rsid w:val="009C3C1E"/>
    <w:rsid w:val="009C3F6D"/>
    <w:rsid w:val="009C43AE"/>
    <w:rsid w:val="009C4FD9"/>
    <w:rsid w:val="009C57E9"/>
    <w:rsid w:val="009C5FA0"/>
    <w:rsid w:val="009D0574"/>
    <w:rsid w:val="009D119A"/>
    <w:rsid w:val="009D24E6"/>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E7DF1"/>
    <w:rsid w:val="009F033A"/>
    <w:rsid w:val="009F245A"/>
    <w:rsid w:val="009F3B7E"/>
    <w:rsid w:val="009F458D"/>
    <w:rsid w:val="009F5C3D"/>
    <w:rsid w:val="009F6450"/>
    <w:rsid w:val="00A00194"/>
    <w:rsid w:val="00A007DD"/>
    <w:rsid w:val="00A03496"/>
    <w:rsid w:val="00A06133"/>
    <w:rsid w:val="00A0622B"/>
    <w:rsid w:val="00A06BFC"/>
    <w:rsid w:val="00A07ACA"/>
    <w:rsid w:val="00A10593"/>
    <w:rsid w:val="00A10749"/>
    <w:rsid w:val="00A11DA6"/>
    <w:rsid w:val="00A12EBB"/>
    <w:rsid w:val="00A142CE"/>
    <w:rsid w:val="00A16333"/>
    <w:rsid w:val="00A16A4C"/>
    <w:rsid w:val="00A204A9"/>
    <w:rsid w:val="00A21B43"/>
    <w:rsid w:val="00A21FB9"/>
    <w:rsid w:val="00A22E52"/>
    <w:rsid w:val="00A2401C"/>
    <w:rsid w:val="00A243EE"/>
    <w:rsid w:val="00A2687C"/>
    <w:rsid w:val="00A2699F"/>
    <w:rsid w:val="00A26A1E"/>
    <w:rsid w:val="00A26DE2"/>
    <w:rsid w:val="00A2785C"/>
    <w:rsid w:val="00A30656"/>
    <w:rsid w:val="00A30724"/>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4F27"/>
    <w:rsid w:val="00A45996"/>
    <w:rsid w:val="00A45B22"/>
    <w:rsid w:val="00A46784"/>
    <w:rsid w:val="00A47E70"/>
    <w:rsid w:val="00A50266"/>
    <w:rsid w:val="00A507A1"/>
    <w:rsid w:val="00A55128"/>
    <w:rsid w:val="00A55835"/>
    <w:rsid w:val="00A570EF"/>
    <w:rsid w:val="00A60759"/>
    <w:rsid w:val="00A61D78"/>
    <w:rsid w:val="00A62B37"/>
    <w:rsid w:val="00A632EB"/>
    <w:rsid w:val="00A638C7"/>
    <w:rsid w:val="00A63C72"/>
    <w:rsid w:val="00A64F6B"/>
    <w:rsid w:val="00A671CE"/>
    <w:rsid w:val="00A677DD"/>
    <w:rsid w:val="00A7133C"/>
    <w:rsid w:val="00A71FE2"/>
    <w:rsid w:val="00A7250A"/>
    <w:rsid w:val="00A725DB"/>
    <w:rsid w:val="00A7267A"/>
    <w:rsid w:val="00A72DE1"/>
    <w:rsid w:val="00A730E8"/>
    <w:rsid w:val="00A73BFE"/>
    <w:rsid w:val="00A740DE"/>
    <w:rsid w:val="00A7613D"/>
    <w:rsid w:val="00A766B8"/>
    <w:rsid w:val="00A76980"/>
    <w:rsid w:val="00A77F02"/>
    <w:rsid w:val="00A810D9"/>
    <w:rsid w:val="00A81C95"/>
    <w:rsid w:val="00A8205B"/>
    <w:rsid w:val="00A8255B"/>
    <w:rsid w:val="00A82733"/>
    <w:rsid w:val="00A83254"/>
    <w:rsid w:val="00A83501"/>
    <w:rsid w:val="00A83E7D"/>
    <w:rsid w:val="00A83ED4"/>
    <w:rsid w:val="00A863EE"/>
    <w:rsid w:val="00A879FD"/>
    <w:rsid w:val="00A87C50"/>
    <w:rsid w:val="00A900DC"/>
    <w:rsid w:val="00A928E5"/>
    <w:rsid w:val="00A934D0"/>
    <w:rsid w:val="00A94392"/>
    <w:rsid w:val="00A95754"/>
    <w:rsid w:val="00A9721B"/>
    <w:rsid w:val="00AA3A7F"/>
    <w:rsid w:val="00AA4C5E"/>
    <w:rsid w:val="00AA61E4"/>
    <w:rsid w:val="00AA73DA"/>
    <w:rsid w:val="00AA7DFA"/>
    <w:rsid w:val="00AB057B"/>
    <w:rsid w:val="00AB2179"/>
    <w:rsid w:val="00AB3629"/>
    <w:rsid w:val="00AB37CE"/>
    <w:rsid w:val="00AB40D2"/>
    <w:rsid w:val="00AB4399"/>
    <w:rsid w:val="00AB4891"/>
    <w:rsid w:val="00AB502E"/>
    <w:rsid w:val="00AB7302"/>
    <w:rsid w:val="00AC0334"/>
    <w:rsid w:val="00AC2B26"/>
    <w:rsid w:val="00AC32AC"/>
    <w:rsid w:val="00AC4067"/>
    <w:rsid w:val="00AC4389"/>
    <w:rsid w:val="00AC6137"/>
    <w:rsid w:val="00AC6156"/>
    <w:rsid w:val="00AC6556"/>
    <w:rsid w:val="00AC7A5E"/>
    <w:rsid w:val="00AD0483"/>
    <w:rsid w:val="00AD0624"/>
    <w:rsid w:val="00AD0A6A"/>
    <w:rsid w:val="00AD1841"/>
    <w:rsid w:val="00AD3B6A"/>
    <w:rsid w:val="00AD42E1"/>
    <w:rsid w:val="00AD482F"/>
    <w:rsid w:val="00AD530D"/>
    <w:rsid w:val="00AE0052"/>
    <w:rsid w:val="00AE20D4"/>
    <w:rsid w:val="00AE2673"/>
    <w:rsid w:val="00AE2CC3"/>
    <w:rsid w:val="00AE2DDF"/>
    <w:rsid w:val="00AE30CF"/>
    <w:rsid w:val="00AE3FFE"/>
    <w:rsid w:val="00AE4202"/>
    <w:rsid w:val="00AE4E42"/>
    <w:rsid w:val="00AE5600"/>
    <w:rsid w:val="00AE6F49"/>
    <w:rsid w:val="00AE7EA7"/>
    <w:rsid w:val="00AF0536"/>
    <w:rsid w:val="00AF1890"/>
    <w:rsid w:val="00AF3473"/>
    <w:rsid w:val="00AF45CD"/>
    <w:rsid w:val="00AF4A07"/>
    <w:rsid w:val="00AF4B18"/>
    <w:rsid w:val="00AF4E18"/>
    <w:rsid w:val="00AF7515"/>
    <w:rsid w:val="00B00341"/>
    <w:rsid w:val="00B0056C"/>
    <w:rsid w:val="00B010E3"/>
    <w:rsid w:val="00B039EC"/>
    <w:rsid w:val="00B0549B"/>
    <w:rsid w:val="00B05534"/>
    <w:rsid w:val="00B075E1"/>
    <w:rsid w:val="00B07ABB"/>
    <w:rsid w:val="00B07FFB"/>
    <w:rsid w:val="00B12191"/>
    <w:rsid w:val="00B12758"/>
    <w:rsid w:val="00B13226"/>
    <w:rsid w:val="00B1337E"/>
    <w:rsid w:val="00B134CB"/>
    <w:rsid w:val="00B13CBD"/>
    <w:rsid w:val="00B140DB"/>
    <w:rsid w:val="00B15481"/>
    <w:rsid w:val="00B15ABB"/>
    <w:rsid w:val="00B15B9E"/>
    <w:rsid w:val="00B15D81"/>
    <w:rsid w:val="00B16A7A"/>
    <w:rsid w:val="00B16FD7"/>
    <w:rsid w:val="00B174FB"/>
    <w:rsid w:val="00B178FE"/>
    <w:rsid w:val="00B17FD1"/>
    <w:rsid w:val="00B21279"/>
    <w:rsid w:val="00B21C3E"/>
    <w:rsid w:val="00B21E5B"/>
    <w:rsid w:val="00B2333A"/>
    <w:rsid w:val="00B235F4"/>
    <w:rsid w:val="00B2580A"/>
    <w:rsid w:val="00B26195"/>
    <w:rsid w:val="00B27C79"/>
    <w:rsid w:val="00B27F94"/>
    <w:rsid w:val="00B30D09"/>
    <w:rsid w:val="00B310C1"/>
    <w:rsid w:val="00B31671"/>
    <w:rsid w:val="00B31E2B"/>
    <w:rsid w:val="00B31ED2"/>
    <w:rsid w:val="00B3360C"/>
    <w:rsid w:val="00B347E8"/>
    <w:rsid w:val="00B34A43"/>
    <w:rsid w:val="00B34FB1"/>
    <w:rsid w:val="00B35CC0"/>
    <w:rsid w:val="00B36EA9"/>
    <w:rsid w:val="00B40BA4"/>
    <w:rsid w:val="00B41217"/>
    <w:rsid w:val="00B42D10"/>
    <w:rsid w:val="00B4374E"/>
    <w:rsid w:val="00B44656"/>
    <w:rsid w:val="00B45A16"/>
    <w:rsid w:val="00B46253"/>
    <w:rsid w:val="00B46E1C"/>
    <w:rsid w:val="00B47C0A"/>
    <w:rsid w:val="00B50132"/>
    <w:rsid w:val="00B50621"/>
    <w:rsid w:val="00B50707"/>
    <w:rsid w:val="00B52204"/>
    <w:rsid w:val="00B52B4D"/>
    <w:rsid w:val="00B52D23"/>
    <w:rsid w:val="00B5303D"/>
    <w:rsid w:val="00B53817"/>
    <w:rsid w:val="00B53942"/>
    <w:rsid w:val="00B55129"/>
    <w:rsid w:val="00B557B2"/>
    <w:rsid w:val="00B55E48"/>
    <w:rsid w:val="00B57726"/>
    <w:rsid w:val="00B6023C"/>
    <w:rsid w:val="00B614F8"/>
    <w:rsid w:val="00B619BE"/>
    <w:rsid w:val="00B61FEB"/>
    <w:rsid w:val="00B625C5"/>
    <w:rsid w:val="00B62620"/>
    <w:rsid w:val="00B6271C"/>
    <w:rsid w:val="00B64038"/>
    <w:rsid w:val="00B64155"/>
    <w:rsid w:val="00B642D5"/>
    <w:rsid w:val="00B65EF1"/>
    <w:rsid w:val="00B667C5"/>
    <w:rsid w:val="00B67E51"/>
    <w:rsid w:val="00B67FC0"/>
    <w:rsid w:val="00B704CB"/>
    <w:rsid w:val="00B705D1"/>
    <w:rsid w:val="00B71154"/>
    <w:rsid w:val="00B718B2"/>
    <w:rsid w:val="00B71F0A"/>
    <w:rsid w:val="00B7221F"/>
    <w:rsid w:val="00B7529A"/>
    <w:rsid w:val="00B75A4C"/>
    <w:rsid w:val="00B77537"/>
    <w:rsid w:val="00B77AB3"/>
    <w:rsid w:val="00B77F3E"/>
    <w:rsid w:val="00B8063A"/>
    <w:rsid w:val="00B808CE"/>
    <w:rsid w:val="00B80FF9"/>
    <w:rsid w:val="00B81A97"/>
    <w:rsid w:val="00B8244B"/>
    <w:rsid w:val="00B82661"/>
    <w:rsid w:val="00B82A00"/>
    <w:rsid w:val="00B82E23"/>
    <w:rsid w:val="00B83BC7"/>
    <w:rsid w:val="00B83F14"/>
    <w:rsid w:val="00B84852"/>
    <w:rsid w:val="00B86576"/>
    <w:rsid w:val="00B87873"/>
    <w:rsid w:val="00B90FD9"/>
    <w:rsid w:val="00B9258B"/>
    <w:rsid w:val="00B92C4A"/>
    <w:rsid w:val="00B93D8B"/>
    <w:rsid w:val="00B96F85"/>
    <w:rsid w:val="00B97C5D"/>
    <w:rsid w:val="00BA0073"/>
    <w:rsid w:val="00BA030D"/>
    <w:rsid w:val="00BA06E3"/>
    <w:rsid w:val="00BA0C8C"/>
    <w:rsid w:val="00BA109A"/>
    <w:rsid w:val="00BA1642"/>
    <w:rsid w:val="00BA28CF"/>
    <w:rsid w:val="00BA331C"/>
    <w:rsid w:val="00BA3349"/>
    <w:rsid w:val="00BA350E"/>
    <w:rsid w:val="00BA3732"/>
    <w:rsid w:val="00BA3CA4"/>
    <w:rsid w:val="00BA4464"/>
    <w:rsid w:val="00BA4974"/>
    <w:rsid w:val="00BA4A56"/>
    <w:rsid w:val="00BA4FB5"/>
    <w:rsid w:val="00BA6D64"/>
    <w:rsid w:val="00BA72EB"/>
    <w:rsid w:val="00BA7CAF"/>
    <w:rsid w:val="00BB19F0"/>
    <w:rsid w:val="00BB2855"/>
    <w:rsid w:val="00BB399B"/>
    <w:rsid w:val="00BB4CBA"/>
    <w:rsid w:val="00BB5613"/>
    <w:rsid w:val="00BB6430"/>
    <w:rsid w:val="00BB6A53"/>
    <w:rsid w:val="00BB6B31"/>
    <w:rsid w:val="00BC15A4"/>
    <w:rsid w:val="00BC35B5"/>
    <w:rsid w:val="00BC39FF"/>
    <w:rsid w:val="00BC4269"/>
    <w:rsid w:val="00BC5AC5"/>
    <w:rsid w:val="00BC6C4E"/>
    <w:rsid w:val="00BC7455"/>
    <w:rsid w:val="00BD005B"/>
    <w:rsid w:val="00BD0A87"/>
    <w:rsid w:val="00BD0E0B"/>
    <w:rsid w:val="00BD1EE1"/>
    <w:rsid w:val="00BD279D"/>
    <w:rsid w:val="00BD36FB"/>
    <w:rsid w:val="00BD5AE8"/>
    <w:rsid w:val="00BD5E3C"/>
    <w:rsid w:val="00BD64F8"/>
    <w:rsid w:val="00BE0FD3"/>
    <w:rsid w:val="00BE1993"/>
    <w:rsid w:val="00BE2DAB"/>
    <w:rsid w:val="00BE3BE3"/>
    <w:rsid w:val="00BE3E89"/>
    <w:rsid w:val="00BE4185"/>
    <w:rsid w:val="00BE50CD"/>
    <w:rsid w:val="00BE52BB"/>
    <w:rsid w:val="00BE5E26"/>
    <w:rsid w:val="00BE6395"/>
    <w:rsid w:val="00BE645F"/>
    <w:rsid w:val="00BE6896"/>
    <w:rsid w:val="00BE698C"/>
    <w:rsid w:val="00BE77A9"/>
    <w:rsid w:val="00BE789D"/>
    <w:rsid w:val="00BF1011"/>
    <w:rsid w:val="00BF21C3"/>
    <w:rsid w:val="00BF2782"/>
    <w:rsid w:val="00BF27E1"/>
    <w:rsid w:val="00BF365D"/>
    <w:rsid w:val="00BF3830"/>
    <w:rsid w:val="00BF394D"/>
    <w:rsid w:val="00BF3A83"/>
    <w:rsid w:val="00BF6172"/>
    <w:rsid w:val="00BF639F"/>
    <w:rsid w:val="00C0058C"/>
    <w:rsid w:val="00C03BF6"/>
    <w:rsid w:val="00C04139"/>
    <w:rsid w:val="00C042AF"/>
    <w:rsid w:val="00C06126"/>
    <w:rsid w:val="00C06C41"/>
    <w:rsid w:val="00C07976"/>
    <w:rsid w:val="00C10CF3"/>
    <w:rsid w:val="00C110E1"/>
    <w:rsid w:val="00C11121"/>
    <w:rsid w:val="00C11712"/>
    <w:rsid w:val="00C118E0"/>
    <w:rsid w:val="00C136A6"/>
    <w:rsid w:val="00C138D6"/>
    <w:rsid w:val="00C168C6"/>
    <w:rsid w:val="00C16A56"/>
    <w:rsid w:val="00C17D9F"/>
    <w:rsid w:val="00C17FAC"/>
    <w:rsid w:val="00C20182"/>
    <w:rsid w:val="00C20F4E"/>
    <w:rsid w:val="00C21527"/>
    <w:rsid w:val="00C22470"/>
    <w:rsid w:val="00C2412B"/>
    <w:rsid w:val="00C2448E"/>
    <w:rsid w:val="00C24E1D"/>
    <w:rsid w:val="00C322F9"/>
    <w:rsid w:val="00C33600"/>
    <w:rsid w:val="00C344DF"/>
    <w:rsid w:val="00C357FE"/>
    <w:rsid w:val="00C367B1"/>
    <w:rsid w:val="00C37A62"/>
    <w:rsid w:val="00C37F06"/>
    <w:rsid w:val="00C402BB"/>
    <w:rsid w:val="00C42D5A"/>
    <w:rsid w:val="00C42D6F"/>
    <w:rsid w:val="00C4539D"/>
    <w:rsid w:val="00C45879"/>
    <w:rsid w:val="00C458AC"/>
    <w:rsid w:val="00C460F5"/>
    <w:rsid w:val="00C4727C"/>
    <w:rsid w:val="00C47F2E"/>
    <w:rsid w:val="00C50E76"/>
    <w:rsid w:val="00C52735"/>
    <w:rsid w:val="00C52CA4"/>
    <w:rsid w:val="00C5442E"/>
    <w:rsid w:val="00C54BEB"/>
    <w:rsid w:val="00C5571D"/>
    <w:rsid w:val="00C55D04"/>
    <w:rsid w:val="00C56631"/>
    <w:rsid w:val="00C577DF"/>
    <w:rsid w:val="00C57DE3"/>
    <w:rsid w:val="00C604D9"/>
    <w:rsid w:val="00C613E6"/>
    <w:rsid w:val="00C61C41"/>
    <w:rsid w:val="00C6290F"/>
    <w:rsid w:val="00C63735"/>
    <w:rsid w:val="00C63C1A"/>
    <w:rsid w:val="00C64816"/>
    <w:rsid w:val="00C671AA"/>
    <w:rsid w:val="00C673DC"/>
    <w:rsid w:val="00C67B92"/>
    <w:rsid w:val="00C716CA"/>
    <w:rsid w:val="00C71E0A"/>
    <w:rsid w:val="00C72A99"/>
    <w:rsid w:val="00C73295"/>
    <w:rsid w:val="00C73C42"/>
    <w:rsid w:val="00C74835"/>
    <w:rsid w:val="00C7493C"/>
    <w:rsid w:val="00C755EF"/>
    <w:rsid w:val="00C75B21"/>
    <w:rsid w:val="00C768B9"/>
    <w:rsid w:val="00C774D3"/>
    <w:rsid w:val="00C8027C"/>
    <w:rsid w:val="00C806E9"/>
    <w:rsid w:val="00C809B9"/>
    <w:rsid w:val="00C80A94"/>
    <w:rsid w:val="00C81465"/>
    <w:rsid w:val="00C83013"/>
    <w:rsid w:val="00C845CE"/>
    <w:rsid w:val="00C84DC4"/>
    <w:rsid w:val="00C854A8"/>
    <w:rsid w:val="00C85755"/>
    <w:rsid w:val="00C860CA"/>
    <w:rsid w:val="00C86957"/>
    <w:rsid w:val="00C916D4"/>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40D"/>
    <w:rsid w:val="00CA7635"/>
    <w:rsid w:val="00CA7754"/>
    <w:rsid w:val="00CA7E34"/>
    <w:rsid w:val="00CA7FFE"/>
    <w:rsid w:val="00CB11E0"/>
    <w:rsid w:val="00CB1C4E"/>
    <w:rsid w:val="00CB33D7"/>
    <w:rsid w:val="00CB3714"/>
    <w:rsid w:val="00CB4DE2"/>
    <w:rsid w:val="00CB50A5"/>
    <w:rsid w:val="00CC004A"/>
    <w:rsid w:val="00CC1B29"/>
    <w:rsid w:val="00CC1F08"/>
    <w:rsid w:val="00CC475F"/>
    <w:rsid w:val="00CC6082"/>
    <w:rsid w:val="00CC6C6E"/>
    <w:rsid w:val="00CC76E6"/>
    <w:rsid w:val="00CC7B66"/>
    <w:rsid w:val="00CC7FD1"/>
    <w:rsid w:val="00CC7FFB"/>
    <w:rsid w:val="00CD01E6"/>
    <w:rsid w:val="00CD05C8"/>
    <w:rsid w:val="00CD06F2"/>
    <w:rsid w:val="00CD1A92"/>
    <w:rsid w:val="00CD1F55"/>
    <w:rsid w:val="00CD2169"/>
    <w:rsid w:val="00CD6965"/>
    <w:rsid w:val="00CD69CD"/>
    <w:rsid w:val="00CD6ED2"/>
    <w:rsid w:val="00CE0A18"/>
    <w:rsid w:val="00CE1A22"/>
    <w:rsid w:val="00CE21EA"/>
    <w:rsid w:val="00CE2781"/>
    <w:rsid w:val="00CE33DA"/>
    <w:rsid w:val="00CE36F8"/>
    <w:rsid w:val="00CE3BE7"/>
    <w:rsid w:val="00CE3C10"/>
    <w:rsid w:val="00CE4ECB"/>
    <w:rsid w:val="00CE5100"/>
    <w:rsid w:val="00CE5D62"/>
    <w:rsid w:val="00CE6634"/>
    <w:rsid w:val="00CE6EDE"/>
    <w:rsid w:val="00CF0BD5"/>
    <w:rsid w:val="00CF493E"/>
    <w:rsid w:val="00CF5168"/>
    <w:rsid w:val="00CF62BB"/>
    <w:rsid w:val="00CF7357"/>
    <w:rsid w:val="00CF7811"/>
    <w:rsid w:val="00D0140B"/>
    <w:rsid w:val="00D019F8"/>
    <w:rsid w:val="00D020D2"/>
    <w:rsid w:val="00D0291E"/>
    <w:rsid w:val="00D045B1"/>
    <w:rsid w:val="00D051A3"/>
    <w:rsid w:val="00D0592B"/>
    <w:rsid w:val="00D12684"/>
    <w:rsid w:val="00D129E1"/>
    <w:rsid w:val="00D12A01"/>
    <w:rsid w:val="00D13AF7"/>
    <w:rsid w:val="00D14BDC"/>
    <w:rsid w:val="00D1547D"/>
    <w:rsid w:val="00D15834"/>
    <w:rsid w:val="00D15D1D"/>
    <w:rsid w:val="00D17520"/>
    <w:rsid w:val="00D17D34"/>
    <w:rsid w:val="00D20A32"/>
    <w:rsid w:val="00D233A3"/>
    <w:rsid w:val="00D2389D"/>
    <w:rsid w:val="00D245DA"/>
    <w:rsid w:val="00D24B5B"/>
    <w:rsid w:val="00D25335"/>
    <w:rsid w:val="00D25C6F"/>
    <w:rsid w:val="00D2660D"/>
    <w:rsid w:val="00D27C53"/>
    <w:rsid w:val="00D317C2"/>
    <w:rsid w:val="00D32033"/>
    <w:rsid w:val="00D322C4"/>
    <w:rsid w:val="00D32B0C"/>
    <w:rsid w:val="00D34B96"/>
    <w:rsid w:val="00D36F6A"/>
    <w:rsid w:val="00D377E1"/>
    <w:rsid w:val="00D407A6"/>
    <w:rsid w:val="00D40C3D"/>
    <w:rsid w:val="00D413F6"/>
    <w:rsid w:val="00D41622"/>
    <w:rsid w:val="00D44952"/>
    <w:rsid w:val="00D46BBB"/>
    <w:rsid w:val="00D4755B"/>
    <w:rsid w:val="00D47B5E"/>
    <w:rsid w:val="00D500FB"/>
    <w:rsid w:val="00D504D2"/>
    <w:rsid w:val="00D507C5"/>
    <w:rsid w:val="00D51AC8"/>
    <w:rsid w:val="00D51DA3"/>
    <w:rsid w:val="00D5234E"/>
    <w:rsid w:val="00D52DEF"/>
    <w:rsid w:val="00D54ABF"/>
    <w:rsid w:val="00D55157"/>
    <w:rsid w:val="00D56017"/>
    <w:rsid w:val="00D60117"/>
    <w:rsid w:val="00D61CFF"/>
    <w:rsid w:val="00D61E64"/>
    <w:rsid w:val="00D62264"/>
    <w:rsid w:val="00D6360C"/>
    <w:rsid w:val="00D64714"/>
    <w:rsid w:val="00D65A90"/>
    <w:rsid w:val="00D66BC4"/>
    <w:rsid w:val="00D66DB4"/>
    <w:rsid w:val="00D67393"/>
    <w:rsid w:val="00D67E08"/>
    <w:rsid w:val="00D7032C"/>
    <w:rsid w:val="00D7067B"/>
    <w:rsid w:val="00D712EC"/>
    <w:rsid w:val="00D7175C"/>
    <w:rsid w:val="00D72B2E"/>
    <w:rsid w:val="00D74B6B"/>
    <w:rsid w:val="00D75850"/>
    <w:rsid w:val="00D760A8"/>
    <w:rsid w:val="00D76CB8"/>
    <w:rsid w:val="00D77A26"/>
    <w:rsid w:val="00D80C65"/>
    <w:rsid w:val="00D827F8"/>
    <w:rsid w:val="00D8495E"/>
    <w:rsid w:val="00D9074A"/>
    <w:rsid w:val="00D9097D"/>
    <w:rsid w:val="00D9125B"/>
    <w:rsid w:val="00D9417C"/>
    <w:rsid w:val="00D949C7"/>
    <w:rsid w:val="00D94E69"/>
    <w:rsid w:val="00D952E4"/>
    <w:rsid w:val="00D95B22"/>
    <w:rsid w:val="00D966CB"/>
    <w:rsid w:val="00DA32E6"/>
    <w:rsid w:val="00DA32F7"/>
    <w:rsid w:val="00DA5202"/>
    <w:rsid w:val="00DA6E41"/>
    <w:rsid w:val="00DA7113"/>
    <w:rsid w:val="00DA7B9F"/>
    <w:rsid w:val="00DB113E"/>
    <w:rsid w:val="00DB227D"/>
    <w:rsid w:val="00DB2997"/>
    <w:rsid w:val="00DB382B"/>
    <w:rsid w:val="00DB633E"/>
    <w:rsid w:val="00DB6D92"/>
    <w:rsid w:val="00DB7520"/>
    <w:rsid w:val="00DC0462"/>
    <w:rsid w:val="00DC095B"/>
    <w:rsid w:val="00DC0A8A"/>
    <w:rsid w:val="00DC0CBC"/>
    <w:rsid w:val="00DC0FB3"/>
    <w:rsid w:val="00DC1A2A"/>
    <w:rsid w:val="00DC24C8"/>
    <w:rsid w:val="00DC32FA"/>
    <w:rsid w:val="00DC3947"/>
    <w:rsid w:val="00DC3D42"/>
    <w:rsid w:val="00DC57BD"/>
    <w:rsid w:val="00DC67AC"/>
    <w:rsid w:val="00DC6D5F"/>
    <w:rsid w:val="00DC7503"/>
    <w:rsid w:val="00DC7B6E"/>
    <w:rsid w:val="00DD0B00"/>
    <w:rsid w:val="00DD350D"/>
    <w:rsid w:val="00DD3524"/>
    <w:rsid w:val="00DD3B19"/>
    <w:rsid w:val="00DD4216"/>
    <w:rsid w:val="00DD4F6E"/>
    <w:rsid w:val="00DD50DD"/>
    <w:rsid w:val="00DD590C"/>
    <w:rsid w:val="00DD5AE1"/>
    <w:rsid w:val="00DD7A05"/>
    <w:rsid w:val="00DE0098"/>
    <w:rsid w:val="00DE0238"/>
    <w:rsid w:val="00DE151B"/>
    <w:rsid w:val="00DE1F2B"/>
    <w:rsid w:val="00DE274C"/>
    <w:rsid w:val="00DE287D"/>
    <w:rsid w:val="00DE2A8B"/>
    <w:rsid w:val="00DE397A"/>
    <w:rsid w:val="00DE4090"/>
    <w:rsid w:val="00DE4A17"/>
    <w:rsid w:val="00DE4E33"/>
    <w:rsid w:val="00DE5003"/>
    <w:rsid w:val="00DE60A2"/>
    <w:rsid w:val="00DE7727"/>
    <w:rsid w:val="00DE7D8F"/>
    <w:rsid w:val="00DF1383"/>
    <w:rsid w:val="00DF2A1A"/>
    <w:rsid w:val="00DF39E8"/>
    <w:rsid w:val="00DF4239"/>
    <w:rsid w:val="00DF55A4"/>
    <w:rsid w:val="00E0095F"/>
    <w:rsid w:val="00E028EE"/>
    <w:rsid w:val="00E03A59"/>
    <w:rsid w:val="00E03A6C"/>
    <w:rsid w:val="00E03C6D"/>
    <w:rsid w:val="00E03EB1"/>
    <w:rsid w:val="00E10018"/>
    <w:rsid w:val="00E10743"/>
    <w:rsid w:val="00E10F6B"/>
    <w:rsid w:val="00E11920"/>
    <w:rsid w:val="00E119DC"/>
    <w:rsid w:val="00E12F74"/>
    <w:rsid w:val="00E139CA"/>
    <w:rsid w:val="00E14506"/>
    <w:rsid w:val="00E152D4"/>
    <w:rsid w:val="00E15C46"/>
    <w:rsid w:val="00E16BCC"/>
    <w:rsid w:val="00E16F1D"/>
    <w:rsid w:val="00E214EB"/>
    <w:rsid w:val="00E232BC"/>
    <w:rsid w:val="00E234D2"/>
    <w:rsid w:val="00E26EF7"/>
    <w:rsid w:val="00E30D80"/>
    <w:rsid w:val="00E3131F"/>
    <w:rsid w:val="00E319C5"/>
    <w:rsid w:val="00E31B55"/>
    <w:rsid w:val="00E324CC"/>
    <w:rsid w:val="00E34407"/>
    <w:rsid w:val="00E3467F"/>
    <w:rsid w:val="00E36AFD"/>
    <w:rsid w:val="00E40F4C"/>
    <w:rsid w:val="00E413B8"/>
    <w:rsid w:val="00E41CD1"/>
    <w:rsid w:val="00E42AC9"/>
    <w:rsid w:val="00E43CC7"/>
    <w:rsid w:val="00E4440F"/>
    <w:rsid w:val="00E454D5"/>
    <w:rsid w:val="00E47690"/>
    <w:rsid w:val="00E51340"/>
    <w:rsid w:val="00E513E4"/>
    <w:rsid w:val="00E51BF7"/>
    <w:rsid w:val="00E52089"/>
    <w:rsid w:val="00E52205"/>
    <w:rsid w:val="00E53E89"/>
    <w:rsid w:val="00E54B20"/>
    <w:rsid w:val="00E54D81"/>
    <w:rsid w:val="00E574B5"/>
    <w:rsid w:val="00E57526"/>
    <w:rsid w:val="00E61589"/>
    <w:rsid w:val="00E61597"/>
    <w:rsid w:val="00E643A6"/>
    <w:rsid w:val="00E655FF"/>
    <w:rsid w:val="00E65E14"/>
    <w:rsid w:val="00E66FEF"/>
    <w:rsid w:val="00E673C4"/>
    <w:rsid w:val="00E67D48"/>
    <w:rsid w:val="00E70DB2"/>
    <w:rsid w:val="00E71C79"/>
    <w:rsid w:val="00E725F7"/>
    <w:rsid w:val="00E732EB"/>
    <w:rsid w:val="00E7382B"/>
    <w:rsid w:val="00E73AA2"/>
    <w:rsid w:val="00E7553B"/>
    <w:rsid w:val="00E75864"/>
    <w:rsid w:val="00E75AD1"/>
    <w:rsid w:val="00E76737"/>
    <w:rsid w:val="00E7773E"/>
    <w:rsid w:val="00E80FB6"/>
    <w:rsid w:val="00E82653"/>
    <w:rsid w:val="00E82DAA"/>
    <w:rsid w:val="00E832AF"/>
    <w:rsid w:val="00E836AC"/>
    <w:rsid w:val="00E84310"/>
    <w:rsid w:val="00E849D4"/>
    <w:rsid w:val="00E855A7"/>
    <w:rsid w:val="00E85C54"/>
    <w:rsid w:val="00E8632E"/>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4EF"/>
    <w:rsid w:val="00EB08DC"/>
    <w:rsid w:val="00EB22CB"/>
    <w:rsid w:val="00EB3BD5"/>
    <w:rsid w:val="00EB4128"/>
    <w:rsid w:val="00EB4CC3"/>
    <w:rsid w:val="00EB4CDD"/>
    <w:rsid w:val="00EB52E7"/>
    <w:rsid w:val="00EB5621"/>
    <w:rsid w:val="00EB63D8"/>
    <w:rsid w:val="00EB7FA8"/>
    <w:rsid w:val="00EC0520"/>
    <w:rsid w:val="00EC0632"/>
    <w:rsid w:val="00EC1F6A"/>
    <w:rsid w:val="00EC3290"/>
    <w:rsid w:val="00EC355E"/>
    <w:rsid w:val="00EC4E5A"/>
    <w:rsid w:val="00EC586C"/>
    <w:rsid w:val="00EC7C1B"/>
    <w:rsid w:val="00ED00C2"/>
    <w:rsid w:val="00ED0369"/>
    <w:rsid w:val="00ED17A9"/>
    <w:rsid w:val="00ED2080"/>
    <w:rsid w:val="00ED58D4"/>
    <w:rsid w:val="00ED5D30"/>
    <w:rsid w:val="00EE0015"/>
    <w:rsid w:val="00EE1449"/>
    <w:rsid w:val="00EE21FF"/>
    <w:rsid w:val="00EE39D6"/>
    <w:rsid w:val="00EE41D1"/>
    <w:rsid w:val="00EE43E3"/>
    <w:rsid w:val="00EE4A13"/>
    <w:rsid w:val="00EE4CB7"/>
    <w:rsid w:val="00EE5C23"/>
    <w:rsid w:val="00EE678D"/>
    <w:rsid w:val="00EE7D34"/>
    <w:rsid w:val="00EE7D43"/>
    <w:rsid w:val="00EF0929"/>
    <w:rsid w:val="00EF137B"/>
    <w:rsid w:val="00EF1C97"/>
    <w:rsid w:val="00EF2310"/>
    <w:rsid w:val="00EF236D"/>
    <w:rsid w:val="00EF2E8F"/>
    <w:rsid w:val="00EF3498"/>
    <w:rsid w:val="00EF4764"/>
    <w:rsid w:val="00EF63F4"/>
    <w:rsid w:val="00EF6F7E"/>
    <w:rsid w:val="00EF74E7"/>
    <w:rsid w:val="00F0018C"/>
    <w:rsid w:val="00F008A4"/>
    <w:rsid w:val="00F00AA8"/>
    <w:rsid w:val="00F0378D"/>
    <w:rsid w:val="00F0481B"/>
    <w:rsid w:val="00F04AE3"/>
    <w:rsid w:val="00F076F4"/>
    <w:rsid w:val="00F10B16"/>
    <w:rsid w:val="00F11BEA"/>
    <w:rsid w:val="00F12DAD"/>
    <w:rsid w:val="00F136F7"/>
    <w:rsid w:val="00F139B1"/>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4B4"/>
    <w:rsid w:val="00F31B62"/>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0FFA"/>
    <w:rsid w:val="00F53EBD"/>
    <w:rsid w:val="00F5423E"/>
    <w:rsid w:val="00F54EA6"/>
    <w:rsid w:val="00F550A2"/>
    <w:rsid w:val="00F563FF"/>
    <w:rsid w:val="00F564F6"/>
    <w:rsid w:val="00F56E19"/>
    <w:rsid w:val="00F57005"/>
    <w:rsid w:val="00F600FF"/>
    <w:rsid w:val="00F601F4"/>
    <w:rsid w:val="00F61B0C"/>
    <w:rsid w:val="00F63694"/>
    <w:rsid w:val="00F63C33"/>
    <w:rsid w:val="00F646A7"/>
    <w:rsid w:val="00F64EDF"/>
    <w:rsid w:val="00F67AA6"/>
    <w:rsid w:val="00F67B8E"/>
    <w:rsid w:val="00F708D1"/>
    <w:rsid w:val="00F7148A"/>
    <w:rsid w:val="00F717A0"/>
    <w:rsid w:val="00F72697"/>
    <w:rsid w:val="00F72BDB"/>
    <w:rsid w:val="00F73D02"/>
    <w:rsid w:val="00F75BCF"/>
    <w:rsid w:val="00F75C77"/>
    <w:rsid w:val="00F767E5"/>
    <w:rsid w:val="00F7725B"/>
    <w:rsid w:val="00F77268"/>
    <w:rsid w:val="00F80276"/>
    <w:rsid w:val="00F80DBD"/>
    <w:rsid w:val="00F81151"/>
    <w:rsid w:val="00F81236"/>
    <w:rsid w:val="00F824CF"/>
    <w:rsid w:val="00F834DD"/>
    <w:rsid w:val="00F84699"/>
    <w:rsid w:val="00F84C75"/>
    <w:rsid w:val="00F858AF"/>
    <w:rsid w:val="00F86253"/>
    <w:rsid w:val="00F868E5"/>
    <w:rsid w:val="00F86C9C"/>
    <w:rsid w:val="00F9063E"/>
    <w:rsid w:val="00F90AD2"/>
    <w:rsid w:val="00F91E87"/>
    <w:rsid w:val="00F922C3"/>
    <w:rsid w:val="00F930C0"/>
    <w:rsid w:val="00F930E2"/>
    <w:rsid w:val="00F942F0"/>
    <w:rsid w:val="00F95059"/>
    <w:rsid w:val="00F9512C"/>
    <w:rsid w:val="00F963F3"/>
    <w:rsid w:val="00F96A0D"/>
    <w:rsid w:val="00F96A52"/>
    <w:rsid w:val="00F96B99"/>
    <w:rsid w:val="00F97194"/>
    <w:rsid w:val="00FA10A4"/>
    <w:rsid w:val="00FA1699"/>
    <w:rsid w:val="00FA1FA1"/>
    <w:rsid w:val="00FA2354"/>
    <w:rsid w:val="00FA24AC"/>
    <w:rsid w:val="00FA2A33"/>
    <w:rsid w:val="00FA4654"/>
    <w:rsid w:val="00FA5242"/>
    <w:rsid w:val="00FA5FD5"/>
    <w:rsid w:val="00FA62B3"/>
    <w:rsid w:val="00FA65A1"/>
    <w:rsid w:val="00FA69E5"/>
    <w:rsid w:val="00FA7DC8"/>
    <w:rsid w:val="00FB075F"/>
    <w:rsid w:val="00FB0EA9"/>
    <w:rsid w:val="00FB0EC4"/>
    <w:rsid w:val="00FB11EF"/>
    <w:rsid w:val="00FB1BB8"/>
    <w:rsid w:val="00FB2853"/>
    <w:rsid w:val="00FB3D40"/>
    <w:rsid w:val="00FB3FF4"/>
    <w:rsid w:val="00FB4E84"/>
    <w:rsid w:val="00FB575F"/>
    <w:rsid w:val="00FB7371"/>
    <w:rsid w:val="00FB7F73"/>
    <w:rsid w:val="00FC09B6"/>
    <w:rsid w:val="00FC283B"/>
    <w:rsid w:val="00FC29D1"/>
    <w:rsid w:val="00FC391E"/>
    <w:rsid w:val="00FC46CF"/>
    <w:rsid w:val="00FC4959"/>
    <w:rsid w:val="00FC4E0F"/>
    <w:rsid w:val="00FC4EA1"/>
    <w:rsid w:val="00FC4F55"/>
    <w:rsid w:val="00FC7619"/>
    <w:rsid w:val="00FC7ABA"/>
    <w:rsid w:val="00FD09D6"/>
    <w:rsid w:val="00FD2A85"/>
    <w:rsid w:val="00FD2EF1"/>
    <w:rsid w:val="00FD41F9"/>
    <w:rsid w:val="00FD46A2"/>
    <w:rsid w:val="00FD52EB"/>
    <w:rsid w:val="00FD68CE"/>
    <w:rsid w:val="00FE174A"/>
    <w:rsid w:val="00FE197B"/>
    <w:rsid w:val="00FE3ADE"/>
    <w:rsid w:val="00FE4872"/>
    <w:rsid w:val="00FE49B8"/>
    <w:rsid w:val="00FE536E"/>
    <w:rsid w:val="00FE55FE"/>
    <w:rsid w:val="00FE5AC5"/>
    <w:rsid w:val="00FE7A7B"/>
    <w:rsid w:val="00FE7D17"/>
    <w:rsid w:val="00FE7D91"/>
    <w:rsid w:val="00FF1068"/>
    <w:rsid w:val="00FF11A3"/>
    <w:rsid w:val="00FF16B5"/>
    <w:rsid w:val="00FF1C9A"/>
    <w:rsid w:val="00FF3A7C"/>
    <w:rsid w:val="00FF3F40"/>
    <w:rsid w:val="00FF42BC"/>
    <w:rsid w:val="00FF5AE0"/>
    <w:rsid w:val="00FF6267"/>
    <w:rsid w:val="00FF7198"/>
    <w:rsid w:val="00FF7509"/>
    <w:rsid w:val="00FF7E45"/>
    <w:rsid w:val="3A7C81AC"/>
    <w:rsid w:val="3BBF1E8B"/>
    <w:rsid w:val="3D58187E"/>
    <w:rsid w:val="4C84026E"/>
    <w:rsid w:val="5F7FDB53"/>
    <w:rsid w:val="5FEAC18B"/>
    <w:rsid w:val="7BC7F4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9155E86-DFB5-4ADA-8190-1B37674C6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qFormat="1"/>
    <w:lsdException w:name="toc 9" w:uiPriority="39" w:qFormat="1"/>
    <w:lsdException w:name="footnote text" w:semiHidden="1" w:qFormat="1"/>
    <w:lsdException w:name="annotation text" w:semiHidden="1" w:uiPriority="99"/>
    <w:lsdException w:name="caption" w:qFormat="1"/>
    <w:lsdException w:name="footnote reference" w:semiHidden="1"/>
    <w:lsdException w:name="annotation reference" w:semiHidden="1" w:uiPriority="99"/>
    <w:lsdException w:name="List 2" w:qFormat="1"/>
    <w:lsdException w:name="Title" w:uiPriority="10"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宋体"/>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eastAsia="en-US"/>
    </w:rPr>
  </w:style>
  <w:style w:type="paragraph" w:styleId="ListBullet4">
    <w:name w:val="List Bullet 4"/>
    <w:basedOn w:val="Normal"/>
    <w:pPr>
      <w:numPr>
        <w:numId w:val="1"/>
      </w:numPr>
      <w:tabs>
        <w:tab w:val="clear" w:pos="1418"/>
        <w:tab w:val="left" w:pos="1600"/>
      </w:tabs>
      <w:ind w:left="1543"/>
    </w:pPr>
    <w:rPr>
      <w:rFonts w:eastAsia="宋体"/>
    </w:rPr>
  </w:style>
  <w:style w:type="paragraph" w:styleId="ListNumber">
    <w:name w:val="List Number"/>
    <w:basedOn w:val="List"/>
    <w:pPr>
      <w:numPr>
        <w:numId w:val="2"/>
      </w:numPr>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pPr>
      <w:ind w:left="0" w:firstLine="0"/>
    </w:p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semiHidden/>
  </w:style>
  <w:style w:type="paragraph" w:styleId="BodyText">
    <w:name w:val="Body Text"/>
    <w:basedOn w:val="Normal"/>
    <w:link w:val="BodyTextChar"/>
    <w:pPr>
      <w:spacing w:after="0"/>
    </w:pPr>
    <w:rPr>
      <w:rFonts w:ascii="Arial" w:eastAsia="Malgun Gothic" w:hAnsi="Arial" w:cs="Arial"/>
      <w:color w:val="FF0000"/>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eastAsia="ja-JP"/>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uiPriority w:val="10"/>
    <w:qFormat/>
    <w:pPr>
      <w:overflowPunct w:val="0"/>
      <w:autoSpaceDE w:val="0"/>
      <w:autoSpaceDN w:val="0"/>
      <w:adjustRightInd w:val="0"/>
      <w:spacing w:before="240" w:after="60"/>
      <w:jc w:val="center"/>
      <w:textAlignment w:val="baseline"/>
      <w:outlineLvl w:val="0"/>
    </w:pPr>
    <w:rPr>
      <w:rFonts w:ascii="Calibri Light" w:eastAsia="宋体" w:hAnsi="Calibri Light"/>
      <w:b/>
      <w:bCs/>
      <w:sz w:val="32"/>
      <w:szCs w:val="32"/>
    </w:rPr>
  </w:style>
  <w:style w:type="paragraph" w:styleId="CommentSubject">
    <w:name w:val="annotation subject"/>
    <w:basedOn w:val="CommentText"/>
    <w:next w:val="CommentText"/>
    <w:semiHidden/>
    <w:rPr>
      <w:b/>
      <w:bCs/>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rFonts w:eastAsia="宋体"/>
      <w:color w:val="800080"/>
      <w:u w:val="single"/>
      <w:lang w:val="en-US" w:eastAsia="zh-CN" w:bidi="ar-SA"/>
    </w:rPr>
  </w:style>
  <w:style w:type="character" w:styleId="Hyperlink">
    <w:name w:val="Hyperlink"/>
    <w:rPr>
      <w:color w:val="0563C1"/>
      <w:u w:val="single"/>
    </w:rPr>
  </w:style>
  <w:style w:type="character" w:styleId="CommentReference">
    <w:name w:val="annotation reference"/>
    <w:uiPriority w:val="99"/>
    <w:semiHidden/>
    <w:rPr>
      <w:rFonts w:eastAsia="宋体"/>
      <w:sz w:val="16"/>
      <w:lang w:val="en-US" w:eastAsia="zh-CN" w:bidi="ar-SA"/>
    </w:rPr>
  </w:style>
  <w:style w:type="character" w:styleId="FootnoteReference">
    <w:name w:val="footnote reference"/>
    <w:semiHidden/>
    <w:rPr>
      <w:rFonts w:eastAsia="宋体"/>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pPr>
      <w:framePr w:wrap="notBeside" w:vAnchor="page" w:hAnchor="margin" w:xAlign="center" w:y="6805"/>
      <w:widowControl w:val="0"/>
    </w:pPr>
    <w:rPr>
      <w:rFonts w:ascii="Arial" w:eastAsia="Times New Roman" w:hAnsi="Arial"/>
      <w:lang w:eastAsia="en-US"/>
    </w:rPr>
  </w:style>
  <w:style w:type="character" w:customStyle="1" w:styleId="Heading1Char">
    <w:name w:val="Heading 1 Char"/>
    <w:link w:val="Heading1"/>
    <w:qFormat/>
    <w:rPr>
      <w:rFonts w:ascii="Arial" w:eastAsia="Times New Roman" w:hAnsi="Arial"/>
      <w:sz w:val="36"/>
      <w:lang w:eastAsia="en-US"/>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Pr>
      <w:rFonts w:eastAsia="Times New Roman"/>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2">
    <w:name w:val="编号2"/>
    <w:basedOn w:val="Normal"/>
    <w:pPr>
      <w:numPr>
        <w:numId w:val="3"/>
      </w:numPr>
      <w:tabs>
        <w:tab w:val="clear" w:pos="840"/>
        <w:tab w:val="left" w:pos="704"/>
      </w:tabs>
      <w:ind w:left="704" w:hanging="420"/>
    </w:pPr>
    <w:rPr>
      <w:rFonts w:eastAsia="宋体"/>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pPr>
      <w:framePr w:wrap="notBeside" w:vAnchor="page" w:hAnchor="margin" w:y="15764"/>
      <w:widowControl w:val="0"/>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rPr>
      <w:rFonts w:eastAsia="Times New Roman"/>
      <w:color w:val="FF0000"/>
      <w:lang w:eastAsia="en-US"/>
    </w:rPr>
  </w:style>
  <w:style w:type="character" w:customStyle="1" w:styleId="a1">
    <w:name w:val="样式 宋体 蓝色"/>
    <w:rPr>
      <w:rFonts w:ascii="Times New Roman" w:eastAsia="宋体" w:hAnsi="Times New Roman"/>
      <w:color w:val="0000FF"/>
      <w:lang w:val="en-US" w:eastAsia="zh-CN" w:bidi="ar-SA"/>
    </w:rPr>
  </w:style>
  <w:style w:type="paragraph" w:customStyle="1" w:styleId="MSMincho">
    <w:name w:val="样式 列表 + (西文) MS Mincho"/>
    <w:basedOn w:val="List"/>
    <w:link w:val="MSMinchoChar"/>
  </w:style>
  <w:style w:type="character" w:customStyle="1" w:styleId="ListChar">
    <w:name w:val="List Char"/>
    <w:link w:val="List"/>
    <w:rPr>
      <w:rFonts w:eastAsia="宋体"/>
      <w:lang w:val="en-GB" w:eastAsia="en-US" w:bidi="ar-SA"/>
    </w:rPr>
  </w:style>
  <w:style w:type="character" w:customStyle="1" w:styleId="MSMinchoChar">
    <w:name w:val="样式 列表 + (西文) MS Mincho Char"/>
    <w:basedOn w:val="ListChar"/>
    <w:link w:val="MSMincho"/>
    <w:rPr>
      <w:rFonts w:eastAsia="宋体"/>
      <w:lang w:val="en-GB" w:eastAsia="en-US" w:bidi="ar-SA"/>
    </w:rPr>
  </w:style>
  <w:style w:type="paragraph" w:customStyle="1" w:styleId="B4">
    <w:name w:val="B4"/>
    <w:basedOn w:val="Normal"/>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eastAsia="en-US"/>
    </w:rPr>
  </w:style>
  <w:style w:type="paragraph" w:customStyle="1" w:styleId="tdoc-header">
    <w:name w:val="tdoc-header"/>
    <w:rPr>
      <w:rFonts w:ascii="Arial" w:eastAsia="MS Mincho" w:hAnsi="Arial"/>
      <w:sz w:val="24"/>
      <w:lang w:eastAsia="en-US"/>
    </w:rPr>
  </w:style>
  <w:style w:type="paragraph" w:customStyle="1" w:styleId="B2">
    <w:name w:val="B2"/>
    <w:basedOn w:val="Normal"/>
    <w:link w:val="B2Char"/>
    <w:pPr>
      <w:ind w:left="851" w:hanging="284"/>
    </w:p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pPr>
      <w:ind w:left="1135" w:hanging="284"/>
    </w:pPr>
  </w:style>
  <w:style w:type="character" w:customStyle="1" w:styleId="TALCar">
    <w:name w:val="TAL Car"/>
    <w:link w:val="TAL"/>
    <w:rPr>
      <w:rFonts w:ascii="Arial" w:eastAsia="Times New Roman" w:hAnsi="Arial"/>
      <w:sz w:val="18"/>
      <w:lang w:eastAsia="en-US"/>
    </w:rPr>
  </w:style>
  <w:style w:type="paragraph" w:customStyle="1" w:styleId="00BodyText">
    <w:name w:val="00 BodyText"/>
    <w:basedOn w:val="Normal"/>
    <w:pPr>
      <w:spacing w:after="220"/>
    </w:pPr>
    <w:rPr>
      <w:rFonts w:ascii="Arial" w:hAnsi="Arial"/>
      <w:sz w:val="22"/>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宋体"/>
    </w:rPr>
  </w:style>
  <w:style w:type="character" w:customStyle="1" w:styleId="PLChar">
    <w:name w:val="PL Char"/>
    <w:link w:val="PL"/>
    <w:rPr>
      <w:rFonts w:ascii="Courier New" w:eastAsia="Times New Roman" w:hAnsi="Courier New"/>
      <w:sz w:val="16"/>
      <w:lang w:eastAsia="en-US"/>
    </w:rPr>
  </w:style>
  <w:style w:type="character" w:customStyle="1" w:styleId="BalloonTextChar">
    <w:name w:val="Balloon Text Char"/>
    <w:link w:val="BalloonText"/>
    <w:rPr>
      <w:rFonts w:ascii="Segoe UI" w:eastAsia="Times New Roman" w:hAnsi="Segoe UI" w:cs="Segoe UI"/>
      <w:sz w:val="18"/>
      <w:szCs w:val="18"/>
      <w:lang w:eastAsia="en-US"/>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pPr>
      <w:ind w:left="568" w:hanging="284"/>
    </w:pPr>
  </w:style>
  <w:style w:type="character" w:customStyle="1" w:styleId="B1Char1">
    <w:name w:val="B1 Char1"/>
    <w:link w:val="B1"/>
    <w:rPr>
      <w:rFonts w:eastAsia="Times New Roman"/>
      <w:lang w:eastAsia="en-US"/>
    </w:rPr>
  </w:style>
  <w:style w:type="character" w:customStyle="1" w:styleId="a4">
    <w:name w:val="首标题"/>
    <w:rPr>
      <w:rFonts w:ascii="Arial" w:eastAsia="宋体"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character" w:customStyle="1" w:styleId="THChar">
    <w:name w:val="TH Char"/>
    <w:link w:val="TH"/>
    <w:rPr>
      <w:rFonts w:ascii="Arial" w:eastAsia="Times New Roman" w:hAnsi="Arial"/>
      <w:b/>
      <w:lang w:eastAsia="en-US"/>
    </w:r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Heading2Char">
    <w:name w:val="Heading 2 Char"/>
    <w:link w:val="Heading2"/>
    <w:rPr>
      <w:rFonts w:ascii="Arial" w:eastAsia="Times New Roman" w:hAnsi="Arial"/>
      <w:sz w:val="32"/>
      <w:lang w:eastAsia="en-US"/>
    </w:rPr>
  </w:style>
  <w:style w:type="character" w:customStyle="1" w:styleId="UnresolvedMention">
    <w:name w:val="Unresolved Mention"/>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宋体"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宋体"/>
      <w:b/>
      <w:lang w:val="en-GB" w:eastAsia="en-US" w:bidi="ar-SA"/>
    </w:rPr>
  </w:style>
  <w:style w:type="paragraph" w:customStyle="1" w:styleId="Agreement">
    <w:name w:val="Agreement"/>
    <w:basedOn w:val="Normal"/>
    <w:next w:val="Normal"/>
    <w:uiPriority w:val="99"/>
    <w:qFormat/>
    <w:pPr>
      <w:numPr>
        <w:numId w:val="8"/>
      </w:numPr>
      <w:overflowPunct w:val="0"/>
      <w:autoSpaceDE w:val="0"/>
      <w:autoSpaceDN w:val="0"/>
      <w:adjustRightInd w:val="0"/>
      <w:spacing w:before="60" w:after="0"/>
      <w:ind w:left="1706" w:hanging="357"/>
    </w:pPr>
    <w:rPr>
      <w:rFonts w:ascii="Arial" w:hAnsi="Arial"/>
      <w:b/>
      <w:lang w:val="fr-FR" w:eastAsia="ja-JP"/>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cs="Arial"/>
      <w:szCs w:val="24"/>
      <w:lang w:val="en-US"/>
    </w:rPr>
  </w:style>
  <w:style w:type="paragraph" w:styleId="ListParagraph">
    <w:name w:val="List Paragraph"/>
    <w:basedOn w:val="Normal"/>
    <w:link w:val="ListParagraphChar"/>
    <w:uiPriority w:val="99"/>
    <w:qFormat/>
    <w:pPr>
      <w:numPr>
        <w:numId w:val="9"/>
      </w:numPr>
    </w:pPr>
    <w:rPr>
      <w:rFonts w:eastAsia="宋体"/>
      <w:b/>
      <w:lang w:eastAsia="zh-CN"/>
    </w:rPr>
  </w:style>
  <w:style w:type="character" w:customStyle="1" w:styleId="ListParagraphChar">
    <w:name w:val="List Paragraph Char"/>
    <w:link w:val="ListParagraph"/>
    <w:uiPriority w:val="99"/>
    <w:qFormat/>
    <w:locked/>
    <w:rPr>
      <w:rFonts w:eastAsia="宋体"/>
      <w:b/>
      <w:lang w:val="en-GB" w:eastAsia="zh-CN"/>
    </w:rPr>
  </w:style>
  <w:style w:type="character" w:customStyle="1" w:styleId="TALChar">
    <w:name w:val="TAL Char"/>
    <w:qFormat/>
    <w:locked/>
    <w:rPr>
      <w:rFonts w:ascii="Arial" w:hAnsi="Arial" w:cs="Arial"/>
      <w:sz w:val="18"/>
      <w:lang w:val="en-GB" w:eastAsia="en-GB"/>
    </w:rPr>
  </w:style>
  <w:style w:type="character" w:customStyle="1" w:styleId="TAHChar">
    <w:name w:val="TAH Char"/>
    <w:link w:val="TAH"/>
    <w:qFormat/>
    <w:locked/>
    <w:rPr>
      <w:rFonts w:ascii="Arial" w:eastAsia="Times New Roman" w:hAnsi="Arial"/>
      <w:b/>
      <w:sz w:val="18"/>
      <w:lang w:val="en-GB"/>
    </w:rPr>
  </w:style>
  <w:style w:type="character" w:customStyle="1" w:styleId="TACChar">
    <w:name w:val="TAC Char"/>
    <w:link w:val="TAC"/>
    <w:rPr>
      <w:rFonts w:ascii="Arial" w:eastAsia="Times New Roman" w:hAnsi="Arial"/>
      <w:sz w:val="18"/>
      <w:lang w:val="en-GB"/>
    </w:rPr>
  </w:style>
  <w:style w:type="paragraph" w:customStyle="1" w:styleId="Revision1">
    <w:name w:val="Revision1"/>
    <w:hidden/>
    <w:uiPriority w:val="99"/>
    <w:semiHidden/>
    <w:rPr>
      <w:rFonts w:eastAsia="Times New Roman"/>
      <w:lang w:eastAsia="en-US"/>
    </w:rPr>
  </w:style>
  <w:style w:type="character" w:customStyle="1" w:styleId="BodyTextChar">
    <w:name w:val="Body Text Char"/>
    <w:basedOn w:val="DefaultParagraphFont"/>
    <w:link w:val="BodyText"/>
    <w:rPr>
      <w:rFonts w:ascii="Arial" w:eastAsia="Malgun Gothic" w:hAnsi="Arial" w:cs="Arial"/>
      <w:color w:val="FF0000"/>
      <w:lang w:val="en-GB"/>
    </w:rPr>
  </w:style>
  <w:style w:type="paragraph" w:customStyle="1" w:styleId="NotDone">
    <w:name w:val="Not Done"/>
    <w:basedOn w:val="Normal"/>
    <w:pPr>
      <w:keepNext/>
      <w:keepLines/>
      <w:widowControl w:val="0"/>
      <w:numPr>
        <w:numId w:val="10"/>
      </w:numPr>
      <w:pBdr>
        <w:top w:val="single" w:sz="6" w:space="1" w:color="008000"/>
        <w:left w:val="single" w:sz="6" w:space="4" w:color="008000"/>
        <w:bottom w:val="single" w:sz="6" w:space="1" w:color="008000"/>
        <w:right w:val="single" w:sz="6" w:space="4" w:color="008000"/>
      </w:pBdr>
      <w:tabs>
        <w:tab w:val="left" w:pos="1125"/>
        <w:tab w:val="left" w:pos="1843"/>
      </w:tabs>
      <w:spacing w:before="60" w:after="60"/>
      <w:jc w:val="both"/>
    </w:pPr>
    <w:rPr>
      <w:rFonts w:ascii="Arial" w:eastAsia="Malgun Gothic" w:hAnsi="Arial"/>
      <w:b/>
      <w:color w:val="FF0000"/>
    </w:rPr>
  </w:style>
  <w:style w:type="character" w:customStyle="1" w:styleId="HeaderChar">
    <w:name w:val="Header Char"/>
    <w:link w:val="Header"/>
    <w:rPr>
      <w:rFonts w:ascii="Arial" w:eastAsia="Times New Roman" w:hAnsi="Arial"/>
      <w:b/>
      <w:sz w:val="18"/>
      <w:lang w:val="en-GB" w:eastAsia="ja-JP"/>
    </w:rPr>
  </w:style>
  <w:style w:type="character" w:customStyle="1" w:styleId="TitleChar">
    <w:name w:val="Title Char"/>
    <w:basedOn w:val="DefaultParagraphFont"/>
    <w:link w:val="Title"/>
    <w:uiPriority w:val="10"/>
    <w:rPr>
      <w:rFonts w:ascii="Calibri Light" w:eastAsia="宋体" w:hAnsi="Calibri Light"/>
      <w:b/>
      <w:bCs/>
      <w:sz w:val="32"/>
      <w:szCs w:val="32"/>
      <w:lang w:val="en-GB"/>
    </w:rPr>
  </w:style>
  <w:style w:type="paragraph" w:customStyle="1" w:styleId="Contact">
    <w:name w:val="Contact"/>
    <w:basedOn w:val="Heading4"/>
    <w:pPr>
      <w:keepLines w:val="0"/>
      <w:tabs>
        <w:tab w:val="left" w:pos="2268"/>
        <w:tab w:val="left" w:pos="2694"/>
      </w:tabs>
      <w:spacing w:before="0" w:after="0"/>
      <w:ind w:left="567" w:firstLine="0"/>
    </w:pPr>
    <w:rPr>
      <w:rFonts w:eastAsia="宋体" w:cs="Arial"/>
      <w:b/>
      <w:sz w:val="20"/>
    </w:rPr>
  </w:style>
  <w:style w:type="character" w:customStyle="1" w:styleId="B2Char">
    <w:name w:val="B2 Char"/>
    <w:link w:val="B2"/>
    <w:rPr>
      <w:rFonts w:eastAsia="Times New Roman"/>
      <w:lang w:val="en-GB"/>
    </w:rPr>
  </w:style>
  <w:style w:type="character" w:customStyle="1" w:styleId="CommentTextChar">
    <w:name w:val="Comment Text Char"/>
    <w:basedOn w:val="DefaultParagraphFont"/>
    <w:link w:val="CommentText"/>
    <w:uiPriority w:val="99"/>
    <w:semiHidden/>
    <w:rPr>
      <w:rFonts w:eastAsia="Times New Roman"/>
      <w:lang w:val="en-GB"/>
    </w:rPr>
  </w:style>
  <w:style w:type="character" w:customStyle="1" w:styleId="TAHCar">
    <w:name w:val="TAH Car"/>
    <w:qFormat/>
    <w:rPr>
      <w:rFonts w:ascii="Tahoma" w:eastAsia="MS LineDraw" w:hAnsi="Tahoma" w:cs="MS LineDraw"/>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1161</Words>
  <Characters>5872</Characters>
  <Application>Microsoft Office Word</Application>
  <DocSecurity>0</DocSecurity>
  <Lines>48</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 HiSilicon</cp:lastModifiedBy>
  <cp:revision>2</cp:revision>
  <cp:lastPrinted>2009-04-22T23:01:00Z</cp:lastPrinted>
  <dcterms:created xsi:type="dcterms:W3CDTF">2022-01-11T10:40:00Z</dcterms:created>
  <dcterms:modified xsi:type="dcterms:W3CDTF">2022-01-11T10:40:00Z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(3)Qn06m+TCraFHfoe7W0T1VPQgzqcmxbaHCfxdCR9HEgcY94xFXYkU9cq5n8mSMdunMf5DPLAG
UwcUmXBcOS2FPvymbGdIbuxDmnTB2PjzKT02n0KmYYVR4gTcITFHTXa7ENTU8L+yymR7RIYg
m/e718BepVQPNBbwu/h8/4IQCRh0wukvmVgZvJfYaIHGcUh7lYrnUOrNXp2p6jxzn3FlcA4x
CqNWENLp3kyzMpNcZt</vt:lpwstr>
  </property>
  <property fmtid="{D5CDD505-2E9C-101B-9397-08002B2CF9AE}" pid="17" name="_2015_ms_pID_7253431">
    <vt:lpwstr>DcWM+cls0NWazNDQXYy/pSbs2C1UdIyYhejFnd6g7W7m1tWbOzjwLO
LUeUaPaDJ5dii8FjN7DIh56Z2ywQDIHegcSxtciXlqnGrQXl6r1sCnU5nUSK4qxUkIcNJH78
aFclX75B5WGXKLHDMfgriEpKZ1LALVJV6vWC6R70ruWyfsmYMJ5saLOeqDYUEzSIIIuBlRh3
V9BObPrZuEw05TnMkzjyJINP0/P47aRhS9Vw</vt:lpwstr>
  </property>
  <property fmtid="{D5CDD505-2E9C-101B-9397-08002B2CF9AE}" pid="18" name="_2015_ms_pID_7253432">
    <vt:lpwstr>/diqkpsHYncz5tkmWO90FO4=</vt:lpwstr>
  </property>
  <property fmtid="{D5CDD505-2E9C-101B-9397-08002B2CF9AE}" pid="19" name="ContentTypeId">
    <vt:lpwstr>0x0101007B8F75A1F7A77E48B395AE0A93DE2BD9</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1641841529</vt:lpwstr>
  </property>
</Properties>
</file>