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6DCA" w14:textId="48C0BF7F"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C3465E">
        <w:rPr>
          <w:rFonts w:ascii="Arial" w:hAnsi="Arial" w:cs="Arial"/>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w:t>
      </w:r>
      <w:r w:rsidR="00C3465E">
        <w:rPr>
          <w:rFonts w:ascii="Arial" w:hAnsi="Arial" w:cs="Arial"/>
          <w:b/>
          <w:color w:val="000000"/>
          <w:kern w:val="2"/>
          <w:sz w:val="24"/>
          <w:lang w:val="en-US"/>
        </w:rPr>
        <w:t>xxxxx</w:t>
      </w:r>
    </w:p>
    <w:p w14:paraId="48E56DCB" w14:textId="06332EB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C3465E">
        <w:rPr>
          <w:rFonts w:ascii="Arial" w:hAnsi="Arial" w:cs="Arial"/>
          <w:b/>
          <w:color w:val="000000"/>
          <w:kern w:val="2"/>
          <w:sz w:val="24"/>
          <w:lang w:val="en-US"/>
        </w:rPr>
        <w:t>1 – 12 Nov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D21033C" w:rsidR="001E7AAD" w:rsidRDefault="00B464A9">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8306D9" w:rsidRPr="008306D9">
        <w:rPr>
          <w:rFonts w:ascii="Arial" w:hAnsi="Arial" w:cs="Arial"/>
          <w:b/>
          <w:bCs/>
          <w:sz w:val="24"/>
          <w:lang w:val="en-US" w:eastAsia="en-US"/>
        </w:rPr>
        <w:t>8.13</w:t>
      </w:r>
      <w:r w:rsidR="008306D9" w:rsidRPr="008306D9">
        <w:rPr>
          <w:rFonts w:ascii="Arial" w:hAnsi="Arial" w:cs="Arial"/>
          <w:b/>
          <w:bCs/>
          <w:sz w:val="24"/>
          <w:lang w:val="en-US" w:eastAsia="en-US"/>
        </w:rPr>
        <w:tab/>
        <w:t>SON/MDT</w:t>
      </w:r>
    </w:p>
    <w:p w14:paraId="48E56DCE" w14:textId="38DBD0DE"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sidR="00B464A9">
        <w:rPr>
          <w:rFonts w:ascii="Arial" w:hAnsi="Arial" w:cs="Arial"/>
          <w:b/>
          <w:bCs/>
          <w:sz w:val="24"/>
          <w:lang w:val="en-US" w:eastAsia="en-US"/>
        </w:rPr>
        <w:t>Huawei</w:t>
      </w:r>
    </w:p>
    <w:p w14:paraId="48E56DCF" w14:textId="7B22B5E0"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 xml:space="preserve">Report of </w:t>
      </w:r>
      <w:r w:rsidR="00E30542" w:rsidRPr="00E30542">
        <w:rPr>
          <w:rFonts w:ascii="Arial" w:hAnsi="Arial" w:cs="Arial"/>
          <w:b/>
          <w:bCs/>
          <w:sz w:val="24"/>
          <w:lang w:val="en-US" w:eastAsia="en-US"/>
        </w:rPr>
        <w:t>[AT116e][830][SON/MDT] Reply LS on Area scope configuration and Frequency band info in MDT configuration (Huawei)</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0D9ECD0" w14:textId="77777777" w:rsidR="008306D9" w:rsidRDefault="008306D9" w:rsidP="008306D9">
      <w:pPr>
        <w:pStyle w:val="Doc-text2"/>
      </w:pPr>
    </w:p>
    <w:p w14:paraId="326D01A9" w14:textId="6F780583" w:rsidR="00E30542" w:rsidRPr="00E2608F" w:rsidRDefault="00E30542" w:rsidP="00E30542">
      <w:pPr>
        <w:pStyle w:val="Doc-text2"/>
        <w:numPr>
          <w:ilvl w:val="0"/>
          <w:numId w:val="3"/>
        </w:numPr>
        <w:ind w:leftChars="272" w:left="958"/>
        <w:rPr>
          <w:b/>
        </w:rPr>
      </w:pPr>
      <w:r w:rsidRPr="00E2608F">
        <w:rPr>
          <w:b/>
        </w:rPr>
        <w:t>[AT11</w:t>
      </w:r>
      <w:r>
        <w:rPr>
          <w:b/>
        </w:rPr>
        <w:t>6</w:t>
      </w:r>
      <w:r w:rsidRPr="00E2608F">
        <w:rPr>
          <w:b/>
        </w:rPr>
        <w:t>e][8</w:t>
      </w:r>
      <w:r>
        <w:rPr>
          <w:b/>
        </w:rPr>
        <w:t>30</w:t>
      </w:r>
      <w:r w:rsidRPr="00E2608F">
        <w:rPr>
          <w:b/>
        </w:rPr>
        <w:t>][SON/MDT] Reply LS on Area scope configuration and Frequency band info in MDT configuration (</w:t>
      </w:r>
      <w:r>
        <w:rPr>
          <w:rFonts w:hint="eastAsia"/>
          <w:b/>
        </w:rPr>
        <w:t>Huawei</w:t>
      </w:r>
      <w:r w:rsidRPr="00E2608F">
        <w:rPr>
          <w:b/>
        </w:rPr>
        <w:t>)</w:t>
      </w:r>
    </w:p>
    <w:p w14:paraId="1AE5793A" w14:textId="77777777" w:rsidR="00E30542" w:rsidRPr="00E2608F" w:rsidRDefault="00E30542" w:rsidP="00E30542">
      <w:pPr>
        <w:pStyle w:val="Doc-text2"/>
        <w:ind w:leftChars="272" w:left="961"/>
      </w:pPr>
      <w:r>
        <w:tab/>
      </w:r>
      <w:r w:rsidRPr="00E2608F">
        <w:t>Based on R2-210</w:t>
      </w:r>
      <w:r>
        <w:t>9334</w:t>
      </w:r>
      <w:r w:rsidRPr="00E2608F">
        <w:t xml:space="preserve"> to figure out the acceptable version on Reply LS</w:t>
      </w:r>
    </w:p>
    <w:p w14:paraId="70686ED3" w14:textId="77777777" w:rsidR="00E30542" w:rsidRPr="00E2608F" w:rsidRDefault="00E30542" w:rsidP="00E30542">
      <w:pPr>
        <w:pStyle w:val="Doc-text2"/>
        <w:ind w:leftChars="272" w:left="961"/>
      </w:pPr>
      <w:r w:rsidRPr="00E2608F">
        <w:tab/>
        <w:t>Intended outcome: Approved LS</w:t>
      </w:r>
    </w:p>
    <w:p w14:paraId="71707CCD" w14:textId="77777777" w:rsidR="00E30542" w:rsidRPr="00E2608F" w:rsidRDefault="00E30542" w:rsidP="00E30542">
      <w:pPr>
        <w:pStyle w:val="Doc-text2"/>
        <w:ind w:leftChars="272" w:left="961"/>
      </w:pPr>
      <w:r w:rsidRPr="00E2608F">
        <w:tab/>
        <w:t xml:space="preserve">Deadline: 05:00 UTC, Friday </w:t>
      </w:r>
      <w:r>
        <w:t>November</w:t>
      </w:r>
      <w:r w:rsidRPr="00E2608F">
        <w:t xml:space="preserve"> </w:t>
      </w:r>
      <w:r>
        <w:t>5</w:t>
      </w:r>
      <w:r w:rsidRPr="00E2608F">
        <w:rPr>
          <w:vertAlign w:val="superscript"/>
        </w:rPr>
        <w:t>th</w:t>
      </w:r>
    </w:p>
    <w:p w14:paraId="48E56DDC" w14:textId="77777777" w:rsidR="001E7AAD" w:rsidRPr="00CC30E1" w:rsidRDefault="001E7AAD" w:rsidP="00CC30E1">
      <w:pPr>
        <w:spacing w:line="240" w:lineRule="auto"/>
        <w:rPr>
          <w:sz w:val="20"/>
        </w:rPr>
      </w:pPr>
    </w:p>
    <w:p w14:paraId="48E56DDD" w14:textId="77777777" w:rsidR="001E7AAD" w:rsidRPr="00CC30E1" w:rsidRDefault="00C2081C" w:rsidP="00CC30E1">
      <w:pPr>
        <w:widowControl w:val="0"/>
        <w:overflowPunct/>
        <w:autoSpaceDE/>
        <w:autoSpaceDN/>
        <w:adjustRightInd/>
        <w:spacing w:line="240" w:lineRule="auto"/>
        <w:textAlignment w:val="auto"/>
        <w:rPr>
          <w:rFonts w:ascii="Arial" w:eastAsia="等线" w:hAnsi="Arial"/>
          <w:b/>
          <w:bCs/>
          <w:kern w:val="2"/>
          <w:sz w:val="28"/>
          <w:szCs w:val="40"/>
          <w:lang w:val="en-US"/>
        </w:rPr>
      </w:pPr>
      <w:r w:rsidRPr="00CC30E1">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rsidRPr="00CC30E1"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Pr="00CC30E1" w:rsidRDefault="00C2081C" w:rsidP="00CC30E1">
            <w:pPr>
              <w:snapToGrid w:val="0"/>
              <w:spacing w:before="120" w:line="240" w:lineRule="auto"/>
              <w:rPr>
                <w:rFonts w:ascii="Arial" w:eastAsia="等线" w:hAnsi="Arial" w:cs="Arial"/>
                <w:kern w:val="2"/>
                <w:sz w:val="18"/>
                <w:szCs w:val="22"/>
                <w:lang w:eastAsia="en-US"/>
              </w:rPr>
            </w:pPr>
            <w:r w:rsidRPr="00CC30E1">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Pr="00CC30E1" w:rsidRDefault="00C2081C" w:rsidP="00CC30E1">
            <w:pPr>
              <w:snapToGrid w:val="0"/>
              <w:spacing w:before="120" w:line="240" w:lineRule="auto"/>
              <w:rPr>
                <w:rFonts w:ascii="Arial" w:hAnsi="Arial" w:cs="Arial"/>
                <w:sz w:val="20"/>
                <w:lang w:eastAsia="en-US"/>
              </w:rPr>
            </w:pPr>
            <w:r w:rsidRPr="00CC30E1">
              <w:rPr>
                <w:rFonts w:ascii="Arial" w:hAnsi="Arial" w:cs="Arial"/>
                <w:sz w:val="20"/>
                <w:lang w:eastAsia="en-US"/>
              </w:rPr>
              <w:t>Email</w:t>
            </w:r>
          </w:p>
        </w:tc>
      </w:tr>
      <w:tr w:rsidR="001E7AAD" w:rsidRPr="00CC30E1"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FF89370" w:rsidR="001E7AAD" w:rsidRPr="00CC30E1" w:rsidRDefault="009E6EFF" w:rsidP="00CC30E1">
            <w:pPr>
              <w:snapToGrid w:val="0"/>
              <w:spacing w:before="120" w:line="240" w:lineRule="auto"/>
              <w:rPr>
                <w:rFonts w:ascii="Arial" w:hAnsi="Arial" w:cs="Arial"/>
                <w:sz w:val="20"/>
              </w:rPr>
            </w:pPr>
            <w:r>
              <w:rPr>
                <w:rFonts w:ascii="Arial" w:hAnsi="Arial" w:cs="Arial" w:hint="eastAsia"/>
                <w:sz w:val="20"/>
              </w:rPr>
              <w:t>v</w:t>
            </w:r>
            <w:r>
              <w:rPr>
                <w:rFonts w:ascii="Arial" w:hAnsi="Arial" w:cs="Arial"/>
                <w:sz w:val="20"/>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1F1DDE3B" w:rsidR="001E7AAD" w:rsidRPr="00CC30E1" w:rsidRDefault="009E6EFF" w:rsidP="00CC30E1">
            <w:pPr>
              <w:snapToGrid w:val="0"/>
              <w:spacing w:before="120" w:line="240" w:lineRule="auto"/>
              <w:rPr>
                <w:rFonts w:ascii="Arial" w:hAnsi="Arial" w:cs="Arial"/>
                <w:sz w:val="20"/>
              </w:rPr>
            </w:pPr>
            <w:r>
              <w:rPr>
                <w:rFonts w:ascii="Arial" w:hAnsi="Arial" w:cs="Arial" w:hint="eastAsia"/>
                <w:sz w:val="20"/>
              </w:rPr>
              <w:t>M</w:t>
            </w:r>
            <w:r>
              <w:rPr>
                <w:rFonts w:ascii="Arial" w:hAnsi="Arial" w:cs="Arial"/>
                <w:sz w:val="20"/>
              </w:rPr>
              <w:t>ing WEN (ming.wen@vivo.com)</w:t>
            </w:r>
          </w:p>
        </w:tc>
      </w:tr>
      <w:tr w:rsidR="001E7AAD" w:rsidRPr="00CC30E1"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6568B5A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05E96231"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403952AD"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D0EEA2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253B0C7A"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2258A64"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55FDFDBF"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655A5865"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6D0ED434" w:rsidR="001E7AAD" w:rsidRPr="00CC30E1" w:rsidRDefault="001E7AAD" w:rsidP="00CC30E1">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0BFC672D" w:rsidR="001E7AAD" w:rsidRPr="00CC30E1" w:rsidRDefault="001E7AAD" w:rsidP="00CC30E1">
            <w:pPr>
              <w:snapToGrid w:val="0"/>
              <w:spacing w:before="120" w:line="240" w:lineRule="auto"/>
              <w:rPr>
                <w:rFonts w:ascii="Arial" w:hAnsi="Arial" w:cs="Arial"/>
                <w:sz w:val="20"/>
                <w:lang w:eastAsia="en-US"/>
              </w:rPr>
            </w:pPr>
          </w:p>
        </w:tc>
      </w:tr>
      <w:tr w:rsidR="001E7AAD" w:rsidRPr="00CC30E1"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46532431" w:rsidR="001E7AAD" w:rsidRPr="00CC30E1" w:rsidRDefault="001E7AAD" w:rsidP="00CC30E1">
            <w:pPr>
              <w:snapToGrid w:val="0"/>
              <w:spacing w:before="120" w:line="240" w:lineRule="auto"/>
              <w:rPr>
                <w:rFonts w:ascii="Arial" w:hAnsi="Arial" w:cs="Arial"/>
                <w:sz w:val="20"/>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6CEFCB32" w:rsidR="001E7AAD" w:rsidRPr="00CC30E1" w:rsidRDefault="001E7AAD" w:rsidP="00CC30E1">
            <w:pPr>
              <w:snapToGrid w:val="0"/>
              <w:spacing w:before="120" w:line="240" w:lineRule="auto"/>
              <w:rPr>
                <w:rFonts w:ascii="Arial" w:hAnsi="Arial" w:cs="Arial"/>
                <w:sz w:val="20"/>
                <w:lang w:val="en-US"/>
              </w:rPr>
            </w:pPr>
          </w:p>
        </w:tc>
      </w:tr>
      <w:tr w:rsidR="001E7AAD" w:rsidRPr="00CC30E1"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64380649" w:rsidR="001E7AAD" w:rsidRPr="00CC30E1" w:rsidRDefault="001E7AAD"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EA03C58" w:rsidR="001E7AAD" w:rsidRPr="00CC30E1" w:rsidRDefault="001E7AAD" w:rsidP="00CC30E1">
            <w:pPr>
              <w:snapToGrid w:val="0"/>
              <w:spacing w:before="120" w:line="240" w:lineRule="auto"/>
              <w:rPr>
                <w:rFonts w:ascii="Arial" w:eastAsia="Malgun Gothic" w:hAnsi="Arial" w:cs="Arial"/>
                <w:sz w:val="20"/>
                <w:lang w:eastAsia="ko-KR"/>
              </w:rPr>
            </w:pPr>
          </w:p>
        </w:tc>
      </w:tr>
      <w:tr w:rsidR="008306D9" w:rsidRPr="00CC30E1" w14:paraId="526A59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6C4DFB"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6F865E9" w14:textId="77777777" w:rsidR="008306D9" w:rsidRPr="00CC30E1" w:rsidRDefault="008306D9" w:rsidP="00CC30E1">
            <w:pPr>
              <w:snapToGrid w:val="0"/>
              <w:spacing w:before="120" w:line="240" w:lineRule="auto"/>
              <w:rPr>
                <w:rFonts w:ascii="Arial" w:eastAsia="Malgun Gothic" w:hAnsi="Arial" w:cs="Arial"/>
                <w:sz w:val="20"/>
                <w:lang w:eastAsia="ko-KR"/>
              </w:rPr>
            </w:pPr>
          </w:p>
        </w:tc>
      </w:tr>
      <w:tr w:rsidR="008306D9" w:rsidRPr="00CC30E1" w14:paraId="584784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289AC8" w14:textId="77777777" w:rsidR="008306D9" w:rsidRPr="00CC30E1" w:rsidRDefault="008306D9" w:rsidP="00CC30E1">
            <w:pPr>
              <w:snapToGrid w:val="0"/>
              <w:spacing w:before="120" w:line="240" w:lineRule="auto"/>
              <w:rPr>
                <w:rFonts w:ascii="Arial" w:eastAsia="Malgun Gothic" w:hAnsi="Arial" w:cs="Arial"/>
                <w:sz w:val="20"/>
                <w:lang w:val="en-US"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C6CA31" w14:textId="77777777" w:rsidR="008306D9" w:rsidRPr="00CC30E1" w:rsidRDefault="008306D9" w:rsidP="00CC30E1">
            <w:pPr>
              <w:snapToGrid w:val="0"/>
              <w:spacing w:before="120" w:line="240" w:lineRule="auto"/>
              <w:rPr>
                <w:rFonts w:ascii="Arial" w:eastAsia="Malgun Gothic" w:hAnsi="Arial" w:cs="Arial"/>
                <w:sz w:val="20"/>
                <w:lang w:eastAsia="ko-KR"/>
              </w:rPr>
            </w:pPr>
          </w:p>
        </w:tc>
      </w:tr>
    </w:tbl>
    <w:p w14:paraId="48E56E02" w14:textId="77777777" w:rsidR="001E7AAD" w:rsidRDefault="001E7AAD"/>
    <w:p w14:paraId="48E56E03" w14:textId="77777777" w:rsidR="001E7AAD" w:rsidRDefault="00C2081C">
      <w:pPr>
        <w:pStyle w:val="1"/>
        <w:numPr>
          <w:ilvl w:val="0"/>
          <w:numId w:val="4"/>
        </w:numPr>
      </w:pPr>
      <w:r>
        <w:t>Discussion</w:t>
      </w:r>
    </w:p>
    <w:p w14:paraId="0E50E228" w14:textId="061186F6" w:rsidR="00744830" w:rsidRDefault="00744830">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A</w:t>
      </w:r>
      <w:r>
        <w:rPr>
          <w:rFonts w:ascii="Arial" w:eastAsia="等线" w:hAnsi="Arial"/>
          <w:kern w:val="2"/>
          <w:sz w:val="21"/>
          <w:szCs w:val="22"/>
          <w:lang w:val="en-US"/>
        </w:rPr>
        <w:t>t RAN2#115-e, the LS [1] was discussed in the email discussion [2]. The following proposals were made but not concluded due to lack of time.</w:t>
      </w:r>
    </w:p>
    <w:p w14:paraId="4CAD1739" w14:textId="77777777" w:rsidR="00744830" w:rsidRDefault="00744830" w:rsidP="00744830">
      <w:pPr>
        <w:pStyle w:val="Doc-text2"/>
      </w:pPr>
      <w:r>
        <w:lastRenderedPageBreak/>
        <w:t>Proposal 11</w:t>
      </w:r>
      <w:r>
        <w:tab/>
        <w:t>Rel-16 RAN2 specifications are unchanged with respect to RAN3’s question on the presence of interFreqTargetList within AreaConfiguration.</w:t>
      </w:r>
    </w:p>
    <w:p w14:paraId="2760B6B5" w14:textId="77777777" w:rsidR="00744830" w:rsidRDefault="00744830" w:rsidP="00744830">
      <w:pPr>
        <w:pStyle w:val="Doc-text2"/>
      </w:pPr>
      <w:r>
        <w:t>Proposal 12</w:t>
      </w:r>
      <w:r>
        <w:tab/>
        <w:t>RAN2 works on the introduction of AreaConfiguration-r17 (including areaConfig-r16 and interFreqTargetList-r16 inside it with both fields being optional) in Rel-17.</w:t>
      </w:r>
    </w:p>
    <w:p w14:paraId="444DFECB" w14:textId="77777777" w:rsidR="00744830" w:rsidRDefault="00744830" w:rsidP="00744830">
      <w:pPr>
        <w:pStyle w:val="Doc-text2"/>
      </w:pPr>
      <w:r>
        <w:t>Proposal 13</w:t>
      </w:r>
      <w:r>
        <w:tab/>
        <w:t>RAN2 confirms that frequency band list configuration is not supported in interFreqTargetList configuration.</w:t>
      </w:r>
    </w:p>
    <w:p w14:paraId="5000E063" w14:textId="77777777" w:rsidR="00744830" w:rsidRDefault="00744830">
      <w:pPr>
        <w:widowControl w:val="0"/>
        <w:overflowPunct/>
        <w:autoSpaceDE/>
        <w:autoSpaceDN/>
        <w:adjustRightInd/>
        <w:spacing w:line="240" w:lineRule="auto"/>
        <w:textAlignment w:val="auto"/>
        <w:rPr>
          <w:rFonts w:ascii="Arial" w:eastAsia="等线" w:hAnsi="Arial"/>
          <w:kern w:val="2"/>
          <w:sz w:val="21"/>
          <w:szCs w:val="22"/>
          <w:lang w:val="en-US"/>
        </w:rPr>
      </w:pPr>
    </w:p>
    <w:p w14:paraId="07AA5D27" w14:textId="01ADE65B" w:rsidR="003272DC" w:rsidRDefault="003272D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T</w:t>
      </w:r>
      <w:r>
        <w:rPr>
          <w:rFonts w:ascii="Arial" w:eastAsia="等线" w:hAnsi="Arial"/>
          <w:kern w:val="2"/>
          <w:sz w:val="21"/>
          <w:szCs w:val="22"/>
          <w:lang w:val="en-US"/>
        </w:rPr>
        <w:t xml:space="preserve">he previous discussions (including companies’ opinions) are lised in section 5 Annex. It can be seen that all above proposals represent </w:t>
      </w:r>
      <w:r w:rsidRPr="003272DC">
        <w:rPr>
          <w:rFonts w:ascii="Arial" w:eastAsia="等线" w:hAnsi="Arial"/>
          <w:kern w:val="2"/>
          <w:sz w:val="21"/>
          <w:szCs w:val="22"/>
          <w:lang w:val="en-US"/>
        </w:rPr>
        <w:t>the majority view</w:t>
      </w:r>
      <w:r>
        <w:rPr>
          <w:rFonts w:ascii="Arial" w:eastAsia="等线" w:hAnsi="Arial"/>
          <w:kern w:val="2"/>
          <w:sz w:val="21"/>
          <w:szCs w:val="22"/>
          <w:lang w:val="en-US"/>
        </w:rPr>
        <w:t xml:space="preserve"> of companies, so it is proposed to use them as a baseline for the reply LS.</w:t>
      </w:r>
    </w:p>
    <w:p w14:paraId="48E56E0B" w14:textId="52061380" w:rsidR="001E7AAD" w:rsidRDefault="00C2081C">
      <w:pPr>
        <w:pStyle w:val="a8"/>
        <w:rPr>
          <w:b/>
          <w:bCs/>
        </w:rPr>
      </w:pPr>
      <w:r>
        <w:rPr>
          <w:rFonts w:hint="eastAsia"/>
          <w:b/>
          <w:bCs/>
        </w:rPr>
        <w:t>Q</w:t>
      </w:r>
      <w:r>
        <w:rPr>
          <w:b/>
          <w:bCs/>
        </w:rPr>
        <w:t xml:space="preserve">1: Do companies agree </w:t>
      </w:r>
      <w:r w:rsidR="003272DC">
        <w:rPr>
          <w:b/>
          <w:bCs/>
        </w:rPr>
        <w:t>with the above P11, P12 and P13</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6A43A209" w:rsidR="001E7AAD" w:rsidRDefault="00526044">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63B65E80" w:rsidR="001E7AAD" w:rsidRDefault="0052604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22661A"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61F02B19" w:rsidR="0022661A" w:rsidRDefault="0022661A" w:rsidP="0022661A">
            <w:pPr>
              <w:jc w:val="center"/>
              <w:rPr>
                <w:rFonts w:ascii="Arial" w:hAnsi="Arial" w:cs="Arial"/>
                <w:sz w:val="20"/>
                <w:lang w:eastAsia="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168E39E9" w:rsidR="0022661A" w:rsidRDefault="0022661A" w:rsidP="0022661A">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9BD58BE" w:rsidR="0022661A" w:rsidRDefault="0022661A" w:rsidP="0022661A">
            <w:pPr>
              <w:rPr>
                <w:rFonts w:ascii="Arial" w:hAnsi="Arial" w:cs="Arial"/>
                <w:sz w:val="21"/>
                <w:szCs w:val="22"/>
                <w:lang w:eastAsia="en-US"/>
              </w:rPr>
            </w:pP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12DC70D5"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1B75D79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6B364159" w:rsidR="001E7AAD" w:rsidRDefault="001E7AAD">
            <w:pPr>
              <w:rPr>
                <w:rFonts w:ascii="Arial" w:hAnsi="Arial" w:cs="Arial"/>
                <w:sz w:val="21"/>
                <w:szCs w:val="22"/>
                <w:lang w:eastAsia="en-US"/>
              </w:rPr>
            </w:pP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6C7B1450"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3A04FD6D"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0" w14:textId="2DE15EF7" w:rsidR="001E7AAD" w:rsidRDefault="001E7AAD">
            <w:pPr>
              <w:rPr>
                <w:rFonts w:ascii="Arial" w:hAnsi="Arial" w:cs="Arial"/>
                <w:sz w:val="21"/>
                <w:szCs w:val="22"/>
                <w:lang w:eastAsia="en-US"/>
              </w:rPr>
            </w:pP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4E99DA81" w:rsidR="001E7AAD" w:rsidRDefault="001E7A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1DF4ACE7" w:rsidR="001E7AAD" w:rsidRDefault="001E7A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48C73979" w:rsidR="001E7AAD" w:rsidRDefault="001E7AAD">
            <w:pPr>
              <w:rPr>
                <w:rFonts w:ascii="Arial" w:hAnsi="Arial" w:cs="Arial"/>
                <w:sz w:val="21"/>
                <w:szCs w:val="22"/>
                <w:lang w:eastAsia="en-US"/>
              </w:rPr>
            </w:pP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4F0EFA0E" w:rsidR="001E7AAD" w:rsidRDefault="001E7A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32B7C50B" w:rsidR="001E7AAD" w:rsidRDefault="001E7A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B" w14:textId="7F6076BA" w:rsidR="001E7AAD" w:rsidRDefault="001E7AAD">
            <w:pPr>
              <w:rPr>
                <w:bCs/>
                <w:lang w:val="en-US"/>
              </w:rPr>
            </w:pP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24628224" w:rsidR="001218A2" w:rsidRPr="00415BCD" w:rsidRDefault="001218A2" w:rsidP="001218A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52230423"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1" w14:textId="0C9BDABC" w:rsidR="001218A2" w:rsidRPr="00512C33" w:rsidRDefault="001218A2" w:rsidP="001218A2">
            <w:pPr>
              <w:rPr>
                <w:bCs/>
                <w:sz w:val="20"/>
                <w:lang w:val="en-US"/>
              </w:rPr>
            </w:pP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40835E57" w:rsidR="001218A2" w:rsidRDefault="001218A2" w:rsidP="001218A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6CB03F90" w:rsidR="001218A2" w:rsidRDefault="001218A2" w:rsidP="001218A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7227673B" w:rsidR="001218A2" w:rsidRDefault="001218A2" w:rsidP="001218A2">
            <w:pPr>
              <w:rPr>
                <w:rFonts w:ascii="Arial" w:hAnsi="Arial" w:cs="Arial"/>
                <w:sz w:val="21"/>
                <w:szCs w:val="22"/>
                <w:lang w:eastAsia="en-US"/>
              </w:rPr>
            </w:pP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1A06D6F1" w:rsidR="006D2067" w:rsidRPr="00424ECE"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0F5DBC20" w:rsidR="006D2067" w:rsidRPr="00424ECE"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0AC70028" w:rsidR="006D2067" w:rsidRPr="00424ECE" w:rsidRDefault="006D2067" w:rsidP="006D2067">
            <w:pPr>
              <w:rPr>
                <w:rFonts w:ascii="Arial" w:hAnsi="Arial" w:cs="Arial"/>
                <w:sz w:val="21"/>
                <w:szCs w:val="22"/>
                <w:lang w:eastAsia="en-US"/>
              </w:rPr>
            </w:pP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4E830325" w:rsidR="0089336B" w:rsidRPr="00424ECE" w:rsidRDefault="0089336B" w:rsidP="00A1668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62F79103" w:rsidR="0089336B" w:rsidRPr="00424ECE" w:rsidRDefault="0089336B" w:rsidP="00A1668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E" w14:textId="1370A1B0" w:rsidR="0089336B" w:rsidRPr="00424ECE" w:rsidRDefault="0089336B" w:rsidP="00A1668F">
            <w:pPr>
              <w:rPr>
                <w:rFonts w:ascii="Arial" w:hAnsi="Arial" w:cs="Arial"/>
                <w:sz w:val="21"/>
                <w:szCs w:val="22"/>
              </w:rPr>
            </w:pPr>
          </w:p>
        </w:tc>
      </w:tr>
    </w:tbl>
    <w:p w14:paraId="48E56E58" w14:textId="77777777" w:rsidR="001E7AAD" w:rsidRDefault="001E7AAD">
      <w:pPr>
        <w:pStyle w:val="Doc-text2"/>
        <w:ind w:left="0" w:firstLine="0"/>
      </w:pPr>
    </w:p>
    <w:p w14:paraId="6DD72A36" w14:textId="5E2A90DA" w:rsidR="003720E0" w:rsidRPr="003720E0" w:rsidRDefault="003720E0">
      <w:pPr>
        <w:pStyle w:val="Doc-text2"/>
        <w:ind w:left="0" w:firstLine="0"/>
        <w:rPr>
          <w:rFonts w:eastAsiaTheme="minorEastAsia"/>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7B7C3C47" w14:textId="77777777" w:rsidR="00B464A9" w:rsidRDefault="00B464A9" w:rsidP="00B464A9">
      <w:pPr>
        <w:pStyle w:val="Doc-text2"/>
        <w:ind w:left="0" w:firstLine="0"/>
        <w:rPr>
          <w:rFonts w:eastAsiaTheme="minorEastAsia"/>
          <w:szCs w:val="24"/>
          <w:lang w:eastAsia="zh-CN"/>
        </w:rPr>
      </w:pPr>
    </w:p>
    <w:p w14:paraId="4E26F3D6" w14:textId="77777777" w:rsidR="003272DC" w:rsidRDefault="003272DC" w:rsidP="00B464A9">
      <w:pPr>
        <w:pStyle w:val="Doc-text2"/>
        <w:ind w:left="0" w:firstLine="0"/>
        <w:rPr>
          <w:rFonts w:eastAsiaTheme="minorEastAsia"/>
          <w:szCs w:val="24"/>
          <w:lang w:eastAsia="zh-CN"/>
        </w:rPr>
      </w:pPr>
    </w:p>
    <w:p w14:paraId="3AEAFDCB" w14:textId="4E366CE5" w:rsidR="003272DC" w:rsidRDefault="003272DC" w:rsidP="003272DC">
      <w:pPr>
        <w:pStyle w:val="a8"/>
        <w:rPr>
          <w:b/>
          <w:bCs/>
        </w:rPr>
      </w:pPr>
      <w:r>
        <w:rPr>
          <w:rFonts w:hint="eastAsia"/>
          <w:b/>
          <w:bCs/>
        </w:rPr>
        <w:t>Q</w:t>
      </w:r>
      <w:r>
        <w:rPr>
          <w:b/>
          <w:bCs/>
        </w:rPr>
        <w:t>2: Regarding the reply LS to R2-2109334, do companies agree to capture the above P11, P12 and P13?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272DC" w14:paraId="3C085AAD"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17188E" w14:textId="77777777" w:rsidR="003272DC" w:rsidRDefault="003272DC" w:rsidP="003176FF">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15E82F" w14:textId="77777777" w:rsidR="003272DC" w:rsidRDefault="003272DC" w:rsidP="003176FF">
            <w:pPr>
              <w:pStyle w:val="a8"/>
              <w:jc w:val="center"/>
              <w:rPr>
                <w:sz w:val="20"/>
                <w:szCs w:val="20"/>
                <w:lang w:eastAsia="en-US"/>
              </w:rPr>
            </w:pPr>
            <w:r>
              <w:rPr>
                <w:sz w:val="20"/>
                <w:szCs w:val="20"/>
                <w:lang w:eastAsia="en-US"/>
              </w:rPr>
              <w:t>Agree?</w:t>
            </w:r>
          </w:p>
          <w:p w14:paraId="147942CC" w14:textId="77777777" w:rsidR="003272DC" w:rsidRDefault="003272DC" w:rsidP="003176FF">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B0438EC" w14:textId="77777777" w:rsidR="003272DC" w:rsidRDefault="003272DC" w:rsidP="003176FF">
            <w:pPr>
              <w:pStyle w:val="a8"/>
              <w:jc w:val="center"/>
              <w:rPr>
                <w:lang w:eastAsia="en-US"/>
              </w:rPr>
            </w:pPr>
            <w:r>
              <w:rPr>
                <w:sz w:val="20"/>
                <w:szCs w:val="20"/>
                <w:lang w:eastAsia="en-US"/>
              </w:rPr>
              <w:t>Comments</w:t>
            </w:r>
          </w:p>
        </w:tc>
      </w:tr>
      <w:tr w:rsidR="003272DC" w14:paraId="5163B833"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B6761" w14:textId="5127EA51" w:rsidR="003272DC" w:rsidRDefault="00526044" w:rsidP="003176FF">
            <w:pPr>
              <w:jc w:val="center"/>
              <w:rPr>
                <w:rFonts w:ascii="Arial" w:hAnsi="Arial" w:cs="Arial"/>
                <w:sz w:val="20"/>
              </w:rPr>
            </w:pPr>
            <w:r>
              <w:rPr>
                <w:rFonts w:ascii="Arial"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9C77C" w14:textId="3C5847FB" w:rsidR="003272DC" w:rsidRDefault="00526044" w:rsidP="003176FF">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36B251" w14:textId="77777777" w:rsidR="003272DC" w:rsidRDefault="003272DC" w:rsidP="003176FF">
            <w:pPr>
              <w:rPr>
                <w:rFonts w:ascii="Arial" w:hAnsi="Arial" w:cs="Arial"/>
                <w:sz w:val="21"/>
                <w:szCs w:val="22"/>
                <w:lang w:eastAsia="en-US"/>
              </w:rPr>
            </w:pPr>
          </w:p>
        </w:tc>
      </w:tr>
      <w:tr w:rsidR="003272DC" w14:paraId="6F7D3A7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E5025" w14:textId="32D335A5" w:rsidR="003272DC" w:rsidRDefault="00EA2547" w:rsidP="003176FF">
            <w:pPr>
              <w:jc w:val="center"/>
              <w:rPr>
                <w:rFonts w:ascii="Arial" w:hAnsi="Arial" w:cs="Arial" w:hint="eastAsia"/>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908E" w14:textId="23DB1F9E" w:rsidR="003272DC" w:rsidRDefault="00EA2547" w:rsidP="003176FF">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376DD4" w14:textId="77777777" w:rsidR="003272DC" w:rsidRDefault="003272DC" w:rsidP="003176FF">
            <w:pPr>
              <w:rPr>
                <w:rFonts w:ascii="Arial" w:hAnsi="Arial" w:cs="Arial"/>
                <w:sz w:val="21"/>
                <w:szCs w:val="22"/>
                <w:lang w:eastAsia="en-US"/>
              </w:rPr>
            </w:pPr>
          </w:p>
        </w:tc>
      </w:tr>
      <w:tr w:rsidR="003272DC" w14:paraId="4E2BE14C"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939B5"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679112"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3541D9" w14:textId="77777777" w:rsidR="003272DC" w:rsidRDefault="003272DC" w:rsidP="003176FF">
            <w:pPr>
              <w:rPr>
                <w:rFonts w:ascii="Arial" w:hAnsi="Arial" w:cs="Arial"/>
                <w:sz w:val="21"/>
                <w:szCs w:val="22"/>
                <w:lang w:eastAsia="en-US"/>
              </w:rPr>
            </w:pPr>
          </w:p>
        </w:tc>
      </w:tr>
      <w:tr w:rsidR="003272DC" w14:paraId="72D6D83B"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6EF4AF"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AD8969"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D3E96" w14:textId="77777777" w:rsidR="003272DC" w:rsidRDefault="003272DC" w:rsidP="003176FF">
            <w:pPr>
              <w:rPr>
                <w:rFonts w:ascii="Arial" w:hAnsi="Arial" w:cs="Arial"/>
                <w:sz w:val="21"/>
                <w:szCs w:val="22"/>
                <w:lang w:eastAsia="en-US"/>
              </w:rPr>
            </w:pPr>
          </w:p>
        </w:tc>
      </w:tr>
      <w:tr w:rsidR="003272DC" w14:paraId="63AA06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2442C"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E25D3"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E154" w14:textId="77777777" w:rsidR="003272DC" w:rsidRDefault="003272DC" w:rsidP="003176FF">
            <w:pPr>
              <w:rPr>
                <w:rFonts w:ascii="Arial" w:hAnsi="Arial" w:cs="Arial"/>
                <w:sz w:val="21"/>
                <w:szCs w:val="22"/>
                <w:lang w:eastAsia="en-US"/>
              </w:rPr>
            </w:pPr>
          </w:p>
        </w:tc>
      </w:tr>
      <w:tr w:rsidR="003272DC" w14:paraId="2C60264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9D0BA" w14:textId="77777777" w:rsidR="003272DC" w:rsidRDefault="003272DC" w:rsidP="003176F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592BF7" w14:textId="77777777" w:rsidR="003272DC" w:rsidRDefault="003272DC" w:rsidP="003176F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F865A4" w14:textId="77777777" w:rsidR="003272DC" w:rsidRDefault="003272DC" w:rsidP="003176FF">
            <w:pPr>
              <w:rPr>
                <w:bCs/>
                <w:lang w:val="en-US"/>
              </w:rPr>
            </w:pPr>
          </w:p>
        </w:tc>
      </w:tr>
      <w:tr w:rsidR="003272DC" w14:paraId="49E8468A"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992F6" w14:textId="77777777" w:rsidR="003272DC" w:rsidRPr="00415BCD" w:rsidRDefault="003272DC" w:rsidP="003176F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7DC68" w14:textId="77777777" w:rsidR="003272DC" w:rsidRPr="00415BCD" w:rsidRDefault="003272DC" w:rsidP="003176F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4F5122" w14:textId="77777777" w:rsidR="003272DC" w:rsidRPr="00512C33" w:rsidRDefault="003272DC" w:rsidP="003176FF">
            <w:pPr>
              <w:rPr>
                <w:bCs/>
                <w:sz w:val="20"/>
                <w:lang w:val="en-US"/>
              </w:rPr>
            </w:pPr>
          </w:p>
        </w:tc>
      </w:tr>
      <w:tr w:rsidR="003272DC" w14:paraId="0741F44E"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E6F705" w14:textId="77777777" w:rsidR="003272DC"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F6152" w14:textId="77777777" w:rsidR="003272DC"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654CD9" w14:textId="77777777" w:rsidR="003272DC" w:rsidRDefault="003272DC" w:rsidP="003176FF">
            <w:pPr>
              <w:rPr>
                <w:rFonts w:ascii="Arial" w:hAnsi="Arial" w:cs="Arial"/>
                <w:sz w:val="21"/>
                <w:szCs w:val="22"/>
                <w:lang w:eastAsia="en-US"/>
              </w:rPr>
            </w:pPr>
          </w:p>
        </w:tc>
      </w:tr>
      <w:tr w:rsidR="003272DC" w14:paraId="3125A6C2"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461527" w14:textId="77777777" w:rsidR="003272DC" w:rsidRPr="00424ECE" w:rsidRDefault="003272DC" w:rsidP="003176F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A63138" w14:textId="77777777" w:rsidR="003272DC" w:rsidRPr="00424ECE" w:rsidRDefault="003272DC" w:rsidP="003176F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ADFBA" w14:textId="77777777" w:rsidR="003272DC" w:rsidRPr="00424ECE" w:rsidRDefault="003272DC" w:rsidP="003176FF">
            <w:pPr>
              <w:rPr>
                <w:rFonts w:ascii="Arial" w:hAnsi="Arial" w:cs="Arial"/>
                <w:sz w:val="21"/>
                <w:szCs w:val="22"/>
                <w:lang w:eastAsia="en-US"/>
              </w:rPr>
            </w:pPr>
          </w:p>
        </w:tc>
      </w:tr>
      <w:tr w:rsidR="003272DC" w14:paraId="0CFE3DC9" w14:textId="77777777" w:rsidTr="003176F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B1F32" w14:textId="77777777" w:rsidR="003272DC" w:rsidRPr="00424ECE" w:rsidRDefault="003272DC" w:rsidP="003176F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875E9" w14:textId="77777777" w:rsidR="003272DC" w:rsidRPr="00424ECE" w:rsidRDefault="003272DC" w:rsidP="003176FF">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0670D" w14:textId="77777777" w:rsidR="003272DC" w:rsidRPr="00424ECE" w:rsidRDefault="003272DC" w:rsidP="003176FF">
            <w:pPr>
              <w:rPr>
                <w:rFonts w:ascii="Arial" w:hAnsi="Arial" w:cs="Arial"/>
                <w:sz w:val="21"/>
                <w:szCs w:val="22"/>
              </w:rPr>
            </w:pPr>
          </w:p>
        </w:tc>
      </w:tr>
    </w:tbl>
    <w:p w14:paraId="1094F641" w14:textId="77777777" w:rsidR="003272DC" w:rsidRDefault="003272DC" w:rsidP="003272DC">
      <w:pPr>
        <w:pStyle w:val="Doc-text2"/>
        <w:ind w:left="0" w:firstLine="0"/>
      </w:pPr>
    </w:p>
    <w:p w14:paraId="3A79677F" w14:textId="3DB7D1DD" w:rsidR="003272DC" w:rsidRDefault="003272DC" w:rsidP="003272DC">
      <w:pPr>
        <w:pStyle w:val="Doc-text2"/>
        <w:ind w:left="0" w:firstLine="0"/>
        <w:rPr>
          <w:rFonts w:eastAsiaTheme="minorEastAsia"/>
          <w:szCs w:val="24"/>
          <w:lang w:eastAsia="zh-CN"/>
        </w:rPr>
      </w:pPr>
      <w:r w:rsidRPr="003720E0">
        <w:rPr>
          <w:rFonts w:eastAsiaTheme="minorEastAsia" w:hint="eastAsia"/>
          <w:highlight w:val="yellow"/>
          <w:lang w:eastAsia="zh-CN"/>
        </w:rPr>
        <w:t>S</w:t>
      </w:r>
      <w:r w:rsidRPr="003720E0">
        <w:rPr>
          <w:rFonts w:eastAsiaTheme="minorEastAsia"/>
          <w:highlight w:val="yellow"/>
          <w:lang w:eastAsia="zh-CN"/>
        </w:rPr>
        <w:t>ummary: TBD</w:t>
      </w:r>
    </w:p>
    <w:p w14:paraId="47652685" w14:textId="77777777" w:rsidR="003272DC" w:rsidRDefault="003272DC" w:rsidP="00B464A9">
      <w:pPr>
        <w:pStyle w:val="Doc-text2"/>
        <w:ind w:left="0" w:firstLine="0"/>
        <w:rPr>
          <w:rFonts w:eastAsiaTheme="minorEastAsia"/>
          <w:szCs w:val="24"/>
          <w:lang w:eastAsia="zh-CN"/>
        </w:rPr>
      </w:pPr>
    </w:p>
    <w:p w14:paraId="647C2FDD" w14:textId="77777777" w:rsidR="003272DC" w:rsidRDefault="003272DC" w:rsidP="00B464A9">
      <w:pPr>
        <w:pStyle w:val="Doc-text2"/>
        <w:ind w:left="0" w:firstLine="0"/>
        <w:rPr>
          <w:rFonts w:eastAsiaTheme="minorEastAsia"/>
          <w:szCs w:val="24"/>
          <w:lang w:eastAsia="zh-CN"/>
        </w:rPr>
      </w:pPr>
    </w:p>
    <w:p w14:paraId="48E56FF6" w14:textId="77777777" w:rsidR="001E7AAD" w:rsidRDefault="00C2081C">
      <w:pPr>
        <w:pStyle w:val="1"/>
        <w:numPr>
          <w:ilvl w:val="0"/>
          <w:numId w:val="4"/>
        </w:numPr>
      </w:pPr>
      <w:bookmarkStart w:id="1" w:name="_Hlk46936119"/>
      <w:r>
        <w:t>Conclusions</w:t>
      </w:r>
    </w:p>
    <w:p w14:paraId="3EEB6CC2" w14:textId="61C47B7E" w:rsidR="00994FFC" w:rsidRPr="00994FFC" w:rsidRDefault="00994FFC">
      <w:pPr>
        <w:rPr>
          <w:rFonts w:eastAsiaTheme="minorEastAsia" w:cs="Arial"/>
        </w:rPr>
      </w:pPr>
      <w:r w:rsidRPr="00994FFC">
        <w:rPr>
          <w:rFonts w:eastAsiaTheme="minorEastAsia" w:cs="Arial" w:hint="eastAsia"/>
          <w:highlight w:val="yellow"/>
        </w:rPr>
        <w:t>[</w:t>
      </w:r>
      <w:r w:rsidRPr="00994FFC">
        <w:rPr>
          <w:rFonts w:eastAsiaTheme="minorEastAsia" w:cs="Arial"/>
          <w:highlight w:val="yellow"/>
        </w:rPr>
        <w:t>To be added]</w:t>
      </w:r>
    </w:p>
    <w:p w14:paraId="69890BFA" w14:textId="77777777" w:rsid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bookmarkStart w:id="2" w:name="_Hlk80364567"/>
    </w:p>
    <w:p w14:paraId="0065C80C" w14:textId="3C070D9A" w:rsidR="00744830" w:rsidRDefault="00744830" w:rsidP="00744830">
      <w:pPr>
        <w:pStyle w:val="1"/>
        <w:numPr>
          <w:ilvl w:val="0"/>
          <w:numId w:val="4"/>
        </w:numPr>
      </w:pPr>
      <w:r>
        <w:t>Reference</w:t>
      </w:r>
    </w:p>
    <w:p w14:paraId="7F347EB2" w14:textId="264CF18F" w:rsidR="00744830" w:rsidRDefault="00744830" w:rsidP="0048685E">
      <w:pPr>
        <w:widowControl w:val="0"/>
        <w:overflowPunct/>
        <w:autoSpaceDE/>
        <w:autoSpaceDN/>
        <w:adjustRightInd/>
        <w:spacing w:line="240" w:lineRule="auto"/>
        <w:textAlignment w:val="auto"/>
        <w:rPr>
          <w:rFonts w:eastAsiaTheme="minorEastAsia" w:cs="Arial"/>
        </w:rPr>
      </w:pPr>
      <w:r>
        <w:rPr>
          <w:rFonts w:eastAsiaTheme="minorEastAsia" w:cs="Arial"/>
        </w:rPr>
        <w:t xml:space="preserve">[1] </w:t>
      </w:r>
      <w:r w:rsidRPr="00744830">
        <w:rPr>
          <w:rFonts w:eastAsiaTheme="minorEastAsia" w:cs="Arial"/>
        </w:rPr>
        <w:t>R2-2109334</w:t>
      </w:r>
      <w:r w:rsidRPr="00744830">
        <w:rPr>
          <w:rFonts w:eastAsiaTheme="minorEastAsia" w:cs="Arial"/>
        </w:rPr>
        <w:tab/>
        <w:t>LS on Area scope configuration and Frequency band info in MDT configuration (R3-212824; contact: Huawei)</w:t>
      </w:r>
      <w:r w:rsidRPr="00744830">
        <w:rPr>
          <w:rFonts w:eastAsiaTheme="minorEastAsia" w:cs="Arial"/>
        </w:rPr>
        <w:tab/>
        <w:t>RAN3</w:t>
      </w:r>
      <w:r w:rsidRPr="00744830">
        <w:rPr>
          <w:rFonts w:eastAsiaTheme="minorEastAsia" w:cs="Arial"/>
        </w:rPr>
        <w:tab/>
        <w:t>LS in</w:t>
      </w:r>
      <w:r w:rsidRPr="00744830">
        <w:rPr>
          <w:rFonts w:eastAsiaTheme="minorEastAsia" w:cs="Arial"/>
        </w:rPr>
        <w:tab/>
        <w:t>Rel-17</w:t>
      </w:r>
      <w:r w:rsidRPr="00744830">
        <w:rPr>
          <w:rFonts w:eastAsiaTheme="minorEastAsia" w:cs="Arial"/>
        </w:rPr>
        <w:tab/>
        <w:t>NR_ENDC_SON_MDT_enh-Core</w:t>
      </w:r>
      <w:r w:rsidRPr="00744830">
        <w:rPr>
          <w:rFonts w:eastAsiaTheme="minorEastAsia" w:cs="Arial"/>
        </w:rPr>
        <w:tab/>
        <w:t>To:RAN2</w:t>
      </w:r>
    </w:p>
    <w:p w14:paraId="48BDA2E3" w14:textId="549FBE9F" w:rsidR="00744830" w:rsidRPr="00CB0B01" w:rsidRDefault="00744830" w:rsidP="0048685E">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cs="Arial"/>
        </w:rPr>
        <w:t xml:space="preserve">[2] </w:t>
      </w:r>
      <w:hyperlink r:id="rId12" w:history="1">
        <w:r>
          <w:rPr>
            <w:rStyle w:val="af7"/>
          </w:rPr>
          <w:t>R2-2108965</w:t>
        </w:r>
      </w:hyperlink>
      <w:r>
        <w:tab/>
      </w:r>
      <w:r w:rsidRPr="00512358">
        <w:t>Report of [Offline-872][SONMDT] Logged MDT enhancements (Ericsson)</w:t>
      </w:r>
    </w:p>
    <w:bookmarkEnd w:id="1"/>
    <w:bookmarkEnd w:id="2"/>
    <w:p w14:paraId="48E56FF8" w14:textId="77777777" w:rsidR="001E7AAD" w:rsidRDefault="001E7AAD">
      <w:pPr>
        <w:rPr>
          <w:b/>
          <w:bCs/>
        </w:rPr>
      </w:pPr>
    </w:p>
    <w:p w14:paraId="3650CA3D" w14:textId="58CF1A6F" w:rsidR="003272DC" w:rsidRDefault="003272DC" w:rsidP="003272DC">
      <w:pPr>
        <w:pStyle w:val="1"/>
        <w:numPr>
          <w:ilvl w:val="0"/>
          <w:numId w:val="4"/>
        </w:numPr>
        <w:rPr>
          <w:b/>
          <w:bCs/>
        </w:rPr>
      </w:pPr>
      <w:r>
        <w:t>Annex</w:t>
      </w:r>
    </w:p>
    <w:p w14:paraId="354DCB1F" w14:textId="27A23C03" w:rsidR="003272DC" w:rsidRDefault="003272DC">
      <w:pPr>
        <w:rPr>
          <w:b/>
          <w:bCs/>
        </w:rPr>
      </w:pPr>
      <w:r>
        <w:t>The following text is about the discussions on the incoming LS [1] at RAN2#115-e meeting.</w:t>
      </w:r>
    </w:p>
    <w:p w14:paraId="1D2D62ED" w14:textId="77777777" w:rsidR="003272DC" w:rsidRDefault="003272DC" w:rsidP="003272DC">
      <w:pPr>
        <w:pStyle w:val="2"/>
      </w:pPr>
      <w:r>
        <w:t>3.3</w:t>
      </w:r>
      <w:r>
        <w:tab/>
        <w:t>RAN3 LS related (</w:t>
      </w:r>
      <w:bookmarkStart w:id="3" w:name="OLE_LINK8"/>
      <w:r>
        <w:t>R3-212824</w:t>
      </w:r>
      <w:bookmarkEnd w:id="3"/>
      <w:r>
        <w:t>)</w:t>
      </w:r>
    </w:p>
    <w:p w14:paraId="7138CDD3" w14:textId="77777777" w:rsidR="003272DC" w:rsidRDefault="003272DC" w:rsidP="003272DC">
      <w:pPr>
        <w:rPr>
          <w:lang w:eastAsia="ja-JP"/>
        </w:rPr>
      </w:pPr>
      <w:r>
        <w:rPr>
          <w:lang w:eastAsia="ja-JP"/>
        </w:rPr>
        <w:t>RAN3 has sent an LS to RAN2 with some questions.</w:t>
      </w:r>
    </w:p>
    <w:p w14:paraId="2B3D0C8B" w14:textId="77777777" w:rsidR="003272DC" w:rsidRDefault="003272DC" w:rsidP="003272DC">
      <w:pPr>
        <w:rPr>
          <w:lang w:eastAsia="ja-JP"/>
        </w:rPr>
      </w:pPr>
      <w:r>
        <w:rPr>
          <w:noProof/>
          <w:lang w:val="en-US"/>
        </w:rPr>
        <w:lastRenderedPageBreak/>
        <mc:AlternateContent>
          <mc:Choice Requires="wps">
            <w:drawing>
              <wp:anchor distT="0" distB="0" distL="114300" distR="114300" simplePos="0" relativeHeight="251659264" behindDoc="0" locked="0" layoutInCell="1" allowOverlap="1" wp14:anchorId="477C6CD7" wp14:editId="0B68548B">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F257477" w14:textId="77777777" w:rsidR="003272DC" w:rsidRDefault="003272DC" w:rsidP="003272DC">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7AF1C62E" w14:textId="77777777" w:rsidR="003272DC" w:rsidRDefault="003272DC" w:rsidP="003272DC">
                            <w:pPr>
                              <w:widowControl w:val="0"/>
                              <w:numPr>
                                <w:ilvl w:val="0"/>
                                <w:numId w:val="9"/>
                              </w:numPr>
                              <w:autoSpaceDE/>
                              <w:autoSpaceDN/>
                              <w:spacing w:after="180" w:line="240" w:lineRule="auto"/>
                              <w:rPr>
                                <w:iCs/>
                                <w:highlight w:val="yellow"/>
                              </w:rPr>
                            </w:pPr>
                            <w:r>
                              <w:rPr>
                                <w:highlight w:val="yellow"/>
                              </w:rPr>
                              <w:t>Area Scope of Neighbour Cells for logged MDT</w:t>
                            </w:r>
                          </w:p>
                          <w:p w14:paraId="284CC175" w14:textId="77777777" w:rsidR="003272DC" w:rsidRDefault="003272DC" w:rsidP="003272DC">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23A66AF7" w14:textId="77777777" w:rsidR="003272DC" w:rsidRDefault="003272DC" w:rsidP="003272DC">
                            <w:r>
                              <w:rPr>
                                <w:highlight w:val="green"/>
                              </w:rPr>
                              <w:t>RAN3 would like RAN2 to check whether this is an erroneous implementation in TS 38.331.</w:t>
                            </w:r>
                          </w:p>
                          <w:p w14:paraId="426247D1" w14:textId="77777777" w:rsidR="003272DC" w:rsidRDefault="003272DC" w:rsidP="003272DC">
                            <w:pPr>
                              <w:widowControl w:val="0"/>
                              <w:numPr>
                                <w:ilvl w:val="0"/>
                                <w:numId w:val="9"/>
                              </w:numPr>
                              <w:autoSpaceDE/>
                              <w:autoSpaceDN/>
                              <w:spacing w:after="180" w:line="240" w:lineRule="auto"/>
                              <w:rPr>
                                <w:highlight w:val="yellow"/>
                              </w:rPr>
                            </w:pPr>
                            <w:r>
                              <w:rPr>
                                <w:highlight w:val="yellow"/>
                              </w:rPr>
                              <w:t>Frequency band info</w:t>
                            </w:r>
                          </w:p>
                          <w:p w14:paraId="4F69FEB5" w14:textId="77777777" w:rsidR="003272DC" w:rsidRDefault="003272DC" w:rsidP="003272DC">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14:paraId="305D412B" w14:textId="77777777" w:rsidR="003272DC" w:rsidRDefault="003272DC" w:rsidP="003272DC">
                            <w:r>
                              <w:rPr>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477C6CD7"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1F257477" w14:textId="77777777" w:rsidR="003272DC" w:rsidRDefault="003272DC" w:rsidP="003272DC">
                      <w:r>
                        <w:rPr>
                          <w:iCs/>
                        </w:rPr>
                        <w:t xml:space="preserve">RAN3 discussed the configuration of </w:t>
                      </w:r>
                      <w:r>
                        <w:t xml:space="preserve">Area Scope of Neighbour Cells for logged MDT </w:t>
                      </w:r>
                      <w:r>
                        <w:rPr>
                          <w:rFonts w:hint="eastAsia"/>
                          <w:iCs/>
                        </w:rPr>
                        <w:t xml:space="preserve">and </w:t>
                      </w:r>
                      <w:r>
                        <w:rPr>
                          <w:iCs/>
                        </w:rPr>
                        <w:t xml:space="preserve">the </w:t>
                      </w:r>
                      <w:r>
                        <w:t>NR Frequency Band in the Area Scope of Neighbour Cells. RAN3 would like to check if there is alignment between TS 38.413 and TS 38.331.</w:t>
                      </w:r>
                    </w:p>
                    <w:p w14:paraId="7AF1C62E" w14:textId="77777777" w:rsidR="003272DC" w:rsidRDefault="003272DC" w:rsidP="003272DC">
                      <w:pPr>
                        <w:widowControl w:val="0"/>
                        <w:numPr>
                          <w:ilvl w:val="0"/>
                          <w:numId w:val="9"/>
                        </w:numPr>
                        <w:autoSpaceDE/>
                        <w:autoSpaceDN/>
                        <w:spacing w:after="180" w:line="240" w:lineRule="auto"/>
                        <w:rPr>
                          <w:iCs/>
                          <w:highlight w:val="yellow"/>
                        </w:rPr>
                      </w:pPr>
                      <w:r>
                        <w:rPr>
                          <w:highlight w:val="yellow"/>
                        </w:rPr>
                        <w:t>Area Scope of Neighbour Cells for logged MDT</w:t>
                      </w:r>
                    </w:p>
                    <w:p w14:paraId="284CC175" w14:textId="77777777" w:rsidR="003272DC" w:rsidRDefault="003272DC" w:rsidP="003272DC">
                      <w: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Pr>
                          <w:rFonts w:ascii="Courier New" w:hAnsi="Courier New"/>
                          <w:sz w:val="16"/>
                          <w:lang w:eastAsia="en-GB"/>
                        </w:rPr>
                        <w:t xml:space="preserve">areaConfiguration-r16 </w:t>
                      </w:r>
                      <w:r>
                        <w:t xml:space="preserve">is optional, and the </w:t>
                      </w:r>
                      <w:r>
                        <w:rPr>
                          <w:rFonts w:ascii="Courier New" w:hAnsi="Courier New"/>
                          <w:sz w:val="16"/>
                          <w:lang w:eastAsia="en-GB"/>
                        </w:rPr>
                        <w:t xml:space="preserve">interFreqTargetList-r16 </w:t>
                      </w:r>
                      <w:r>
                        <w:t>is encoded inside the</w:t>
                      </w:r>
                      <w:r>
                        <w:rPr>
                          <w:rFonts w:ascii="Courier New" w:hAnsi="Courier New"/>
                          <w:sz w:val="16"/>
                          <w:lang w:eastAsia="en-GB"/>
                        </w:rPr>
                        <w:t xml:space="preserve"> areaConfiguration-r16.</w:t>
                      </w:r>
                      <w:r>
                        <w:t xml:space="preserve">If the Area Scope of MDT is configured as PLMN wide, the IE </w:t>
                      </w:r>
                      <w:r>
                        <w:rPr>
                          <w:rFonts w:ascii="Courier New" w:hAnsi="Courier New"/>
                          <w:sz w:val="16"/>
                          <w:lang w:eastAsia="en-GB"/>
                        </w:rPr>
                        <w:t xml:space="preserve">AreaConfiguration-r16 </w:t>
                      </w:r>
                      <w:r>
                        <w:t xml:space="preserve">would not be configured to the UE which leads to the fact that the </w:t>
                      </w:r>
                      <w:r>
                        <w:rPr>
                          <w:rFonts w:ascii="Courier New" w:hAnsi="Courier New"/>
                          <w:sz w:val="16"/>
                          <w:lang w:eastAsia="en-GB"/>
                        </w:rPr>
                        <w:t xml:space="preserve">interFreqTargetList-r16 </w:t>
                      </w:r>
                      <w:r>
                        <w:t>cannot be configured in this case.</w:t>
                      </w:r>
                    </w:p>
                    <w:p w14:paraId="23A66AF7" w14:textId="77777777" w:rsidR="003272DC" w:rsidRDefault="003272DC" w:rsidP="003272DC">
                      <w:r>
                        <w:rPr>
                          <w:highlight w:val="green"/>
                        </w:rPr>
                        <w:t>RAN3 would like RAN2 to check whether this is an erroneous implementation in TS 38.331.</w:t>
                      </w:r>
                    </w:p>
                    <w:p w14:paraId="426247D1" w14:textId="77777777" w:rsidR="003272DC" w:rsidRDefault="003272DC" w:rsidP="003272DC">
                      <w:pPr>
                        <w:widowControl w:val="0"/>
                        <w:numPr>
                          <w:ilvl w:val="0"/>
                          <w:numId w:val="9"/>
                        </w:numPr>
                        <w:autoSpaceDE/>
                        <w:autoSpaceDN/>
                        <w:spacing w:after="180" w:line="240" w:lineRule="auto"/>
                        <w:rPr>
                          <w:highlight w:val="yellow"/>
                        </w:rPr>
                      </w:pPr>
                      <w:r>
                        <w:rPr>
                          <w:highlight w:val="yellow"/>
                        </w:rPr>
                        <w:t>Frequency band info</w:t>
                      </w:r>
                    </w:p>
                    <w:p w14:paraId="4F69FEB5" w14:textId="77777777" w:rsidR="003272DC" w:rsidRDefault="003272DC" w:rsidP="003272DC">
                      <w:r>
                        <w:rPr>
                          <w:rFonts w:hint="eastAsia"/>
                        </w:rPr>
                        <w:t>I</w:t>
                      </w:r>
                      <w:r>
                        <w:t>n TS 38.413, the NR Frequency Info in Area Scope of Neighbour Cells supports NR Frequency Band List configuration. While in TS 38.331, there isn’t any NR Frequency Band configuration in the InterFreqTargetInfo configured to the UE.</w:t>
                      </w:r>
                    </w:p>
                    <w:p w14:paraId="305D412B" w14:textId="77777777" w:rsidR="003272DC" w:rsidRDefault="003272DC" w:rsidP="003272DC">
                      <w:r>
                        <w:rPr>
                          <w:highlight w:val="green"/>
                        </w:rPr>
                        <w:t>RAN3 would like RAN2 to feedback whether NR Frequency Band needs to be supported for the Area Scope of Neighbour Cells.</w:t>
                      </w:r>
                    </w:p>
                  </w:txbxContent>
                </v:textbox>
                <w10:wrap type="square"/>
              </v:shape>
            </w:pict>
          </mc:Fallback>
        </mc:AlternateContent>
      </w:r>
      <w:r>
        <w:rPr>
          <w:lang w:eastAsia="ja-JP"/>
        </w:rPr>
        <w:t xml:space="preserve"> </w:t>
      </w:r>
    </w:p>
    <w:p w14:paraId="6016F1C2" w14:textId="77777777" w:rsidR="003272DC" w:rsidRDefault="003272DC" w:rsidP="003272DC">
      <w:pPr>
        <w:rPr>
          <w:lang w:eastAsia="ja-JP"/>
        </w:rPr>
      </w:pPr>
      <w:r>
        <w:rPr>
          <w:lang w:eastAsia="ja-JP"/>
        </w:rPr>
        <w:t xml:space="preserve">In the contribution </w:t>
      </w:r>
      <w:r>
        <w:rPr>
          <w:lang w:eastAsia="ja-JP"/>
        </w:rPr>
        <w:fldChar w:fldCharType="begin"/>
      </w:r>
      <w:r>
        <w:rPr>
          <w:lang w:eastAsia="ja-JP"/>
        </w:rPr>
        <w:instrText xml:space="preserve"> REF _Ref80188328 \r \h </w:instrText>
      </w:r>
      <w:r>
        <w:rPr>
          <w:lang w:eastAsia="ja-JP"/>
        </w:rPr>
      </w:r>
      <w:r>
        <w:rPr>
          <w:lang w:eastAsia="ja-JP"/>
        </w:rPr>
        <w:fldChar w:fldCharType="separate"/>
      </w:r>
      <w:r>
        <w:rPr>
          <w:lang w:eastAsia="ja-JP"/>
        </w:rPr>
        <w:t>[12]</w:t>
      </w:r>
      <w:r>
        <w:rPr>
          <w:lang w:eastAsia="ja-JP"/>
        </w:rPr>
        <w:fldChar w:fldCharType="end"/>
      </w:r>
      <w:r>
        <w:rPr>
          <w:lang w:eastAsia="ja-JP"/>
        </w:rPr>
        <w:t xml:space="preserve">, Huawei has provided the following related proposals. </w:t>
      </w:r>
    </w:p>
    <w:p w14:paraId="6B458155" w14:textId="77777777" w:rsidR="003272DC" w:rsidRDefault="003272DC" w:rsidP="003272DC">
      <w:pPr>
        <w:rPr>
          <w:b/>
        </w:rPr>
      </w:pPr>
      <w:r>
        <w:rPr>
          <w:rFonts w:hint="eastAsia"/>
          <w:b/>
        </w:rPr>
        <w:t>P</w:t>
      </w:r>
      <w:r>
        <w:rPr>
          <w:b/>
        </w:rPr>
        <w:t>roposal 1: It is proposed RAN2 to discuss whether the area scope of neighbour cells is dependent on the area scope of serving cells or not:</w:t>
      </w:r>
    </w:p>
    <w:p w14:paraId="647F7C42" w14:textId="77777777" w:rsidR="003272DC" w:rsidRDefault="003272DC" w:rsidP="003272DC">
      <w:pPr>
        <w:widowControl w:val="0"/>
        <w:numPr>
          <w:ilvl w:val="0"/>
          <w:numId w:val="10"/>
        </w:numPr>
        <w:autoSpaceDE/>
        <w:autoSpaceDN/>
        <w:spacing w:after="0" w:line="240" w:lineRule="auto"/>
        <w:rPr>
          <w:b/>
        </w:rPr>
      </w:pPr>
      <w:r>
        <w:rPr>
          <w:b/>
        </w:rPr>
        <w:t>If there is a dependency, from Rel-17, one option (for RAN3) is to add a clarificaiton to TS 38.413 that “Area Scope of Neighbour Cells” should be simultaneously configued with “the Area Scope of MDT is configured as PLMN wide”</w:t>
      </w:r>
    </w:p>
    <w:p w14:paraId="09CEDCDA" w14:textId="77777777" w:rsidR="003272DC" w:rsidRDefault="003272DC" w:rsidP="003272DC">
      <w:pPr>
        <w:widowControl w:val="0"/>
        <w:numPr>
          <w:ilvl w:val="0"/>
          <w:numId w:val="10"/>
        </w:numPr>
        <w:autoSpaceDE/>
        <w:autoSpaceDN/>
        <w:spacing w:after="0" w:line="240" w:lineRule="auto"/>
        <w:rPr>
          <w:b/>
        </w:rPr>
      </w:pPr>
      <w:r>
        <w:rPr>
          <w:b/>
        </w:rPr>
        <w:t>If there is no dependency, from Rel-17, one option (for RAN2) is to introduce AreaConfiguration-r17 including areaConfig-r16 and interFreqTargetList-r16 inside, and both fields are optional</w:t>
      </w:r>
    </w:p>
    <w:p w14:paraId="5FFB47BF" w14:textId="77777777" w:rsidR="003272DC" w:rsidRDefault="003272DC" w:rsidP="003272DC">
      <w:pPr>
        <w:widowControl w:val="0"/>
        <w:numPr>
          <w:ilvl w:val="0"/>
          <w:numId w:val="10"/>
        </w:numPr>
        <w:autoSpaceDE/>
        <w:autoSpaceDN/>
        <w:spacing w:after="0" w:line="240" w:lineRule="auto"/>
        <w:rPr>
          <w:b/>
        </w:rPr>
      </w:pPr>
      <w:r>
        <w:rPr>
          <w:b/>
        </w:rPr>
        <w:t>Rel-16 specifications are unchanged (leave it to network implementation)</w:t>
      </w:r>
    </w:p>
    <w:p w14:paraId="45FC5F33" w14:textId="77777777" w:rsidR="003272DC" w:rsidRDefault="003272DC" w:rsidP="003272DC">
      <w:pPr>
        <w:rPr>
          <w:lang w:eastAsia="ja-JP"/>
        </w:rPr>
      </w:pPr>
    </w:p>
    <w:p w14:paraId="7DDD082E" w14:textId="77777777" w:rsidR="003272DC" w:rsidRDefault="003272DC" w:rsidP="003272DC">
      <w:r>
        <w:rPr>
          <w:rFonts w:hint="eastAsia"/>
          <w:b/>
        </w:rPr>
        <w:t>P</w:t>
      </w:r>
      <w:r>
        <w:rPr>
          <w:b/>
        </w:rPr>
        <w:t>roposal 2: It is proposed to reply to RAN3 that NR Frequency Band is not supported for the Area Scope of Neighbour Cells.</w:t>
      </w:r>
    </w:p>
    <w:p w14:paraId="238FD90E" w14:textId="77777777" w:rsidR="003272DC" w:rsidRDefault="003272DC" w:rsidP="003272DC">
      <w:pPr>
        <w:rPr>
          <w:lang w:eastAsia="ja-JP"/>
        </w:rPr>
      </w:pPr>
    </w:p>
    <w:p w14:paraId="6086A9CD" w14:textId="77777777" w:rsidR="003272DC" w:rsidRDefault="003272DC" w:rsidP="003272DC">
      <w:pPr>
        <w:rPr>
          <w:lang w:eastAsia="ja-JP"/>
        </w:rPr>
      </w:pPr>
      <w:r>
        <w:rPr>
          <w:lang w:eastAsia="ja-JP"/>
        </w:rPr>
        <w:t xml:space="preserve">Based on the above, the following question is used to collect companies’ views regarding the question of </w:t>
      </w:r>
      <w:r>
        <w:rPr>
          <w:rFonts w:ascii="Courier New" w:hAnsi="Courier New"/>
          <w:sz w:val="16"/>
          <w:lang w:eastAsia="en-GB"/>
        </w:rPr>
        <w:t>interFreqTargetList</w:t>
      </w:r>
      <w:r>
        <w:rPr>
          <w:lang w:eastAsia="ja-JP"/>
        </w:rPr>
        <w:t xml:space="preserve"> within </w:t>
      </w:r>
      <w:r>
        <w:rPr>
          <w:rFonts w:ascii="Courier New" w:hAnsi="Courier New"/>
          <w:sz w:val="16"/>
          <w:lang w:eastAsia="en-GB"/>
        </w:rPr>
        <w:t>AreaConfiguration</w:t>
      </w:r>
      <w:r>
        <w:rPr>
          <w:lang w:eastAsia="ja-JP"/>
        </w:rPr>
        <w:t>:</w:t>
      </w:r>
    </w:p>
    <w:p w14:paraId="292D14C3" w14:textId="77777777" w:rsidR="003272DC" w:rsidRDefault="003272DC" w:rsidP="003272DC">
      <w:pPr>
        <w:rPr>
          <w:b/>
          <w:bCs/>
          <w:color w:val="FF0000"/>
          <w:lang w:eastAsia="ja-JP"/>
        </w:rPr>
      </w:pPr>
      <w:r>
        <w:rPr>
          <w:b/>
          <w:bCs/>
          <w:color w:val="FF0000"/>
          <w:lang w:eastAsia="ja-JP"/>
        </w:rPr>
        <w:t xml:space="preserve">Question-9: Which of the following option(s) are preferred regarding the RAN3’s question on the presence of </w:t>
      </w:r>
      <w:bookmarkStart w:id="4" w:name="_Hlk80187322"/>
      <w:r>
        <w:rPr>
          <w:b/>
          <w:bCs/>
          <w:i/>
          <w:iCs/>
          <w:color w:val="FF0000"/>
          <w:lang w:eastAsia="ja-JP"/>
        </w:rPr>
        <w:t>interFreqTargetList</w:t>
      </w:r>
      <w:r>
        <w:rPr>
          <w:b/>
          <w:bCs/>
          <w:color w:val="FF0000"/>
          <w:lang w:eastAsia="ja-JP"/>
        </w:rPr>
        <w:t xml:space="preserve"> </w:t>
      </w:r>
      <w:bookmarkEnd w:id="4"/>
      <w:r>
        <w:rPr>
          <w:b/>
          <w:bCs/>
          <w:color w:val="FF0000"/>
          <w:lang w:eastAsia="ja-JP"/>
        </w:rPr>
        <w:t xml:space="preserve">within </w:t>
      </w:r>
      <w:r>
        <w:rPr>
          <w:b/>
          <w:bCs/>
          <w:i/>
          <w:iCs/>
          <w:color w:val="FF0000"/>
          <w:lang w:eastAsia="ja-JP"/>
        </w:rPr>
        <w:t>AreaConfiguration</w:t>
      </w:r>
      <w:r>
        <w:rPr>
          <w:b/>
          <w:bCs/>
          <w:color w:val="FF0000"/>
          <w:lang w:eastAsia="ja-JP"/>
        </w:rPr>
        <w:t>?</w:t>
      </w:r>
    </w:p>
    <w:p w14:paraId="418236E9" w14:textId="77777777" w:rsidR="003272DC" w:rsidRDefault="003272DC" w:rsidP="003272DC">
      <w:pPr>
        <w:pStyle w:val="af9"/>
        <w:numPr>
          <w:ilvl w:val="0"/>
          <w:numId w:val="11"/>
        </w:numPr>
        <w:rPr>
          <w:b/>
          <w:bCs/>
          <w:color w:val="FF0000"/>
          <w:lang w:val="en-US" w:eastAsia="ja-JP"/>
        </w:rPr>
      </w:pPr>
      <w:r>
        <w:rPr>
          <w:b/>
          <w:bCs/>
          <w:color w:val="FF0000"/>
          <w:lang w:val="en-US" w:eastAsia="ja-JP"/>
        </w:rPr>
        <w:t>Add a clarificaiton to TS 38.413 that “Area Scope of Neighbour Cells” should be simultaneously configued with “the Area Scope of MDT is configured as PLMN wide” i.e., no change to RAN2 specification.</w:t>
      </w:r>
    </w:p>
    <w:p w14:paraId="3B8159B8" w14:textId="77777777" w:rsidR="003272DC" w:rsidRDefault="003272DC" w:rsidP="003272DC">
      <w:pPr>
        <w:pStyle w:val="af9"/>
        <w:numPr>
          <w:ilvl w:val="0"/>
          <w:numId w:val="11"/>
        </w:numPr>
        <w:rPr>
          <w:b/>
          <w:bCs/>
          <w:color w:val="FF0000"/>
          <w:lang w:val="en-US" w:eastAsia="ja-JP"/>
        </w:rPr>
      </w:pPr>
      <w:r>
        <w:rPr>
          <w:b/>
          <w:bCs/>
          <w:color w:val="FF0000"/>
          <w:lang w:val="en-US" w:eastAsia="ja-JP"/>
        </w:rPr>
        <w:t>Introduce AreaConfiguration-r17 including areaConfig-r16 and interFreqTargetList-r16 inside, and both fields are optional.</w:t>
      </w:r>
    </w:p>
    <w:p w14:paraId="6C5BAFD9" w14:textId="77777777" w:rsidR="003272DC" w:rsidRDefault="003272DC" w:rsidP="003272DC">
      <w:pPr>
        <w:pStyle w:val="af9"/>
        <w:numPr>
          <w:ilvl w:val="0"/>
          <w:numId w:val="11"/>
        </w:numPr>
        <w:rPr>
          <w:b/>
          <w:bCs/>
          <w:color w:val="FF0000"/>
          <w:lang w:val="en-US" w:eastAsia="ja-JP"/>
        </w:rPr>
      </w:pPr>
      <w:r>
        <w:rPr>
          <w:b/>
          <w:bCs/>
          <w:color w:val="FF0000"/>
          <w:lang w:val="en-US" w:eastAsia="ja-JP"/>
        </w:rPr>
        <w:t>Rel-16 specifications are unchanged</w:t>
      </w:r>
    </w:p>
    <w:tbl>
      <w:tblPr>
        <w:tblStyle w:val="af3"/>
        <w:tblW w:w="0" w:type="auto"/>
        <w:tblLook w:val="04A0" w:firstRow="1" w:lastRow="0" w:firstColumn="1" w:lastColumn="0" w:noHBand="0" w:noVBand="1"/>
      </w:tblPr>
      <w:tblGrid>
        <w:gridCol w:w="1342"/>
        <w:gridCol w:w="2055"/>
        <w:gridCol w:w="6096"/>
      </w:tblGrid>
      <w:tr w:rsidR="003272DC" w14:paraId="556A9448" w14:textId="77777777" w:rsidTr="003176FF">
        <w:tc>
          <w:tcPr>
            <w:tcW w:w="1342" w:type="dxa"/>
          </w:tcPr>
          <w:p w14:paraId="14760707" w14:textId="77777777" w:rsidR="003272DC" w:rsidRDefault="003272DC" w:rsidP="003176FF">
            <w:pPr>
              <w:rPr>
                <w:b/>
                <w:bCs/>
                <w:lang w:eastAsia="ja-JP"/>
              </w:rPr>
            </w:pPr>
            <w:r>
              <w:rPr>
                <w:b/>
                <w:bCs/>
                <w:lang w:eastAsia="ja-JP"/>
              </w:rPr>
              <w:lastRenderedPageBreak/>
              <w:t>Company name</w:t>
            </w:r>
          </w:p>
        </w:tc>
        <w:tc>
          <w:tcPr>
            <w:tcW w:w="2055" w:type="dxa"/>
          </w:tcPr>
          <w:p w14:paraId="0EF8604D" w14:textId="77777777" w:rsidR="003272DC" w:rsidRDefault="003272DC" w:rsidP="003176FF">
            <w:pPr>
              <w:rPr>
                <w:b/>
                <w:bCs/>
                <w:lang w:eastAsia="ja-JP"/>
              </w:rPr>
            </w:pPr>
            <w:r>
              <w:rPr>
                <w:b/>
                <w:bCs/>
                <w:lang w:eastAsia="ja-JP"/>
              </w:rPr>
              <w:t>Agreeable option(s)?</w:t>
            </w:r>
          </w:p>
          <w:p w14:paraId="69932BC2" w14:textId="77777777" w:rsidR="003272DC" w:rsidRDefault="003272DC" w:rsidP="003176FF">
            <w:pPr>
              <w:rPr>
                <w:b/>
                <w:bCs/>
                <w:lang w:eastAsia="ja-JP"/>
              </w:rPr>
            </w:pPr>
            <w:r>
              <w:rPr>
                <w:b/>
                <w:bCs/>
                <w:lang w:eastAsia="ja-JP"/>
              </w:rPr>
              <w:t>1, 2, 3, All</w:t>
            </w:r>
          </w:p>
        </w:tc>
        <w:tc>
          <w:tcPr>
            <w:tcW w:w="6096" w:type="dxa"/>
          </w:tcPr>
          <w:p w14:paraId="4E029DBF" w14:textId="77777777" w:rsidR="003272DC" w:rsidRDefault="003272DC" w:rsidP="003176FF">
            <w:pPr>
              <w:rPr>
                <w:b/>
                <w:bCs/>
                <w:lang w:eastAsia="ja-JP"/>
              </w:rPr>
            </w:pPr>
            <w:r>
              <w:rPr>
                <w:b/>
                <w:bCs/>
                <w:lang w:eastAsia="ja-JP"/>
              </w:rPr>
              <w:t xml:space="preserve">Comments </w:t>
            </w:r>
          </w:p>
        </w:tc>
      </w:tr>
      <w:tr w:rsidR="003272DC" w14:paraId="6AD6ECEE" w14:textId="77777777" w:rsidTr="003176FF">
        <w:tc>
          <w:tcPr>
            <w:tcW w:w="1342" w:type="dxa"/>
          </w:tcPr>
          <w:p w14:paraId="74C77D92" w14:textId="77777777" w:rsidR="003272DC" w:rsidRDefault="003272DC" w:rsidP="003176FF">
            <w:pPr>
              <w:rPr>
                <w:lang w:eastAsia="ja-JP"/>
              </w:rPr>
            </w:pPr>
            <w:r>
              <w:rPr>
                <w:lang w:eastAsia="ja-JP"/>
              </w:rPr>
              <w:t>Qualcomm</w:t>
            </w:r>
          </w:p>
        </w:tc>
        <w:tc>
          <w:tcPr>
            <w:tcW w:w="2055" w:type="dxa"/>
          </w:tcPr>
          <w:p w14:paraId="24294E11" w14:textId="77777777" w:rsidR="003272DC" w:rsidRDefault="003272DC" w:rsidP="003176FF">
            <w:pPr>
              <w:rPr>
                <w:lang w:eastAsia="ja-JP"/>
              </w:rPr>
            </w:pPr>
            <w:r>
              <w:rPr>
                <w:lang w:eastAsia="ja-JP"/>
              </w:rPr>
              <w:t>For rel-16, we should adopt option 3 and RAN3 can add clarification as in option 1.</w:t>
            </w:r>
          </w:p>
          <w:p w14:paraId="5FA497BF" w14:textId="77777777" w:rsidR="003272DC" w:rsidRDefault="003272DC" w:rsidP="003176FF">
            <w:pPr>
              <w:rPr>
                <w:lang w:eastAsia="ja-JP"/>
              </w:rPr>
            </w:pPr>
            <w:r>
              <w:rPr>
                <w:lang w:eastAsia="ja-JP"/>
              </w:rPr>
              <w:t>We can consider option-2 in rel-17.</w:t>
            </w:r>
          </w:p>
        </w:tc>
        <w:tc>
          <w:tcPr>
            <w:tcW w:w="6096" w:type="dxa"/>
          </w:tcPr>
          <w:p w14:paraId="485E75B8" w14:textId="77777777" w:rsidR="003272DC" w:rsidRDefault="003272DC" w:rsidP="003176FF">
            <w:pPr>
              <w:rPr>
                <w:lang w:eastAsia="ja-JP"/>
              </w:rPr>
            </w:pPr>
          </w:p>
        </w:tc>
      </w:tr>
      <w:tr w:rsidR="003272DC" w14:paraId="068559E2" w14:textId="77777777" w:rsidTr="003176FF">
        <w:tc>
          <w:tcPr>
            <w:tcW w:w="1342" w:type="dxa"/>
          </w:tcPr>
          <w:p w14:paraId="524C658A" w14:textId="77777777" w:rsidR="003272DC" w:rsidRDefault="003272DC" w:rsidP="003176FF">
            <w:pPr>
              <w:rPr>
                <w:rFonts w:eastAsiaTheme="minorEastAsia"/>
              </w:rPr>
            </w:pPr>
            <w:r>
              <w:rPr>
                <w:rFonts w:eastAsiaTheme="minorEastAsia" w:hint="eastAsia"/>
              </w:rPr>
              <w:t>v</w:t>
            </w:r>
            <w:r>
              <w:rPr>
                <w:rFonts w:eastAsiaTheme="minorEastAsia"/>
              </w:rPr>
              <w:t>ivo</w:t>
            </w:r>
          </w:p>
        </w:tc>
        <w:tc>
          <w:tcPr>
            <w:tcW w:w="2055" w:type="dxa"/>
          </w:tcPr>
          <w:p w14:paraId="57E03B5E" w14:textId="77777777" w:rsidR="003272DC" w:rsidRDefault="003272DC" w:rsidP="003176FF">
            <w:pPr>
              <w:rPr>
                <w:rFonts w:eastAsiaTheme="minorEastAsia"/>
              </w:rPr>
            </w:pPr>
            <w:r>
              <w:rPr>
                <w:rFonts w:eastAsiaTheme="minorEastAsia" w:hint="eastAsia"/>
              </w:rPr>
              <w:t>2</w:t>
            </w:r>
            <w:r>
              <w:rPr>
                <w:rFonts w:eastAsiaTheme="minorEastAsia"/>
              </w:rPr>
              <w:t>)</w:t>
            </w:r>
          </w:p>
        </w:tc>
        <w:tc>
          <w:tcPr>
            <w:tcW w:w="6096" w:type="dxa"/>
          </w:tcPr>
          <w:p w14:paraId="505275FD" w14:textId="77777777" w:rsidR="003272DC" w:rsidRDefault="003272DC" w:rsidP="003176FF">
            <w:pPr>
              <w:rPr>
                <w:rFonts w:eastAsiaTheme="minorEastAsia"/>
              </w:rPr>
            </w:pPr>
            <w:r>
              <w:rPr>
                <w:rFonts w:eastAsiaTheme="minorEastAsia" w:hint="eastAsia"/>
              </w:rPr>
              <w:t>T</w:t>
            </w:r>
            <w:r>
              <w:rPr>
                <w:rFonts w:eastAsiaTheme="minorEastAsia"/>
              </w:rPr>
              <w:t>his issue can be fixed in Rel-17.</w:t>
            </w:r>
          </w:p>
        </w:tc>
      </w:tr>
      <w:tr w:rsidR="003272DC" w14:paraId="56F7ED81" w14:textId="77777777" w:rsidTr="003176FF">
        <w:tc>
          <w:tcPr>
            <w:tcW w:w="1342" w:type="dxa"/>
          </w:tcPr>
          <w:p w14:paraId="44D5E6F4" w14:textId="77777777" w:rsidR="003272DC" w:rsidRDefault="003272DC" w:rsidP="003176FF">
            <w:pPr>
              <w:rPr>
                <w:lang w:eastAsia="ja-JP"/>
              </w:rPr>
            </w:pPr>
            <w:r>
              <w:rPr>
                <w:lang w:eastAsia="ja-JP"/>
              </w:rPr>
              <w:t>Ericsson</w:t>
            </w:r>
          </w:p>
        </w:tc>
        <w:tc>
          <w:tcPr>
            <w:tcW w:w="2055" w:type="dxa"/>
          </w:tcPr>
          <w:p w14:paraId="5D09ECCA" w14:textId="77777777" w:rsidR="003272DC" w:rsidRDefault="003272DC" w:rsidP="003176FF">
            <w:pPr>
              <w:rPr>
                <w:lang w:eastAsia="ja-JP"/>
              </w:rPr>
            </w:pPr>
            <w:r>
              <w:rPr>
                <w:lang w:eastAsia="ja-JP"/>
              </w:rPr>
              <w:t>2 and 3</w:t>
            </w:r>
          </w:p>
        </w:tc>
        <w:tc>
          <w:tcPr>
            <w:tcW w:w="6096" w:type="dxa"/>
          </w:tcPr>
          <w:p w14:paraId="60CDEC87" w14:textId="77777777" w:rsidR="003272DC" w:rsidRDefault="003272DC" w:rsidP="003176FF">
            <w:pPr>
              <w:rPr>
                <w:lang w:eastAsia="ja-JP"/>
              </w:rPr>
            </w:pPr>
          </w:p>
        </w:tc>
      </w:tr>
      <w:tr w:rsidR="003272DC" w14:paraId="76F2328C" w14:textId="77777777" w:rsidTr="003176FF">
        <w:tc>
          <w:tcPr>
            <w:tcW w:w="1342" w:type="dxa"/>
          </w:tcPr>
          <w:p w14:paraId="005F4E60" w14:textId="77777777" w:rsidR="003272DC" w:rsidRDefault="003272DC" w:rsidP="003176FF">
            <w:pPr>
              <w:rPr>
                <w:lang w:eastAsia="ja-JP"/>
              </w:rPr>
            </w:pPr>
            <w:r>
              <w:rPr>
                <w:lang w:eastAsia="ja-JP"/>
              </w:rPr>
              <w:t>Apple</w:t>
            </w:r>
          </w:p>
        </w:tc>
        <w:tc>
          <w:tcPr>
            <w:tcW w:w="2055" w:type="dxa"/>
          </w:tcPr>
          <w:p w14:paraId="634E6A8D" w14:textId="77777777" w:rsidR="003272DC" w:rsidRDefault="003272DC" w:rsidP="003176FF">
            <w:pPr>
              <w:rPr>
                <w:lang w:eastAsia="ja-JP"/>
              </w:rPr>
            </w:pPr>
            <w:r>
              <w:rPr>
                <w:lang w:eastAsia="ja-JP"/>
              </w:rPr>
              <w:t>3</w:t>
            </w:r>
          </w:p>
        </w:tc>
        <w:tc>
          <w:tcPr>
            <w:tcW w:w="6096" w:type="dxa"/>
          </w:tcPr>
          <w:p w14:paraId="525A8D79" w14:textId="77777777" w:rsidR="003272DC" w:rsidRDefault="003272DC" w:rsidP="003176FF">
            <w:pPr>
              <w:rPr>
                <w:lang w:eastAsia="ja-JP"/>
              </w:rPr>
            </w:pPr>
          </w:p>
        </w:tc>
      </w:tr>
      <w:tr w:rsidR="003272DC" w14:paraId="07F64054" w14:textId="77777777" w:rsidTr="003176FF">
        <w:tc>
          <w:tcPr>
            <w:tcW w:w="1342" w:type="dxa"/>
          </w:tcPr>
          <w:p w14:paraId="448A0BA9" w14:textId="77777777" w:rsidR="003272DC" w:rsidRDefault="003272DC" w:rsidP="003176FF">
            <w:r>
              <w:rPr>
                <w:rFonts w:hint="eastAsia"/>
              </w:rPr>
              <w:t>ZTE</w:t>
            </w:r>
          </w:p>
        </w:tc>
        <w:tc>
          <w:tcPr>
            <w:tcW w:w="2055" w:type="dxa"/>
          </w:tcPr>
          <w:p w14:paraId="7EEE3453" w14:textId="77777777" w:rsidR="003272DC" w:rsidRDefault="003272DC" w:rsidP="003176FF">
            <w:r>
              <w:rPr>
                <w:rFonts w:hint="eastAsia"/>
              </w:rPr>
              <w:t>(3)</w:t>
            </w:r>
          </w:p>
        </w:tc>
        <w:tc>
          <w:tcPr>
            <w:tcW w:w="6096" w:type="dxa"/>
          </w:tcPr>
          <w:p w14:paraId="135A3D81" w14:textId="77777777" w:rsidR="003272DC" w:rsidRDefault="003272DC" w:rsidP="003176FF">
            <w:pPr>
              <w:rPr>
                <w:lang w:eastAsia="ja-JP"/>
              </w:rPr>
            </w:pPr>
          </w:p>
        </w:tc>
      </w:tr>
      <w:tr w:rsidR="003272DC" w14:paraId="5A34D986" w14:textId="77777777" w:rsidTr="003176FF">
        <w:tc>
          <w:tcPr>
            <w:tcW w:w="1342" w:type="dxa"/>
          </w:tcPr>
          <w:p w14:paraId="0D0E8E6A" w14:textId="77777777" w:rsidR="003272DC" w:rsidRDefault="003272DC" w:rsidP="003176FF">
            <w:pPr>
              <w:rPr>
                <w:lang w:eastAsia="ja-JP"/>
              </w:rPr>
            </w:pPr>
            <w:r>
              <w:rPr>
                <w:rFonts w:eastAsiaTheme="minorEastAsia" w:hint="eastAsia"/>
              </w:rPr>
              <w:t>O</w:t>
            </w:r>
            <w:r>
              <w:rPr>
                <w:rFonts w:eastAsiaTheme="minorEastAsia"/>
              </w:rPr>
              <w:t>PPO</w:t>
            </w:r>
          </w:p>
        </w:tc>
        <w:tc>
          <w:tcPr>
            <w:tcW w:w="2055" w:type="dxa"/>
          </w:tcPr>
          <w:p w14:paraId="027A3F52" w14:textId="77777777" w:rsidR="003272DC" w:rsidRDefault="003272DC" w:rsidP="003176FF">
            <w:pPr>
              <w:rPr>
                <w:lang w:eastAsia="ja-JP"/>
              </w:rPr>
            </w:pPr>
            <w:r>
              <w:rPr>
                <w:rFonts w:eastAsiaTheme="minorEastAsia" w:hint="eastAsia"/>
              </w:rPr>
              <w:t>2</w:t>
            </w:r>
            <w:r>
              <w:rPr>
                <w:rFonts w:eastAsiaTheme="minorEastAsia" w:hint="eastAsia"/>
              </w:rPr>
              <w:t>）</w:t>
            </w:r>
          </w:p>
        </w:tc>
        <w:tc>
          <w:tcPr>
            <w:tcW w:w="6096" w:type="dxa"/>
          </w:tcPr>
          <w:p w14:paraId="26DBD2DB" w14:textId="77777777" w:rsidR="003272DC" w:rsidRDefault="003272DC" w:rsidP="003176FF">
            <w:pPr>
              <w:rPr>
                <w:lang w:eastAsia="ja-JP"/>
              </w:rPr>
            </w:pPr>
          </w:p>
        </w:tc>
      </w:tr>
      <w:tr w:rsidR="003272DC" w14:paraId="56D7E9F4" w14:textId="77777777" w:rsidTr="003176FF">
        <w:tc>
          <w:tcPr>
            <w:tcW w:w="1342" w:type="dxa"/>
          </w:tcPr>
          <w:p w14:paraId="3889E2D7" w14:textId="77777777" w:rsidR="003272DC" w:rsidRPr="00147C28" w:rsidRDefault="003272DC" w:rsidP="003176FF">
            <w:pPr>
              <w:rPr>
                <w:rFonts w:eastAsiaTheme="minorEastAsia"/>
              </w:rPr>
            </w:pPr>
            <w:r>
              <w:rPr>
                <w:rFonts w:eastAsiaTheme="minorEastAsia"/>
              </w:rPr>
              <w:t xml:space="preserve">Sharp </w:t>
            </w:r>
          </w:p>
        </w:tc>
        <w:tc>
          <w:tcPr>
            <w:tcW w:w="2055" w:type="dxa"/>
          </w:tcPr>
          <w:p w14:paraId="1CD020EF" w14:textId="77777777" w:rsidR="003272DC" w:rsidRPr="00147C28" w:rsidRDefault="003272DC" w:rsidP="003176FF">
            <w:pPr>
              <w:rPr>
                <w:rFonts w:eastAsiaTheme="minorEastAsia"/>
              </w:rPr>
            </w:pPr>
            <w:r>
              <w:rPr>
                <w:rFonts w:eastAsiaTheme="minorEastAsia" w:hint="eastAsia"/>
              </w:rPr>
              <w:t>3</w:t>
            </w:r>
          </w:p>
        </w:tc>
        <w:tc>
          <w:tcPr>
            <w:tcW w:w="6096" w:type="dxa"/>
          </w:tcPr>
          <w:p w14:paraId="778C2798" w14:textId="77777777" w:rsidR="003272DC" w:rsidRDefault="003272DC" w:rsidP="003176FF">
            <w:pPr>
              <w:rPr>
                <w:lang w:eastAsia="ja-JP"/>
              </w:rPr>
            </w:pPr>
          </w:p>
        </w:tc>
      </w:tr>
      <w:tr w:rsidR="003272DC" w14:paraId="22D4D94D" w14:textId="77777777" w:rsidTr="003176FF">
        <w:tc>
          <w:tcPr>
            <w:tcW w:w="1342" w:type="dxa"/>
          </w:tcPr>
          <w:p w14:paraId="343719AC" w14:textId="77777777" w:rsidR="003272DC" w:rsidRPr="00D103E7" w:rsidRDefault="003272DC" w:rsidP="003176FF">
            <w:pPr>
              <w:rPr>
                <w:rFonts w:eastAsiaTheme="minorEastAsia"/>
              </w:rPr>
            </w:pPr>
            <w:r>
              <w:rPr>
                <w:rFonts w:eastAsiaTheme="minorEastAsia" w:hint="eastAsia"/>
              </w:rPr>
              <w:t>H</w:t>
            </w:r>
            <w:r>
              <w:rPr>
                <w:rFonts w:eastAsiaTheme="minorEastAsia"/>
              </w:rPr>
              <w:t>uawei, HiSilicon</w:t>
            </w:r>
          </w:p>
        </w:tc>
        <w:tc>
          <w:tcPr>
            <w:tcW w:w="2055" w:type="dxa"/>
          </w:tcPr>
          <w:p w14:paraId="40E0A1C4" w14:textId="77777777" w:rsidR="003272DC" w:rsidRPr="00D103E7" w:rsidRDefault="003272DC" w:rsidP="003176FF">
            <w:pPr>
              <w:rPr>
                <w:rFonts w:eastAsiaTheme="minorEastAsia"/>
              </w:rPr>
            </w:pPr>
            <w:r>
              <w:rPr>
                <w:rFonts w:eastAsiaTheme="minorEastAsia"/>
              </w:rPr>
              <w:t>3</w:t>
            </w:r>
          </w:p>
        </w:tc>
        <w:tc>
          <w:tcPr>
            <w:tcW w:w="6096" w:type="dxa"/>
          </w:tcPr>
          <w:p w14:paraId="04AAC495" w14:textId="77777777" w:rsidR="003272DC" w:rsidRDefault="003272DC" w:rsidP="003176FF">
            <w:pPr>
              <w:rPr>
                <w:rFonts w:eastAsiaTheme="minorEastAsia"/>
              </w:rPr>
            </w:pPr>
            <w:r>
              <w:rPr>
                <w:rFonts w:eastAsiaTheme="minorEastAsia" w:hint="eastAsia"/>
              </w:rPr>
              <w:t>F</w:t>
            </w:r>
            <w:r>
              <w:rPr>
                <w:rFonts w:eastAsiaTheme="minorEastAsia"/>
              </w:rPr>
              <w:t>rom RAN2 point of view, we think Rel-16 specification can be unchanged. RAN3 may discuss it based on RAN2 agreement, e.g. 1) may be considered in RAN3.</w:t>
            </w:r>
          </w:p>
          <w:p w14:paraId="26443C95" w14:textId="77777777" w:rsidR="003272DC" w:rsidRPr="00D103E7" w:rsidRDefault="003272DC" w:rsidP="003176FF">
            <w:pPr>
              <w:rPr>
                <w:rFonts w:eastAsiaTheme="minorEastAsia"/>
              </w:rPr>
            </w:pPr>
            <w:r>
              <w:rPr>
                <w:rFonts w:eastAsiaTheme="minorEastAsia"/>
              </w:rPr>
              <w:t>We are open for solutions in Rel-17, e.g. 2).</w:t>
            </w:r>
          </w:p>
        </w:tc>
      </w:tr>
      <w:tr w:rsidR="003272DC" w14:paraId="71D85D48" w14:textId="77777777" w:rsidTr="003176FF">
        <w:tc>
          <w:tcPr>
            <w:tcW w:w="1342" w:type="dxa"/>
          </w:tcPr>
          <w:p w14:paraId="5AA12926" w14:textId="77777777" w:rsidR="003272DC" w:rsidRDefault="003272DC" w:rsidP="003176FF">
            <w:r>
              <w:rPr>
                <w:rFonts w:hint="eastAsia"/>
              </w:rPr>
              <w:t>CATT</w:t>
            </w:r>
          </w:p>
        </w:tc>
        <w:tc>
          <w:tcPr>
            <w:tcW w:w="2055" w:type="dxa"/>
          </w:tcPr>
          <w:p w14:paraId="73B49043" w14:textId="77777777" w:rsidR="003272DC" w:rsidRDefault="003272DC" w:rsidP="003176FF"/>
        </w:tc>
        <w:tc>
          <w:tcPr>
            <w:tcW w:w="6096" w:type="dxa"/>
          </w:tcPr>
          <w:p w14:paraId="710F4509" w14:textId="77777777" w:rsidR="003272DC" w:rsidRDefault="003272DC" w:rsidP="003176FF">
            <w:r>
              <w:rPr>
                <w:rFonts w:hint="eastAsia"/>
              </w:rPr>
              <w:t xml:space="preserve">Agree with </w:t>
            </w:r>
            <w:r>
              <w:rPr>
                <w:lang w:eastAsia="ja-JP"/>
              </w:rPr>
              <w:t>Qualcomm</w:t>
            </w:r>
            <w:r>
              <w:rPr>
                <w:rFonts w:hint="eastAsia"/>
              </w:rPr>
              <w:t>.</w:t>
            </w:r>
          </w:p>
        </w:tc>
      </w:tr>
      <w:tr w:rsidR="003272DC" w14:paraId="6B7893C8" w14:textId="77777777" w:rsidTr="003176FF">
        <w:tc>
          <w:tcPr>
            <w:tcW w:w="1342" w:type="dxa"/>
          </w:tcPr>
          <w:p w14:paraId="147F8C78" w14:textId="77777777" w:rsidR="003272DC" w:rsidRDefault="003272DC" w:rsidP="003176FF">
            <w:r>
              <w:rPr>
                <w:rFonts w:eastAsia="Malgun Gothic" w:hint="eastAsia"/>
              </w:rPr>
              <w:t>LGE</w:t>
            </w:r>
          </w:p>
        </w:tc>
        <w:tc>
          <w:tcPr>
            <w:tcW w:w="2055" w:type="dxa"/>
          </w:tcPr>
          <w:p w14:paraId="7C3C8E10" w14:textId="77777777" w:rsidR="003272DC" w:rsidRDefault="003272DC" w:rsidP="003176FF">
            <w:r>
              <w:rPr>
                <w:rFonts w:eastAsia="Malgun Gothic" w:hint="eastAsia"/>
              </w:rPr>
              <w:t>3</w:t>
            </w:r>
          </w:p>
        </w:tc>
        <w:tc>
          <w:tcPr>
            <w:tcW w:w="6096" w:type="dxa"/>
          </w:tcPr>
          <w:p w14:paraId="3A22FE0A" w14:textId="77777777" w:rsidR="003272DC" w:rsidRDefault="003272DC" w:rsidP="003176FF"/>
        </w:tc>
      </w:tr>
      <w:tr w:rsidR="003272DC" w14:paraId="3C21C5B4" w14:textId="77777777" w:rsidTr="003176FF">
        <w:tc>
          <w:tcPr>
            <w:tcW w:w="1342" w:type="dxa"/>
          </w:tcPr>
          <w:p w14:paraId="0BCA4ACF" w14:textId="77777777" w:rsidR="003272DC" w:rsidRDefault="003272DC" w:rsidP="003176FF">
            <w:pPr>
              <w:rPr>
                <w:rFonts w:eastAsia="Malgun Gothic"/>
              </w:rPr>
            </w:pPr>
            <w:r>
              <w:rPr>
                <w:rFonts w:eastAsia="Malgun Gothic"/>
              </w:rPr>
              <w:t xml:space="preserve">Nokia </w:t>
            </w:r>
          </w:p>
        </w:tc>
        <w:tc>
          <w:tcPr>
            <w:tcW w:w="2055" w:type="dxa"/>
          </w:tcPr>
          <w:p w14:paraId="6AA49115" w14:textId="77777777" w:rsidR="003272DC" w:rsidRDefault="003272DC" w:rsidP="003176FF">
            <w:pPr>
              <w:rPr>
                <w:rFonts w:eastAsia="Malgun Gothic"/>
              </w:rPr>
            </w:pPr>
            <w:r>
              <w:rPr>
                <w:rFonts w:eastAsia="Malgun Gothic"/>
              </w:rPr>
              <w:t>3 or 2</w:t>
            </w:r>
          </w:p>
        </w:tc>
        <w:tc>
          <w:tcPr>
            <w:tcW w:w="6096" w:type="dxa"/>
          </w:tcPr>
          <w:p w14:paraId="465EC113" w14:textId="77777777" w:rsidR="003272DC" w:rsidRDefault="003272DC" w:rsidP="003176FF">
            <w:r>
              <w:t>Agree with Qualcomm suggestion</w:t>
            </w:r>
          </w:p>
        </w:tc>
      </w:tr>
    </w:tbl>
    <w:p w14:paraId="76AA4F06" w14:textId="77777777" w:rsidR="003272DC" w:rsidRDefault="003272DC" w:rsidP="003272DC">
      <w:pPr>
        <w:rPr>
          <w:b/>
          <w:bCs/>
          <w:u w:val="single"/>
          <w:lang w:eastAsia="ja-JP"/>
        </w:rPr>
      </w:pPr>
    </w:p>
    <w:p w14:paraId="7EA681B3" w14:textId="77777777" w:rsidR="003272DC" w:rsidRDefault="003272DC" w:rsidP="003272DC">
      <w:pPr>
        <w:rPr>
          <w:b/>
          <w:bCs/>
          <w:u w:val="single"/>
          <w:lang w:eastAsia="ja-JP"/>
        </w:rPr>
      </w:pPr>
      <w:r>
        <w:rPr>
          <w:b/>
          <w:bCs/>
          <w:u w:val="single"/>
          <w:lang w:eastAsia="ja-JP"/>
        </w:rPr>
        <w:t>Rapporteur Summary:</w:t>
      </w:r>
    </w:p>
    <w:p w14:paraId="54CABF37" w14:textId="77777777" w:rsidR="003272DC" w:rsidRDefault="003272DC" w:rsidP="003272DC">
      <w:pPr>
        <w:rPr>
          <w:lang w:eastAsia="ja-JP"/>
        </w:rPr>
      </w:pPr>
      <w:r>
        <w:rPr>
          <w:lang w:eastAsia="ja-JP"/>
        </w:rPr>
        <w:t xml:space="preserve">9/11 companies agree that rel-16 specifications should remain unchanged and 7/11 companies indicate that in Rel-17 RAN2 can study the introduction of </w:t>
      </w:r>
      <w:r w:rsidRPr="00974F81">
        <w:rPr>
          <w:lang w:eastAsia="ja-JP"/>
        </w:rPr>
        <w:t>AreaConfiguration-r17 including areaConfig-r16 and interFreqTargetList-r16 inside</w:t>
      </w:r>
      <w:r>
        <w:rPr>
          <w:lang w:eastAsia="ja-JP"/>
        </w:rPr>
        <w:t xml:space="preserve"> it with </w:t>
      </w:r>
      <w:r w:rsidRPr="00974F81">
        <w:rPr>
          <w:lang w:eastAsia="ja-JP"/>
        </w:rPr>
        <w:t xml:space="preserve">both fields </w:t>
      </w:r>
      <w:r>
        <w:rPr>
          <w:lang w:eastAsia="ja-JP"/>
        </w:rPr>
        <w:t>being</w:t>
      </w:r>
      <w:r w:rsidRPr="00974F81">
        <w:rPr>
          <w:lang w:eastAsia="ja-JP"/>
        </w:rPr>
        <w:t xml:space="preserve"> optional</w:t>
      </w:r>
      <w:r>
        <w:rPr>
          <w:lang w:eastAsia="ja-JP"/>
        </w:rPr>
        <w:t>.</w:t>
      </w:r>
    </w:p>
    <w:p w14:paraId="01167F52" w14:textId="77777777" w:rsidR="003272DC" w:rsidRDefault="003272DC" w:rsidP="003272DC">
      <w:pPr>
        <w:pStyle w:val="Proposal"/>
        <w:widowControl w:val="0"/>
        <w:overflowPunct/>
        <w:autoSpaceDE/>
        <w:autoSpaceDN/>
        <w:adjustRightInd/>
        <w:textAlignment w:val="auto"/>
        <w:rPr>
          <w:lang w:eastAsia="ja-JP"/>
        </w:rPr>
      </w:pPr>
      <w:bookmarkStart w:id="5" w:name="_Toc80790475"/>
      <w:r w:rsidRPr="006758C7">
        <w:rPr>
          <w:lang w:eastAsia="ja-JP"/>
        </w:rPr>
        <w:t xml:space="preserve">Rel-16 </w:t>
      </w:r>
      <w:r>
        <w:rPr>
          <w:lang w:eastAsia="ja-JP"/>
        </w:rPr>
        <w:t xml:space="preserve">RAN2 </w:t>
      </w:r>
      <w:r w:rsidRPr="006758C7">
        <w:rPr>
          <w:lang w:eastAsia="ja-JP"/>
        </w:rPr>
        <w:t>specifications are unchanged</w:t>
      </w:r>
      <w:r>
        <w:rPr>
          <w:lang w:eastAsia="ja-JP"/>
        </w:rPr>
        <w:t xml:space="preserve"> with respect to </w:t>
      </w:r>
      <w:r w:rsidRPr="006758C7">
        <w:rPr>
          <w:lang w:eastAsia="ja-JP"/>
        </w:rPr>
        <w:t>RAN3’s question on the presence of interFreqTargetList within AreaConfiguration</w:t>
      </w:r>
      <w:r>
        <w:rPr>
          <w:lang w:eastAsia="ja-JP"/>
        </w:rPr>
        <w:t>.</w:t>
      </w:r>
      <w:bookmarkEnd w:id="5"/>
      <w:r>
        <w:rPr>
          <w:lang w:eastAsia="ja-JP"/>
        </w:rPr>
        <w:t xml:space="preserve"> </w:t>
      </w:r>
    </w:p>
    <w:p w14:paraId="571F1433" w14:textId="77777777" w:rsidR="003272DC" w:rsidRDefault="003272DC" w:rsidP="003272DC">
      <w:pPr>
        <w:pStyle w:val="Proposal"/>
        <w:widowControl w:val="0"/>
        <w:overflowPunct/>
        <w:autoSpaceDE/>
        <w:autoSpaceDN/>
        <w:adjustRightInd/>
        <w:textAlignment w:val="auto"/>
        <w:rPr>
          <w:lang w:eastAsia="ja-JP"/>
        </w:rPr>
      </w:pPr>
      <w:bookmarkStart w:id="6" w:name="_Toc80790476"/>
      <w:r>
        <w:rPr>
          <w:lang w:eastAsia="ja-JP"/>
        </w:rPr>
        <w:t xml:space="preserve">RAN2 works on the introduction of </w:t>
      </w:r>
      <w:r w:rsidRPr="00974F81">
        <w:rPr>
          <w:lang w:eastAsia="ja-JP"/>
        </w:rPr>
        <w:t xml:space="preserve">AreaConfiguration-r17 </w:t>
      </w:r>
      <w:r>
        <w:rPr>
          <w:lang w:eastAsia="ja-JP"/>
        </w:rPr>
        <w:t>(</w:t>
      </w:r>
      <w:r w:rsidRPr="00974F81">
        <w:rPr>
          <w:lang w:eastAsia="ja-JP"/>
        </w:rPr>
        <w:t>including areaConfig-r16 and interFreqTargetList-r16 inside</w:t>
      </w:r>
      <w:r>
        <w:rPr>
          <w:lang w:eastAsia="ja-JP"/>
        </w:rPr>
        <w:t xml:space="preserve"> it with </w:t>
      </w:r>
      <w:r w:rsidRPr="00974F81">
        <w:rPr>
          <w:lang w:eastAsia="ja-JP"/>
        </w:rPr>
        <w:t xml:space="preserve">both fields </w:t>
      </w:r>
      <w:r>
        <w:rPr>
          <w:lang w:eastAsia="ja-JP"/>
        </w:rPr>
        <w:t>being</w:t>
      </w:r>
      <w:r w:rsidRPr="00974F81">
        <w:rPr>
          <w:lang w:eastAsia="ja-JP"/>
        </w:rPr>
        <w:t xml:space="preserve"> optional</w:t>
      </w:r>
      <w:r>
        <w:rPr>
          <w:lang w:eastAsia="ja-JP"/>
        </w:rPr>
        <w:t>) in Rel-17.</w:t>
      </w:r>
      <w:bookmarkEnd w:id="6"/>
    </w:p>
    <w:p w14:paraId="5E56D732" w14:textId="77777777" w:rsidR="003272DC" w:rsidRDefault="003272DC" w:rsidP="003272DC">
      <w:pPr>
        <w:rPr>
          <w:lang w:eastAsia="ja-JP"/>
        </w:rPr>
      </w:pPr>
    </w:p>
    <w:p w14:paraId="448A8955" w14:textId="77777777" w:rsidR="003272DC" w:rsidRDefault="003272DC" w:rsidP="003272DC">
      <w:pPr>
        <w:rPr>
          <w:i/>
          <w:iCs/>
          <w:lang w:eastAsia="ja-JP"/>
        </w:rPr>
      </w:pPr>
      <w:r>
        <w:rPr>
          <w:lang w:eastAsia="ja-JP"/>
        </w:rPr>
        <w:t xml:space="preserve">Based on the past discussions in RAN2 quoted in [REF], it is clear that the frequency band list configuration is not supported in </w:t>
      </w:r>
      <w:r>
        <w:rPr>
          <w:i/>
          <w:iCs/>
          <w:lang w:eastAsia="ja-JP"/>
        </w:rPr>
        <w:t>interFreqTargetList</w:t>
      </w:r>
      <w:r>
        <w:rPr>
          <w:lang w:eastAsia="ja-JP"/>
        </w:rPr>
        <w:t xml:space="preserve"> configuration</w:t>
      </w:r>
      <w:r>
        <w:rPr>
          <w:i/>
          <w:iCs/>
          <w:lang w:eastAsia="ja-JP"/>
        </w:rPr>
        <w:t>.</w:t>
      </w:r>
    </w:p>
    <w:p w14:paraId="11C35880" w14:textId="77777777" w:rsidR="003272DC" w:rsidRDefault="003272DC" w:rsidP="003272DC">
      <w:pPr>
        <w:rPr>
          <w:b/>
          <w:bCs/>
          <w:color w:val="FF0000"/>
          <w:lang w:eastAsia="ja-JP"/>
        </w:rPr>
      </w:pPr>
      <w:r>
        <w:rPr>
          <w:b/>
          <w:bCs/>
          <w:color w:val="FF0000"/>
          <w:lang w:eastAsia="ja-JP"/>
        </w:rPr>
        <w:t>Question-10: RAN2 confirms that frequency band list configuration is not supported in interFreqTargetList configuration?</w:t>
      </w:r>
    </w:p>
    <w:tbl>
      <w:tblPr>
        <w:tblStyle w:val="af3"/>
        <w:tblW w:w="0" w:type="auto"/>
        <w:tblLook w:val="04A0" w:firstRow="1" w:lastRow="0" w:firstColumn="1" w:lastColumn="0" w:noHBand="0" w:noVBand="1"/>
      </w:tblPr>
      <w:tblGrid>
        <w:gridCol w:w="1342"/>
        <w:gridCol w:w="2055"/>
        <w:gridCol w:w="6096"/>
      </w:tblGrid>
      <w:tr w:rsidR="003272DC" w14:paraId="30B50B0D" w14:textId="77777777" w:rsidTr="003176FF">
        <w:tc>
          <w:tcPr>
            <w:tcW w:w="1342" w:type="dxa"/>
          </w:tcPr>
          <w:p w14:paraId="0E26D914" w14:textId="77777777" w:rsidR="003272DC" w:rsidRDefault="003272DC" w:rsidP="003176FF">
            <w:pPr>
              <w:rPr>
                <w:b/>
                <w:bCs/>
                <w:lang w:eastAsia="ja-JP"/>
              </w:rPr>
            </w:pPr>
            <w:r>
              <w:rPr>
                <w:b/>
                <w:bCs/>
                <w:lang w:eastAsia="ja-JP"/>
              </w:rPr>
              <w:lastRenderedPageBreak/>
              <w:t>Company name</w:t>
            </w:r>
          </w:p>
        </w:tc>
        <w:tc>
          <w:tcPr>
            <w:tcW w:w="2055" w:type="dxa"/>
          </w:tcPr>
          <w:p w14:paraId="03629F0C" w14:textId="77777777" w:rsidR="003272DC" w:rsidRDefault="003272DC" w:rsidP="003176FF">
            <w:pPr>
              <w:rPr>
                <w:b/>
                <w:bCs/>
                <w:lang w:eastAsia="ja-JP"/>
              </w:rPr>
            </w:pPr>
            <w:r>
              <w:rPr>
                <w:b/>
                <w:bCs/>
                <w:lang w:eastAsia="ja-JP"/>
              </w:rPr>
              <w:t>Yes/No</w:t>
            </w:r>
          </w:p>
        </w:tc>
        <w:tc>
          <w:tcPr>
            <w:tcW w:w="6096" w:type="dxa"/>
          </w:tcPr>
          <w:p w14:paraId="797C4D79" w14:textId="77777777" w:rsidR="003272DC" w:rsidRDefault="003272DC" w:rsidP="003176FF">
            <w:pPr>
              <w:rPr>
                <w:b/>
                <w:bCs/>
                <w:lang w:eastAsia="ja-JP"/>
              </w:rPr>
            </w:pPr>
            <w:r>
              <w:rPr>
                <w:b/>
                <w:bCs/>
                <w:lang w:eastAsia="ja-JP"/>
              </w:rPr>
              <w:t xml:space="preserve">Comments </w:t>
            </w:r>
          </w:p>
        </w:tc>
      </w:tr>
      <w:tr w:rsidR="003272DC" w14:paraId="02A819D7" w14:textId="77777777" w:rsidTr="003176FF">
        <w:tc>
          <w:tcPr>
            <w:tcW w:w="1342" w:type="dxa"/>
          </w:tcPr>
          <w:p w14:paraId="2C75C15F" w14:textId="77777777" w:rsidR="003272DC" w:rsidRDefault="003272DC" w:rsidP="003176FF">
            <w:pPr>
              <w:rPr>
                <w:lang w:eastAsia="ja-JP"/>
              </w:rPr>
            </w:pPr>
            <w:r>
              <w:rPr>
                <w:lang w:eastAsia="ja-JP"/>
              </w:rPr>
              <w:t>Qualcomm</w:t>
            </w:r>
          </w:p>
        </w:tc>
        <w:tc>
          <w:tcPr>
            <w:tcW w:w="2055" w:type="dxa"/>
          </w:tcPr>
          <w:p w14:paraId="3C883693" w14:textId="77777777" w:rsidR="003272DC" w:rsidRDefault="003272DC" w:rsidP="003176FF">
            <w:pPr>
              <w:rPr>
                <w:lang w:eastAsia="ja-JP"/>
              </w:rPr>
            </w:pPr>
            <w:r>
              <w:rPr>
                <w:lang w:eastAsia="ja-JP"/>
              </w:rPr>
              <w:t>Agree.</w:t>
            </w:r>
          </w:p>
        </w:tc>
        <w:tc>
          <w:tcPr>
            <w:tcW w:w="6096" w:type="dxa"/>
          </w:tcPr>
          <w:p w14:paraId="50A26FCE" w14:textId="77777777" w:rsidR="003272DC" w:rsidRDefault="003272DC" w:rsidP="003176FF">
            <w:pPr>
              <w:rPr>
                <w:lang w:eastAsia="ja-JP"/>
              </w:rPr>
            </w:pPr>
          </w:p>
        </w:tc>
      </w:tr>
      <w:tr w:rsidR="003272DC" w14:paraId="54898F1C" w14:textId="77777777" w:rsidTr="003176FF">
        <w:tc>
          <w:tcPr>
            <w:tcW w:w="1342" w:type="dxa"/>
          </w:tcPr>
          <w:p w14:paraId="05F40515" w14:textId="77777777" w:rsidR="003272DC" w:rsidRDefault="003272DC" w:rsidP="003176FF">
            <w:pPr>
              <w:rPr>
                <w:lang w:eastAsia="ja-JP"/>
              </w:rPr>
            </w:pPr>
            <w:r>
              <w:rPr>
                <w:lang w:eastAsia="ja-JP"/>
              </w:rPr>
              <w:t>vivo</w:t>
            </w:r>
          </w:p>
        </w:tc>
        <w:tc>
          <w:tcPr>
            <w:tcW w:w="2055" w:type="dxa"/>
          </w:tcPr>
          <w:p w14:paraId="7D739E0A" w14:textId="77777777" w:rsidR="003272DC" w:rsidRDefault="003272DC" w:rsidP="003176FF">
            <w:pPr>
              <w:rPr>
                <w:lang w:eastAsia="ja-JP"/>
              </w:rPr>
            </w:pPr>
            <w:r>
              <w:rPr>
                <w:lang w:eastAsia="ja-JP"/>
              </w:rPr>
              <w:t>Agree</w:t>
            </w:r>
          </w:p>
        </w:tc>
        <w:tc>
          <w:tcPr>
            <w:tcW w:w="6096" w:type="dxa"/>
          </w:tcPr>
          <w:p w14:paraId="5782EB4B" w14:textId="77777777" w:rsidR="003272DC" w:rsidRDefault="003272DC" w:rsidP="003176FF">
            <w:pPr>
              <w:rPr>
                <w:lang w:eastAsia="ja-JP"/>
              </w:rPr>
            </w:pPr>
          </w:p>
        </w:tc>
      </w:tr>
      <w:tr w:rsidR="003272DC" w14:paraId="76A98DE6" w14:textId="77777777" w:rsidTr="003176FF">
        <w:tc>
          <w:tcPr>
            <w:tcW w:w="1342" w:type="dxa"/>
          </w:tcPr>
          <w:p w14:paraId="3C441078" w14:textId="77777777" w:rsidR="003272DC" w:rsidRDefault="003272DC" w:rsidP="003176FF">
            <w:pPr>
              <w:rPr>
                <w:lang w:eastAsia="ja-JP"/>
              </w:rPr>
            </w:pPr>
            <w:r>
              <w:rPr>
                <w:lang w:eastAsia="ja-JP"/>
              </w:rPr>
              <w:t>Ericsson</w:t>
            </w:r>
          </w:p>
        </w:tc>
        <w:tc>
          <w:tcPr>
            <w:tcW w:w="2055" w:type="dxa"/>
          </w:tcPr>
          <w:p w14:paraId="1A38A9A2" w14:textId="77777777" w:rsidR="003272DC" w:rsidRDefault="003272DC" w:rsidP="003176FF">
            <w:pPr>
              <w:rPr>
                <w:lang w:eastAsia="ja-JP"/>
              </w:rPr>
            </w:pPr>
            <w:r>
              <w:rPr>
                <w:lang w:eastAsia="ja-JP"/>
              </w:rPr>
              <w:t>Yes</w:t>
            </w:r>
          </w:p>
        </w:tc>
        <w:tc>
          <w:tcPr>
            <w:tcW w:w="6096" w:type="dxa"/>
          </w:tcPr>
          <w:p w14:paraId="0AD05DC2" w14:textId="77777777" w:rsidR="003272DC" w:rsidRDefault="003272DC" w:rsidP="003176FF">
            <w:pPr>
              <w:rPr>
                <w:lang w:eastAsia="ja-JP"/>
              </w:rPr>
            </w:pPr>
          </w:p>
        </w:tc>
      </w:tr>
      <w:tr w:rsidR="003272DC" w14:paraId="14FA68BD" w14:textId="77777777" w:rsidTr="003176FF">
        <w:tc>
          <w:tcPr>
            <w:tcW w:w="1342" w:type="dxa"/>
          </w:tcPr>
          <w:p w14:paraId="61B5BA1F" w14:textId="77777777" w:rsidR="003272DC" w:rsidRDefault="003272DC" w:rsidP="003176FF">
            <w:pPr>
              <w:rPr>
                <w:lang w:eastAsia="ja-JP"/>
              </w:rPr>
            </w:pPr>
            <w:r>
              <w:rPr>
                <w:lang w:eastAsia="ja-JP"/>
              </w:rPr>
              <w:t>Apple</w:t>
            </w:r>
          </w:p>
        </w:tc>
        <w:tc>
          <w:tcPr>
            <w:tcW w:w="2055" w:type="dxa"/>
          </w:tcPr>
          <w:p w14:paraId="13B223FC" w14:textId="77777777" w:rsidR="003272DC" w:rsidRDefault="003272DC" w:rsidP="003176FF">
            <w:pPr>
              <w:rPr>
                <w:lang w:eastAsia="ja-JP"/>
              </w:rPr>
            </w:pPr>
            <w:r>
              <w:rPr>
                <w:lang w:eastAsia="ja-JP"/>
              </w:rPr>
              <w:t>Agree</w:t>
            </w:r>
          </w:p>
        </w:tc>
        <w:tc>
          <w:tcPr>
            <w:tcW w:w="6096" w:type="dxa"/>
          </w:tcPr>
          <w:p w14:paraId="341B4387" w14:textId="77777777" w:rsidR="003272DC" w:rsidRDefault="003272DC" w:rsidP="003176FF">
            <w:pPr>
              <w:rPr>
                <w:lang w:eastAsia="ja-JP"/>
              </w:rPr>
            </w:pPr>
          </w:p>
        </w:tc>
      </w:tr>
      <w:tr w:rsidR="003272DC" w14:paraId="090AFAB7" w14:textId="77777777" w:rsidTr="003176FF">
        <w:tc>
          <w:tcPr>
            <w:tcW w:w="1342" w:type="dxa"/>
          </w:tcPr>
          <w:p w14:paraId="6590D434" w14:textId="77777777" w:rsidR="003272DC" w:rsidRDefault="003272DC" w:rsidP="003176FF">
            <w:r>
              <w:rPr>
                <w:rFonts w:hint="eastAsia"/>
              </w:rPr>
              <w:t>ZTE</w:t>
            </w:r>
          </w:p>
        </w:tc>
        <w:tc>
          <w:tcPr>
            <w:tcW w:w="2055" w:type="dxa"/>
          </w:tcPr>
          <w:p w14:paraId="0029BBEA" w14:textId="77777777" w:rsidR="003272DC" w:rsidRDefault="003272DC" w:rsidP="003176FF">
            <w:r>
              <w:rPr>
                <w:rFonts w:hint="eastAsia"/>
              </w:rPr>
              <w:t>Yes</w:t>
            </w:r>
          </w:p>
        </w:tc>
        <w:tc>
          <w:tcPr>
            <w:tcW w:w="6096" w:type="dxa"/>
          </w:tcPr>
          <w:p w14:paraId="5C1ABE7F" w14:textId="77777777" w:rsidR="003272DC" w:rsidRDefault="003272DC" w:rsidP="003176FF">
            <w:pPr>
              <w:rPr>
                <w:lang w:eastAsia="ja-JP"/>
              </w:rPr>
            </w:pPr>
          </w:p>
        </w:tc>
      </w:tr>
      <w:tr w:rsidR="003272DC" w14:paraId="441FC0FB" w14:textId="77777777" w:rsidTr="003176FF">
        <w:tc>
          <w:tcPr>
            <w:tcW w:w="1342" w:type="dxa"/>
          </w:tcPr>
          <w:p w14:paraId="0540E18D" w14:textId="77777777" w:rsidR="003272DC" w:rsidRDefault="003272DC" w:rsidP="003176FF">
            <w:pPr>
              <w:rPr>
                <w:lang w:eastAsia="ja-JP"/>
              </w:rPr>
            </w:pPr>
            <w:r>
              <w:rPr>
                <w:rFonts w:eastAsiaTheme="minorEastAsia" w:hint="eastAsia"/>
              </w:rPr>
              <w:t>O</w:t>
            </w:r>
            <w:r>
              <w:rPr>
                <w:rFonts w:eastAsiaTheme="minorEastAsia"/>
              </w:rPr>
              <w:t>PPO</w:t>
            </w:r>
          </w:p>
        </w:tc>
        <w:tc>
          <w:tcPr>
            <w:tcW w:w="2055" w:type="dxa"/>
          </w:tcPr>
          <w:p w14:paraId="25199200" w14:textId="77777777" w:rsidR="003272DC" w:rsidRDefault="003272DC" w:rsidP="003176FF">
            <w:pPr>
              <w:rPr>
                <w:lang w:eastAsia="ja-JP"/>
              </w:rPr>
            </w:pPr>
            <w:r>
              <w:rPr>
                <w:rFonts w:eastAsiaTheme="minorEastAsia" w:hint="eastAsia"/>
              </w:rPr>
              <w:t>Agree</w:t>
            </w:r>
          </w:p>
        </w:tc>
        <w:tc>
          <w:tcPr>
            <w:tcW w:w="6096" w:type="dxa"/>
          </w:tcPr>
          <w:p w14:paraId="6102D12E" w14:textId="77777777" w:rsidR="003272DC" w:rsidRDefault="003272DC" w:rsidP="003176FF">
            <w:pPr>
              <w:rPr>
                <w:lang w:eastAsia="ja-JP"/>
              </w:rPr>
            </w:pPr>
          </w:p>
        </w:tc>
      </w:tr>
      <w:tr w:rsidR="003272DC" w14:paraId="5405B358" w14:textId="77777777" w:rsidTr="003176FF">
        <w:tc>
          <w:tcPr>
            <w:tcW w:w="1342" w:type="dxa"/>
          </w:tcPr>
          <w:p w14:paraId="113B2CE9" w14:textId="77777777" w:rsidR="003272DC" w:rsidRPr="00147C28" w:rsidRDefault="003272DC" w:rsidP="003176FF">
            <w:pPr>
              <w:rPr>
                <w:rFonts w:eastAsiaTheme="minorEastAsia"/>
              </w:rPr>
            </w:pPr>
            <w:r>
              <w:rPr>
                <w:rFonts w:eastAsiaTheme="minorEastAsia" w:hint="eastAsia"/>
              </w:rPr>
              <w:t>S</w:t>
            </w:r>
            <w:r>
              <w:rPr>
                <w:rFonts w:eastAsiaTheme="minorEastAsia"/>
              </w:rPr>
              <w:t>harp</w:t>
            </w:r>
          </w:p>
        </w:tc>
        <w:tc>
          <w:tcPr>
            <w:tcW w:w="2055" w:type="dxa"/>
          </w:tcPr>
          <w:p w14:paraId="2636A450" w14:textId="77777777" w:rsidR="003272DC" w:rsidRPr="00147C28" w:rsidRDefault="003272DC" w:rsidP="003176FF">
            <w:pPr>
              <w:rPr>
                <w:rFonts w:eastAsiaTheme="minorEastAsia"/>
              </w:rPr>
            </w:pPr>
            <w:r>
              <w:rPr>
                <w:rFonts w:eastAsiaTheme="minorEastAsia"/>
              </w:rPr>
              <w:t xml:space="preserve">Agree </w:t>
            </w:r>
          </w:p>
        </w:tc>
        <w:tc>
          <w:tcPr>
            <w:tcW w:w="6096" w:type="dxa"/>
          </w:tcPr>
          <w:p w14:paraId="194A5759" w14:textId="77777777" w:rsidR="003272DC" w:rsidRDefault="003272DC" w:rsidP="003176FF">
            <w:pPr>
              <w:rPr>
                <w:lang w:eastAsia="ja-JP"/>
              </w:rPr>
            </w:pPr>
          </w:p>
        </w:tc>
      </w:tr>
      <w:tr w:rsidR="003272DC" w14:paraId="6D853A26" w14:textId="77777777" w:rsidTr="003176FF">
        <w:tc>
          <w:tcPr>
            <w:tcW w:w="1342" w:type="dxa"/>
          </w:tcPr>
          <w:p w14:paraId="79BE11C7" w14:textId="77777777" w:rsidR="003272DC" w:rsidRPr="00FB631F" w:rsidRDefault="003272DC" w:rsidP="003176FF">
            <w:pPr>
              <w:rPr>
                <w:rFonts w:eastAsiaTheme="minorEastAsia"/>
              </w:rPr>
            </w:pPr>
            <w:r>
              <w:rPr>
                <w:rFonts w:eastAsiaTheme="minorEastAsia" w:hint="eastAsia"/>
              </w:rPr>
              <w:t>H</w:t>
            </w:r>
            <w:r>
              <w:rPr>
                <w:rFonts w:eastAsiaTheme="minorEastAsia"/>
              </w:rPr>
              <w:t>uawei, HiSilicon</w:t>
            </w:r>
          </w:p>
        </w:tc>
        <w:tc>
          <w:tcPr>
            <w:tcW w:w="2055" w:type="dxa"/>
          </w:tcPr>
          <w:p w14:paraId="0BBD0531" w14:textId="77777777" w:rsidR="003272DC" w:rsidRPr="00FB631F" w:rsidRDefault="003272DC" w:rsidP="003176FF">
            <w:pPr>
              <w:rPr>
                <w:rFonts w:eastAsiaTheme="minorEastAsia"/>
              </w:rPr>
            </w:pPr>
            <w:r>
              <w:rPr>
                <w:rFonts w:eastAsiaTheme="minorEastAsia"/>
              </w:rPr>
              <w:t>Agree</w:t>
            </w:r>
          </w:p>
        </w:tc>
        <w:tc>
          <w:tcPr>
            <w:tcW w:w="6096" w:type="dxa"/>
          </w:tcPr>
          <w:p w14:paraId="6D7CF30D" w14:textId="77777777" w:rsidR="003272DC" w:rsidRDefault="003272DC" w:rsidP="003176FF">
            <w:pPr>
              <w:rPr>
                <w:lang w:eastAsia="ja-JP"/>
              </w:rPr>
            </w:pPr>
          </w:p>
        </w:tc>
      </w:tr>
      <w:tr w:rsidR="003272DC" w14:paraId="19488498" w14:textId="77777777" w:rsidTr="003176FF">
        <w:tc>
          <w:tcPr>
            <w:tcW w:w="1342" w:type="dxa"/>
          </w:tcPr>
          <w:p w14:paraId="2B14AA88" w14:textId="77777777" w:rsidR="003272DC" w:rsidRDefault="003272DC" w:rsidP="003176FF">
            <w:r>
              <w:rPr>
                <w:rFonts w:hint="eastAsia"/>
              </w:rPr>
              <w:t>CATT</w:t>
            </w:r>
          </w:p>
        </w:tc>
        <w:tc>
          <w:tcPr>
            <w:tcW w:w="2055" w:type="dxa"/>
          </w:tcPr>
          <w:p w14:paraId="52DEFE71" w14:textId="77777777" w:rsidR="003272DC" w:rsidRDefault="003272DC" w:rsidP="003176FF">
            <w:r>
              <w:rPr>
                <w:rFonts w:hint="eastAsia"/>
              </w:rPr>
              <w:t>Agree</w:t>
            </w:r>
          </w:p>
        </w:tc>
        <w:tc>
          <w:tcPr>
            <w:tcW w:w="6096" w:type="dxa"/>
          </w:tcPr>
          <w:p w14:paraId="4FD4297D" w14:textId="77777777" w:rsidR="003272DC" w:rsidRDefault="003272DC" w:rsidP="003176FF">
            <w:pPr>
              <w:rPr>
                <w:lang w:eastAsia="ja-JP"/>
              </w:rPr>
            </w:pPr>
          </w:p>
        </w:tc>
      </w:tr>
      <w:tr w:rsidR="003272DC" w14:paraId="6863F5DE" w14:textId="77777777" w:rsidTr="003176FF">
        <w:tc>
          <w:tcPr>
            <w:tcW w:w="1342" w:type="dxa"/>
          </w:tcPr>
          <w:p w14:paraId="0E136914" w14:textId="77777777" w:rsidR="003272DC" w:rsidRPr="00140BD8" w:rsidRDefault="003272DC" w:rsidP="003176FF">
            <w:pPr>
              <w:rPr>
                <w:rFonts w:eastAsia="Malgun Gothic"/>
              </w:rPr>
            </w:pPr>
            <w:r>
              <w:rPr>
                <w:rFonts w:eastAsia="Malgun Gothic" w:hint="eastAsia"/>
              </w:rPr>
              <w:t>LGE</w:t>
            </w:r>
          </w:p>
        </w:tc>
        <w:tc>
          <w:tcPr>
            <w:tcW w:w="2055" w:type="dxa"/>
          </w:tcPr>
          <w:p w14:paraId="19B2DE0A" w14:textId="77777777" w:rsidR="003272DC" w:rsidRPr="00140BD8" w:rsidRDefault="003272DC" w:rsidP="003176FF">
            <w:pPr>
              <w:rPr>
                <w:rFonts w:eastAsia="Malgun Gothic"/>
              </w:rPr>
            </w:pPr>
            <w:r>
              <w:rPr>
                <w:rFonts w:eastAsia="Malgun Gothic" w:hint="eastAsia"/>
              </w:rPr>
              <w:t>Yes</w:t>
            </w:r>
          </w:p>
        </w:tc>
        <w:tc>
          <w:tcPr>
            <w:tcW w:w="6096" w:type="dxa"/>
          </w:tcPr>
          <w:p w14:paraId="7DFCDAD4" w14:textId="77777777" w:rsidR="003272DC" w:rsidRDefault="003272DC" w:rsidP="003176FF">
            <w:pPr>
              <w:rPr>
                <w:lang w:eastAsia="ja-JP"/>
              </w:rPr>
            </w:pPr>
          </w:p>
        </w:tc>
      </w:tr>
    </w:tbl>
    <w:p w14:paraId="5DDC336B" w14:textId="77777777" w:rsidR="003272DC" w:rsidRDefault="003272DC" w:rsidP="003272DC">
      <w:pPr>
        <w:rPr>
          <w:b/>
          <w:bCs/>
          <w:u w:val="single"/>
          <w:lang w:eastAsia="ja-JP"/>
        </w:rPr>
      </w:pPr>
    </w:p>
    <w:p w14:paraId="63AD6DAE" w14:textId="77777777" w:rsidR="003272DC" w:rsidRDefault="003272DC" w:rsidP="003272DC">
      <w:pPr>
        <w:rPr>
          <w:b/>
          <w:bCs/>
          <w:u w:val="single"/>
          <w:lang w:eastAsia="ja-JP"/>
        </w:rPr>
      </w:pPr>
      <w:r>
        <w:rPr>
          <w:b/>
          <w:bCs/>
          <w:u w:val="single"/>
          <w:lang w:eastAsia="ja-JP"/>
        </w:rPr>
        <w:t>Rapporteur Summary:</w:t>
      </w:r>
    </w:p>
    <w:p w14:paraId="0F5595F0" w14:textId="77777777" w:rsidR="003272DC" w:rsidRDefault="003272DC" w:rsidP="003272DC">
      <w:pPr>
        <w:rPr>
          <w:lang w:eastAsia="ja-JP"/>
        </w:rPr>
      </w:pPr>
      <w:r>
        <w:rPr>
          <w:lang w:eastAsia="ja-JP"/>
        </w:rPr>
        <w:t xml:space="preserve">All companies agree that </w:t>
      </w:r>
      <w:r w:rsidRPr="008C33FF">
        <w:rPr>
          <w:lang w:eastAsia="ja-JP"/>
        </w:rPr>
        <w:t>frequency band list configuration is not supported in interFreqTargetList configuration</w:t>
      </w:r>
      <w:r>
        <w:rPr>
          <w:lang w:eastAsia="ja-JP"/>
        </w:rPr>
        <w:t>.</w:t>
      </w:r>
    </w:p>
    <w:p w14:paraId="6165D6FA" w14:textId="77777777" w:rsidR="003272DC" w:rsidRDefault="003272DC" w:rsidP="003272DC">
      <w:pPr>
        <w:pStyle w:val="Proposal"/>
        <w:widowControl w:val="0"/>
        <w:overflowPunct/>
        <w:autoSpaceDE/>
        <w:autoSpaceDN/>
        <w:adjustRightInd/>
        <w:textAlignment w:val="auto"/>
        <w:rPr>
          <w:lang w:eastAsia="ja-JP"/>
        </w:rPr>
      </w:pPr>
      <w:bookmarkStart w:id="7" w:name="_Toc80790477"/>
      <w:r w:rsidRPr="008C33FF">
        <w:rPr>
          <w:lang w:eastAsia="ja-JP"/>
        </w:rPr>
        <w:t>RAN2 confirms that frequency band list configuration is not supported in interFreqTargetList configuration</w:t>
      </w:r>
      <w:r>
        <w:rPr>
          <w:lang w:eastAsia="ja-JP"/>
        </w:rPr>
        <w:t>.</w:t>
      </w:r>
      <w:bookmarkEnd w:id="7"/>
    </w:p>
    <w:p w14:paraId="1AF516E7" w14:textId="77777777" w:rsidR="003272DC" w:rsidRDefault="003272DC" w:rsidP="003272DC">
      <w:pPr>
        <w:rPr>
          <w:lang w:eastAsia="ja-JP"/>
        </w:rPr>
      </w:pPr>
    </w:p>
    <w:p w14:paraId="04764586" w14:textId="77777777" w:rsidR="003272DC" w:rsidRPr="003D70C0" w:rsidRDefault="003272DC">
      <w:pPr>
        <w:rPr>
          <w:b/>
          <w:bCs/>
        </w:rPr>
      </w:pPr>
    </w:p>
    <w:sectPr w:rsidR="003272DC" w:rsidRPr="003D70C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9C19" w14:textId="77777777" w:rsidR="0074235D" w:rsidRDefault="0074235D">
      <w:pPr>
        <w:spacing w:after="0" w:line="240" w:lineRule="auto"/>
      </w:pPr>
      <w:r>
        <w:separator/>
      </w:r>
    </w:p>
  </w:endnote>
  <w:endnote w:type="continuationSeparator" w:id="0">
    <w:p w14:paraId="4973891D" w14:textId="77777777" w:rsidR="0074235D" w:rsidRDefault="0074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6FFE" w14:textId="45303553" w:rsidR="003E2D45" w:rsidRDefault="003E2D4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AB14FF">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AB14FF">
      <w:rPr>
        <w:noProof/>
        <w:sz w:val="20"/>
        <w:szCs w:val="20"/>
      </w:rPr>
      <w:t>6</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E984" w14:textId="77777777" w:rsidR="0074235D" w:rsidRDefault="0074235D">
      <w:pPr>
        <w:spacing w:after="0" w:line="240" w:lineRule="auto"/>
      </w:pPr>
      <w:r>
        <w:separator/>
      </w:r>
    </w:p>
  </w:footnote>
  <w:footnote w:type="continuationSeparator" w:id="0">
    <w:p w14:paraId="19F48C97" w14:textId="77777777" w:rsidR="0074235D" w:rsidRDefault="00742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067671C"/>
    <w:multiLevelType w:val="multilevel"/>
    <w:tmpl w:val="4067671C"/>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7"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BC32A2D"/>
    <w:multiLevelType w:val="multilevel"/>
    <w:tmpl w:val="7BC32A2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F552ADA"/>
    <w:multiLevelType w:val="multilevel"/>
    <w:tmpl w:val="7F552ADA"/>
    <w:lvl w:ilvl="0">
      <w:start w:val="1"/>
      <w:numFmt w:val="bullet"/>
      <w:lvlText w:val=""/>
      <w:lvlJc w:val="left"/>
      <w:pPr>
        <w:ind w:left="420" w:hanging="420"/>
      </w:pPr>
      <w:rPr>
        <w:rFonts w:ascii="Symbol" w:hAnsi="Symbol" w:cs="Symbol" w:hint="default"/>
        <w:sz w:val="18"/>
        <w:szCs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4"/>
  </w:num>
  <w:num w:numId="4">
    <w:abstractNumId w:val="8"/>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Formatting/>
  <w:defaultTabStop w:val="4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42FB"/>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61A"/>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0E8"/>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2DC"/>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2D6"/>
    <w:rsid w:val="00513920"/>
    <w:rsid w:val="0051462D"/>
    <w:rsid w:val="00516841"/>
    <w:rsid w:val="0051697F"/>
    <w:rsid w:val="00516D85"/>
    <w:rsid w:val="00517E69"/>
    <w:rsid w:val="00517EF2"/>
    <w:rsid w:val="00520C10"/>
    <w:rsid w:val="00521AF0"/>
    <w:rsid w:val="00523627"/>
    <w:rsid w:val="00523746"/>
    <w:rsid w:val="005255BE"/>
    <w:rsid w:val="005259E1"/>
    <w:rsid w:val="00526044"/>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1ED7"/>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35D"/>
    <w:rsid w:val="00742588"/>
    <w:rsid w:val="00743584"/>
    <w:rsid w:val="007437AF"/>
    <w:rsid w:val="007445FF"/>
    <w:rsid w:val="00744830"/>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06D9"/>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8E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6EFF"/>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3C29"/>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4FF"/>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542"/>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2547"/>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6416"/>
    <w:rsid w:val="00FE7696"/>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uiPriority w:val="99"/>
    <w:qFormat/>
    <w:rPr>
      <w:color w:val="0000FF"/>
      <w:u w:val="single"/>
    </w:rPr>
  </w:style>
  <w:style w:type="character" w:styleId="af8">
    <w:name w:val="annotation reference"/>
    <w:uiPriority w:val="99"/>
    <w:semiHidden/>
    <w:unhideWhenUsed/>
    <w:rPr>
      <w:sz w:val="21"/>
      <w:szCs w:val="21"/>
    </w:rPr>
  </w:style>
  <w:style w:type="character" w:customStyle="1" w:styleId="10">
    <w:name w:val="标题 1 字符"/>
    <w:link w:val="1"/>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12">
    <w:name w:val="列表段落 字符1"/>
    <w:link w:val="af9"/>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b">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3">
    <w:name w:val="未处理的提及1"/>
    <w:basedOn w:val="a0"/>
    <w:uiPriority w:val="99"/>
    <w:unhideWhenUsed/>
    <w:rPr>
      <w:color w:val="605E5C"/>
      <w:shd w:val="clear" w:color="auto" w:fill="E1DFDD"/>
    </w:rPr>
  </w:style>
  <w:style w:type="character" w:customStyle="1" w:styleId="14">
    <w:name w:val="@他1"/>
    <w:basedOn w:val="a0"/>
    <w:uiPriority w:val="99"/>
    <w:unhideWhenUsed/>
    <w:rPr>
      <w:color w:val="2B579A"/>
      <w:shd w:val="clear" w:color="auto" w:fill="E1DFDD"/>
    </w:rPr>
  </w:style>
  <w:style w:type="character" w:customStyle="1" w:styleId="15">
    <w:name w:val="未解決のメンション1"/>
    <w:basedOn w:val="a0"/>
    <w:uiPriority w:val="99"/>
    <w:semiHidden/>
    <w:unhideWhenUsed/>
    <w:rsid w:val="009E607D"/>
    <w:rPr>
      <w:color w:val="605E5C"/>
      <w:shd w:val="clear" w:color="auto" w:fill="E1DFDD"/>
    </w:rPr>
  </w:style>
  <w:style w:type="character" w:customStyle="1" w:styleId="UnresolvedMention1">
    <w:name w:val="Unresolved Mention1"/>
    <w:basedOn w:val="a0"/>
    <w:uiPriority w:val="99"/>
    <w:semiHidden/>
    <w:unhideWhenUsed/>
    <w:rsid w:val="007309A3"/>
    <w:rPr>
      <w:color w:val="605E5C"/>
      <w:shd w:val="clear" w:color="auto" w:fill="E1DFDD"/>
    </w:rPr>
  </w:style>
  <w:style w:type="paragraph" w:styleId="TOC9">
    <w:name w:val="toc 9"/>
    <w:basedOn w:val="TOC8"/>
    <w:semiHidden/>
    <w:rsid w:val="00614458"/>
    <w:pPr>
      <w:keepNext/>
      <w:keepLines/>
      <w:widowControl w:val="0"/>
      <w:tabs>
        <w:tab w:val="right" w:leader="dot" w:pos="9639"/>
      </w:tabs>
      <w:spacing w:before="180" w:after="0" w:line="240" w:lineRule="auto"/>
      <w:ind w:leftChars="0" w:left="1418" w:right="425" w:hanging="1418"/>
      <w:jc w:val="left"/>
    </w:pPr>
    <w:rPr>
      <w:b/>
      <w:noProof/>
      <w:lang w:eastAsia="ja-JP"/>
    </w:rPr>
  </w:style>
  <w:style w:type="paragraph" w:styleId="TOC8">
    <w:name w:val="toc 8"/>
    <w:basedOn w:val="a"/>
    <w:next w:val="a"/>
    <w:autoRedefine/>
    <w:uiPriority w:val="39"/>
    <w:semiHidden/>
    <w:unhideWhenUsed/>
    <w:rsid w:val="00614458"/>
    <w:pPr>
      <w:ind w:leftChars="1400" w:left="2940"/>
    </w:pPr>
  </w:style>
  <w:style w:type="paragraph" w:styleId="TOC5">
    <w:name w:val="toc 5"/>
    <w:basedOn w:val="a"/>
    <w:next w:val="a"/>
    <w:autoRedefine/>
    <w:uiPriority w:val="39"/>
    <w:semiHidden/>
    <w:unhideWhenUsed/>
    <w:rsid w:val="00614458"/>
    <w:pPr>
      <w:ind w:leftChars="800" w:left="1680"/>
    </w:pPr>
  </w:style>
  <w:style w:type="character" w:customStyle="1" w:styleId="CharChar7">
    <w:name w:val="Char Char7"/>
    <w:rsid w:val="00810CAE"/>
    <w:rPr>
      <w:rFonts w:ascii="Arial" w:eastAsia="MS Mincho" w:hAnsi="Arial" w:cs="Arial"/>
      <w:b/>
      <w:bCs/>
      <w:iCs/>
      <w:sz w:val="28"/>
      <w:szCs w:val="28"/>
      <w:lang w:val="en-GB" w:eastAsia="en-GB" w:bidi="ar-SA"/>
    </w:rPr>
  </w:style>
  <w:style w:type="paragraph" w:styleId="af9">
    <w:name w:val="List Paragraph"/>
    <w:basedOn w:val="a"/>
    <w:link w:val="12"/>
    <w:uiPriority w:val="34"/>
    <w:qFormat/>
    <w:rsid w:val="003272DC"/>
    <w:pPr>
      <w:widowControl w:val="0"/>
      <w:overflowPunct/>
      <w:autoSpaceDE/>
      <w:autoSpaceDN/>
      <w:adjustRightInd/>
      <w:spacing w:after="0" w:line="240" w:lineRule="auto"/>
      <w:ind w:left="720"/>
      <w:textAlignment w:val="auto"/>
    </w:pPr>
    <w:rPr>
      <w:rFonts w:eastAsia="Times New Roman"/>
      <w:kern w:val="2"/>
      <w:sz w:val="21"/>
      <w:szCs w:val="24"/>
      <w:lang w:val="zh-C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5-e/Docs/R2-21089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770CD1D-EFD1-4CC2-8A35-E230803AEE8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C60D7C3-1262-4166-9DA6-B920AAF9B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884</Words>
  <Characters>5042</Characters>
  <Application>Microsoft Office Word</Application>
  <DocSecurity>0</DocSecurity>
  <Lines>42</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文鸣</cp:lastModifiedBy>
  <cp:revision>59</cp:revision>
  <cp:lastPrinted>2019-12-04T11:04:00Z</cp:lastPrinted>
  <dcterms:created xsi:type="dcterms:W3CDTF">2021-11-01T13:46:00Z</dcterms:created>
  <dcterms:modified xsi:type="dcterms:W3CDTF">2021-11-02T07:06:00Z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(2)jS0Ool4+7idgO8r/HCVPVpefUEoiCWIvnH1iolwVEbPZ6Hv5/GdRTXR6Cr0EezAcq/3YEWRU
kGz7WyZvKJKsDweoOLnf8BPm5KuBYKeHKXU3AXIa5hXc/0CILHpVF2c1vnFP7zDB09fHV57A
z2lzachPiAoERSYbOa6/kmcYGGwXfmlRoSloW3ze3trCzpeU9uytRA3kwdDOe/v1PIJ0iOAX
5b4EMUmHu2PgcDg6q/</vt:lpwstr>
  </property>
  <property fmtid="{D5CDD505-2E9C-101B-9397-08002B2CF9AE}" pid="13" name="_2015_ms_pID_7253431">
    <vt:lpwstr>q51y1ZTBCD04rpvVuWi51elPM5uhv4OlVuOCGSQgwN8HYJMQTVpd86
nBwaUPeDT6L9KA3I+bmoYqf0k4hAQhqIQLtyNPmRdmMOBjnJ3Qy6F7gB2nBrpHyMlCaLw5zq
dEl4rxto/dUCWVgiLAgy0SH8/AdGt+kFpA53/mXtj3R3uqeDNmvbaUttoHoYQkIQJTeWNmkh
lE/ia5L4hU2SwMae</vt:lpwstr>
  </property>
</Properties>
</file>