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af"/>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Secondly, the objective of this work item also covers the non-relay discovery (i.e. 5G ProSe Direct Discovery). </w:t>
            </w:r>
          </w:p>
          <w:p w14:paraId="1AB524C4" w14:textId="77777777" w:rsidR="002521F4" w:rsidRDefault="009B7CB8">
            <w:pPr>
              <w:pStyle w:val="af2"/>
              <w:numPr>
                <w:ilvl w:val="0"/>
                <w:numId w:val="5"/>
              </w:numPr>
              <w:ind w:firstLineChars="0"/>
              <w:contextualSpacing/>
              <w:rPr>
                <w:lang w:eastAsia="zh-CN"/>
              </w:rPr>
            </w:pPr>
            <w:r>
              <w:rPr>
                <w:lang w:eastAsia="zh-CN"/>
              </w:rPr>
              <w:t>Specify mechanisms for 5G ProSe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For L2 UE-to-Network Relay, it is assumed that the Remote UE has a single active connection towards gNB via only a single Relay UE at a given time in this release.</w:t>
            </w:r>
          </w:p>
          <w:p w14:paraId="428F095E" w14:textId="77777777" w:rsidR="002521F4" w:rsidRDefault="009B7CB8">
            <w:pPr>
              <w:pStyle w:val="NO"/>
            </w:pPr>
            <w:r>
              <w:t>NOTE 3:</w:t>
            </w:r>
            <w:r>
              <w:tab/>
              <w:t>Only NR Uu interface, i.e. gNB,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lastRenderedPageBreak/>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28A7F92F" w14:textId="77777777" w:rsidR="002521F4" w:rsidRDefault="009B7CB8">
      <w:pPr>
        <w:pStyle w:val="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2521F4" w14:paraId="45CB4212"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trPr>
          <w:trHeight w:val="285"/>
        </w:trPr>
        <w:tc>
          <w:tcPr>
            <w:tcW w:w="567"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2521F4" w14:paraId="4F593F1D" w14:textId="77777777">
        <w:trPr>
          <w:trHeight w:val="285"/>
        </w:trPr>
        <w:tc>
          <w:tcPr>
            <w:tcW w:w="567"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2521F4" w14:paraId="1C4A0ED5" w14:textId="77777777">
        <w:trPr>
          <w:trHeight w:val="510"/>
        </w:trPr>
        <w:tc>
          <w:tcPr>
            <w:tcW w:w="567"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CONNECTED can use the discovery configuration provided via dedicated signalling if available.</w:t>
            </w:r>
          </w:p>
        </w:tc>
      </w:tr>
      <w:tr w:rsidR="002521F4" w14:paraId="6F2F5EAC" w14:textId="77777777">
        <w:trPr>
          <w:trHeight w:val="285"/>
        </w:trPr>
        <w:tc>
          <w:tcPr>
            <w:tcW w:w="567"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0E7297C"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2521F4" w14:paraId="0CF29DFF" w14:textId="77777777">
        <w:trPr>
          <w:trHeight w:val="285"/>
        </w:trPr>
        <w:tc>
          <w:tcPr>
            <w:tcW w:w="567" w:type="dxa"/>
            <w:tcBorders>
              <w:top w:val="nil"/>
              <w:left w:val="single" w:sz="4" w:space="0" w:color="auto"/>
              <w:bottom w:val="single" w:sz="4" w:space="0" w:color="auto"/>
              <w:right w:val="single" w:sz="4" w:space="0" w:color="auto"/>
            </w:tcBorders>
          </w:tcPr>
          <w:p w14:paraId="074FEA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6</w:t>
            </w:r>
          </w:p>
        </w:tc>
        <w:tc>
          <w:tcPr>
            <w:tcW w:w="7734" w:type="dxa"/>
            <w:tcBorders>
              <w:top w:val="nil"/>
              <w:left w:val="single" w:sz="4" w:space="0" w:color="auto"/>
              <w:bottom w:val="single" w:sz="4" w:space="0" w:color="auto"/>
              <w:right w:val="single" w:sz="4" w:space="0" w:color="auto"/>
            </w:tcBorders>
            <w:shd w:val="clear" w:color="auto" w:fill="auto"/>
          </w:tcPr>
          <w:p w14:paraId="1FE7714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L2 relay UE will always use the discovery configuration provided by gNB (either via SIB or dedicated signalling).</w:t>
            </w:r>
          </w:p>
        </w:tc>
      </w:tr>
      <w:tr w:rsidR="002521F4" w14:paraId="7F3CD9ED" w14:textId="77777777">
        <w:trPr>
          <w:trHeight w:val="510"/>
        </w:trPr>
        <w:tc>
          <w:tcPr>
            <w:tcW w:w="567"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78841C4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trPr>
          <w:trHeight w:val="510"/>
        </w:trPr>
        <w:tc>
          <w:tcPr>
            <w:tcW w:w="567"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6AE99E1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trPr>
          <w:trHeight w:val="510"/>
        </w:trPr>
        <w:tc>
          <w:tcPr>
            <w:tcW w:w="567"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76C766A3"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2521F4" w14:paraId="1BE5C55E" w14:textId="77777777">
        <w:trPr>
          <w:trHeight w:val="1408"/>
        </w:trPr>
        <w:tc>
          <w:tcPr>
            <w:tcW w:w="567"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17C5D76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微软雅黑" w:hAnsi="Calibri" w:cs="Calibri"/>
                <w:lang w:val="en-US" w:eastAsia="zh-CN"/>
              </w:rPr>
              <w:br/>
              <w:t>- If there is no Uu deployedcoverage at the concerned frequency, UE shall rely on pre-configuration.</w:t>
            </w:r>
          </w:p>
        </w:tc>
      </w:tr>
      <w:tr w:rsidR="002521F4" w14:paraId="04B7C7AE" w14:textId="77777777">
        <w:trPr>
          <w:trHeight w:val="1020"/>
        </w:trPr>
        <w:tc>
          <w:tcPr>
            <w:tcW w:w="567"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73AB10F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trPr>
          <w:trHeight w:val="285"/>
        </w:trPr>
        <w:tc>
          <w:tcPr>
            <w:tcW w:w="567"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12E8F4D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 power control mechanism for transmission of discovery messages.</w:t>
            </w:r>
          </w:p>
        </w:tc>
      </w:tr>
      <w:tr w:rsidR="002521F4" w14:paraId="3BB8A109" w14:textId="77777777">
        <w:trPr>
          <w:trHeight w:val="510"/>
        </w:trPr>
        <w:tc>
          <w:tcPr>
            <w:tcW w:w="567"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3523DB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The same PDCP data PDU format as SL-SRB0 is used for sidelink discovery message (SL-SRB4), and the SDU type field is not used for SL-SRB4.</w:t>
            </w:r>
          </w:p>
        </w:tc>
      </w:tr>
      <w:tr w:rsidR="002521F4" w14:paraId="76BBFEE2" w14:textId="77777777">
        <w:trPr>
          <w:trHeight w:val="510"/>
        </w:trPr>
        <w:tc>
          <w:tcPr>
            <w:tcW w:w="567"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5B62C21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rely on SA2 on the L2 ID design for discovery message. No LS is needed.</w:t>
            </w:r>
          </w:p>
        </w:tc>
      </w:tr>
      <w:tr w:rsidR="002521F4" w14:paraId="10FE8EF6" w14:textId="77777777">
        <w:trPr>
          <w:trHeight w:val="510"/>
        </w:trPr>
        <w:tc>
          <w:tcPr>
            <w:tcW w:w="567"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408CF1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2521F4" w14:paraId="7B76EACA" w14:textId="77777777">
        <w:trPr>
          <w:trHeight w:val="1020"/>
        </w:trPr>
        <w:tc>
          <w:tcPr>
            <w:tcW w:w="567"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3B7565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trPr>
          <w:trHeight w:val="1020"/>
        </w:trPr>
        <w:tc>
          <w:tcPr>
            <w:tcW w:w="567"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35870AB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2521F4" w14:paraId="37E4EC00" w14:textId="77777777">
        <w:trPr>
          <w:trHeight w:val="1530"/>
        </w:trPr>
        <w:tc>
          <w:tcPr>
            <w:tcW w:w="567"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0977117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微软雅黑"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trPr>
          <w:trHeight w:val="510"/>
        </w:trPr>
        <w:tc>
          <w:tcPr>
            <w:tcW w:w="567"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50A9936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trPr>
          <w:trHeight w:val="285"/>
        </w:trPr>
        <w:tc>
          <w:tcPr>
            <w:tcW w:w="567"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微软雅黑"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tcPr>
          <w:p w14:paraId="28EF847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2521F4" w14:paraId="638C49C1" w14:textId="77777777">
        <w:trPr>
          <w:trHeight w:val="285"/>
        </w:trPr>
        <w:tc>
          <w:tcPr>
            <w:tcW w:w="567"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513B1B1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 of discovery gaps in this release.</w:t>
            </w:r>
          </w:p>
        </w:tc>
      </w:tr>
      <w:tr w:rsidR="002521F4" w14:paraId="7B83E2C7" w14:textId="77777777">
        <w:trPr>
          <w:trHeight w:val="765"/>
        </w:trPr>
        <w:tc>
          <w:tcPr>
            <w:tcW w:w="567"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638B8B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2521F4" w14:paraId="1F6C7C1B" w14:textId="77777777">
        <w:trPr>
          <w:trHeight w:val="1020"/>
        </w:trPr>
        <w:tc>
          <w:tcPr>
            <w:tcW w:w="567"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2521F4" w14:paraId="683927BB"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fix the priority value as 1 of sidelink discovery message in the specification.</w:t>
            </w:r>
          </w:p>
        </w:tc>
      </w:tr>
      <w:tr w:rsidR="002521F4" w14:paraId="57F80305"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2521F4" w14:paraId="0D0FC09D"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2521F4" w14:paraId="77345903"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14:paraId="73C92ED5" w14:textId="77777777" w:rsidR="002521F4" w:rsidRDefault="009B7CB8">
            <w:pPr>
              <w:rPr>
                <w:rFonts w:ascii="Calibri" w:hAnsi="Calibri" w:cs="Calibri"/>
              </w:rPr>
            </w:pPr>
            <w:r>
              <w:rPr>
                <w:rFonts w:ascii="Calibri" w:hAnsi="Calibri" w:cs="Calibri"/>
              </w:rPr>
              <w:t>For mode 2, if agreed that both shared and dedicated resource pools can be configured, downselect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af"/>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0" w:type="dxa"/>
          </w:tcPr>
          <w:p w14:paraId="00C80D15" w14:textId="77777777" w:rsidR="002521F4" w:rsidRDefault="009B7CB8">
            <w:pPr>
              <w:rPr>
                <w:rFonts w:ascii="Calibri" w:hAnsi="Calibri" w:cs="Calibri"/>
                <w:lang w:eastAsia="zh-CN"/>
              </w:rPr>
            </w:pPr>
            <w:r>
              <w:rPr>
                <w:rFonts w:ascii="Calibri" w:hAnsi="Calibri" w:cs="Calibri"/>
                <w:lang w:eastAsia="zh-CN"/>
              </w:rPr>
              <w:t>Applicable agreements (index)</w:t>
            </w:r>
          </w:p>
        </w:tc>
        <w:tc>
          <w:tcPr>
            <w:tcW w:w="4741" w:type="dxa"/>
          </w:tcPr>
          <w:p w14:paraId="15AA988D" w14:textId="77777777" w:rsidR="002521F4" w:rsidRDefault="009B7CB8">
            <w:pPr>
              <w:rPr>
                <w:rFonts w:ascii="Calibri" w:hAnsi="Calibri" w:cs="Calibri"/>
                <w:lang w:eastAsia="zh-CN"/>
              </w:rPr>
            </w:pPr>
            <w:r>
              <w:rPr>
                <w:rFonts w:ascii="Calibri" w:hAnsi="Calibri" w:cs="Calibri"/>
                <w:lang w:eastAsia="zh-CN"/>
              </w:rPr>
              <w:t>Comment</w:t>
            </w:r>
          </w:p>
        </w:tc>
      </w:tr>
      <w:tr w:rsidR="002521F4" w14:paraId="1CAAD207" w14:textId="77777777" w:rsidTr="000367FE">
        <w:tc>
          <w:tcPr>
            <w:tcW w:w="157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pPr>
              <w:rPr>
                <w:rFonts w:ascii="Calibri" w:hAnsi="Calibri" w:cs="Calibri"/>
                <w:lang w:eastAsia="zh-CN"/>
              </w:rPr>
            </w:pPr>
            <w:r>
              <w:rPr>
                <w:rFonts w:ascii="Calibri" w:hAnsi="Calibri" w:cs="Calibri"/>
                <w:lang w:eastAsia="zh-CN"/>
              </w:rPr>
              <w:t>InterDigital</w:t>
            </w:r>
          </w:p>
        </w:tc>
        <w:tc>
          <w:tcPr>
            <w:tcW w:w="1980"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FBC08E" w14:textId="77777777" w:rsidR="002521F4" w:rsidRDefault="002521F4">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A113C8">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uawei,HiSilicon</w:t>
            </w:r>
          </w:p>
        </w:tc>
        <w:tc>
          <w:tcPr>
            <w:tcW w:w="1980" w:type="dxa"/>
          </w:tcPr>
          <w:p w14:paraId="7262ACAC" w14:textId="36AA7954" w:rsidR="00503F97" w:rsidRDefault="00503F97"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A113C8">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0367FE">
            <w:pPr>
              <w:rPr>
                <w:rFonts w:ascii="Calibri" w:hAnsi="Calibri" w:cs="Calibri" w:hint="eastAsia"/>
                <w:lang w:eastAsia="zh-CN"/>
              </w:rPr>
            </w:pPr>
            <w:r>
              <w:rPr>
                <w:rFonts w:ascii="Calibri" w:hAnsi="Calibri" w:cs="Calibri" w:hint="eastAsia"/>
                <w:lang w:eastAsia="zh-CN"/>
              </w:rPr>
              <w:t>Sharp</w:t>
            </w:r>
          </w:p>
        </w:tc>
        <w:tc>
          <w:tcPr>
            <w:tcW w:w="1980" w:type="dxa"/>
          </w:tcPr>
          <w:p w14:paraId="329CC362" w14:textId="3084EC44" w:rsidR="000367FE" w:rsidRDefault="000367FE" w:rsidP="000367FE">
            <w:pPr>
              <w:rPr>
                <w:rFonts w:ascii="Calibri" w:hAnsi="Calibri" w:cs="Calibri" w:hint="eastAsia"/>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0367FE">
            <w:pPr>
              <w:rPr>
                <w:rFonts w:ascii="Calibri" w:hAnsi="Calibri" w:cs="Calibri"/>
                <w:lang w:eastAsia="zh-CN"/>
              </w:rPr>
            </w:pP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Uu RSRP is above a configured minimum threshold by a hysteresis and below a configured maximum threshold by a hysteresis, or</w:t>
            </w:r>
            <w:r>
              <w:rPr>
                <w:rFonts w:ascii="Calibri" w:eastAsia="等线" w:hAnsi="Calibri" w:cs="Calibri"/>
                <w:lang w:val="en-US" w:eastAsia="zh-CN"/>
              </w:rPr>
              <w:br/>
              <w:t>- only minimum threshold is provided and Uu RSRP is above the minimum threshold by a hysteresis, or</w:t>
            </w:r>
            <w:r>
              <w:rPr>
                <w:rFonts w:ascii="Calibri" w:eastAsia="等线" w:hAnsi="Calibri" w:cs="Calibri"/>
                <w:lang w:val="en-US" w:eastAsia="zh-CN"/>
              </w:rPr>
              <w:br/>
              <w:t>- only maximum threshold is provided and Uu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lastRenderedPageBreak/>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Define threshHighRelay and threshLowRelay for relay UE and threshHighRemote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f"/>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r w:rsidR="00503F97" w14:paraId="1DCC57CA" w14:textId="77777777">
        <w:tc>
          <w:tcPr>
            <w:tcW w:w="1555" w:type="dxa"/>
          </w:tcPr>
          <w:p w14:paraId="01ACC7DB" w14:textId="59FEE944"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A113C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A113C8">
            <w:pPr>
              <w:rPr>
                <w:rFonts w:ascii="Calibri" w:hAnsi="Calibri" w:cs="Calibri"/>
                <w:lang w:eastAsia="zh-CN"/>
              </w:rPr>
            </w:pPr>
          </w:p>
        </w:tc>
      </w:tr>
      <w:tr w:rsidR="000367FE" w14:paraId="3283A83B" w14:textId="77777777">
        <w:tc>
          <w:tcPr>
            <w:tcW w:w="1555" w:type="dxa"/>
          </w:tcPr>
          <w:p w14:paraId="5C561097" w14:textId="0ACBF85E" w:rsidR="000367FE" w:rsidRDefault="000367FE" w:rsidP="000367FE">
            <w:pPr>
              <w:rPr>
                <w:rFonts w:ascii="Calibri" w:hAnsi="Calibri" w:cs="Calibri" w:hint="eastAsia"/>
                <w:lang w:eastAsia="zh-CN"/>
              </w:rPr>
            </w:pPr>
            <w:r>
              <w:rPr>
                <w:rFonts w:ascii="Calibri" w:hAnsi="Calibri" w:cs="Calibri" w:hint="eastAsia"/>
                <w:lang w:eastAsia="zh-CN"/>
              </w:rPr>
              <w:t>Sharp</w:t>
            </w:r>
          </w:p>
        </w:tc>
        <w:tc>
          <w:tcPr>
            <w:tcW w:w="1984" w:type="dxa"/>
          </w:tcPr>
          <w:p w14:paraId="6CC755EE" w14:textId="6CBAB78F" w:rsidR="000367FE" w:rsidRDefault="000367FE" w:rsidP="000367FE">
            <w:pPr>
              <w:rPr>
                <w:rFonts w:ascii="Calibri" w:hAnsi="Calibri" w:cs="Calibri" w:hint="eastAsia"/>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0367FE">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f"/>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77777777" w:rsidR="002521F4" w:rsidRDefault="002521F4">
            <w:pPr>
              <w:jc w:val="both"/>
              <w:rPr>
                <w:rFonts w:ascii="Calibri" w:hAnsi="Calibri" w:cs="Calibri"/>
                <w:lang w:eastAsia="zh-CN"/>
              </w:rPr>
            </w:pPr>
          </w:p>
        </w:tc>
        <w:tc>
          <w:tcPr>
            <w:tcW w:w="6741" w:type="dxa"/>
          </w:tcPr>
          <w:p w14:paraId="7BB3DE3B" w14:textId="77777777" w:rsidR="002521F4" w:rsidRDefault="002521F4">
            <w:pPr>
              <w:jc w:val="both"/>
              <w:rPr>
                <w:rFonts w:ascii="Calibri" w:hAnsi="Calibri" w:cs="Calibri"/>
                <w:lang w:eastAsia="zh-CN"/>
              </w:rPr>
            </w:pP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af"/>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lastRenderedPageBreak/>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6E46FCA" w14:textId="13DE28BB" w:rsidR="00503F97" w:rsidRDefault="00503F97"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A113C8">
            <w:pPr>
              <w:rPr>
                <w:rFonts w:ascii="Calibri" w:hAnsi="Calibri" w:cs="Calibri"/>
                <w:lang w:eastAsia="zh-CN"/>
              </w:rPr>
            </w:pPr>
          </w:p>
        </w:tc>
      </w:tr>
      <w:tr w:rsidR="000367FE" w14:paraId="28C340FE" w14:textId="77777777">
        <w:tc>
          <w:tcPr>
            <w:tcW w:w="1555" w:type="dxa"/>
          </w:tcPr>
          <w:p w14:paraId="7891166E" w14:textId="0DB43B6B" w:rsidR="000367FE" w:rsidRDefault="000367FE" w:rsidP="00A113C8">
            <w:pPr>
              <w:rPr>
                <w:rFonts w:ascii="Calibri" w:hAnsi="Calibri" w:cs="Calibri" w:hint="eastAsia"/>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A113C8">
            <w:pPr>
              <w:rPr>
                <w:rFonts w:ascii="Calibri" w:hAnsi="Calibri" w:cs="Calibri" w:hint="eastAsia"/>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A113C8">
            <w:pPr>
              <w:rPr>
                <w:rFonts w:ascii="Calibri" w:hAnsi="Calibri" w:cs="Calibri"/>
                <w:lang w:eastAsia="zh-CN"/>
              </w:rPr>
            </w:pP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f"/>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f"/>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lastRenderedPageBreak/>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hint="eastAsia"/>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hint="eastAsia"/>
                <w:lang w:eastAsia="zh-CN"/>
              </w:rPr>
            </w:pPr>
            <w:r>
              <w:rPr>
                <w:rFonts w:ascii="Calibri" w:hAnsi="Calibri" w:cs="Calibri"/>
                <w:lang w:eastAsia="zh-CN"/>
              </w:rPr>
              <w:t xml:space="preserve">Agree with </w:t>
            </w:r>
            <w:r>
              <w:rPr>
                <w:rFonts w:ascii="Calibri" w:hAnsi="Calibri" w:cs="Calibri"/>
                <w:lang w:eastAsia="zh-CN"/>
              </w:rPr>
              <w:t xml:space="preserve">many companies that range-based </w:t>
            </w:r>
            <w:r w:rsidRPr="000367FE">
              <w:rPr>
                <w:rFonts w:ascii="Calibri" w:hAnsi="Calibri" w:cs="Calibri"/>
                <w:lang w:eastAsia="zh-CN"/>
              </w:rPr>
              <w:t>discovery for non-relay</w:t>
            </w:r>
            <w:bookmarkStart w:id="22" w:name="_GoBack"/>
            <w:bookmarkEnd w:id="22"/>
            <w:r>
              <w:rPr>
                <w:rFonts w:ascii="Calibri" w:hAnsi="Calibri" w:cs="Calibri"/>
                <w:lang w:eastAsia="zh-CN"/>
              </w:rPr>
              <w:t xml:space="preserve"> is not supported in R17</w:t>
            </w:r>
            <w:r>
              <w:rPr>
                <w:rFonts w:ascii="Calibri" w:hAnsi="Calibri" w:cs="Calibri"/>
                <w:lang w:eastAsia="zh-CN"/>
              </w:rPr>
              <w:t>.</w:t>
            </w:r>
          </w:p>
        </w:tc>
      </w:tr>
    </w:tbl>
    <w:p w14:paraId="2586397D" w14:textId="77777777" w:rsidR="002521F4" w:rsidRDefault="002521F4">
      <w:pPr>
        <w:jc w:val="both"/>
        <w:rPr>
          <w:rFonts w:ascii="Calibri" w:hAnsi="Calibri" w:cs="Calibri"/>
          <w:lang w:eastAsia="zh-CN"/>
        </w:rPr>
      </w:pPr>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36D85C74" w14:textId="77777777" w:rsidR="002521F4" w:rsidRDefault="009B7CB8">
      <w:pPr>
        <w:jc w:val="both"/>
        <w:rPr>
          <w:rFonts w:ascii="Calibri" w:hAnsi="Calibri" w:cs="Calibri"/>
          <w:lang w:eastAsia="zh-CN"/>
        </w:rPr>
      </w:pPr>
      <w:r>
        <w:rPr>
          <w:noProof/>
          <w:lang w:val="en-US" w:eastAsia="zh-CN"/>
        </w:rPr>
        <w:lastRenderedPageBreak/>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af"/>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lastRenderedPageBreak/>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C9F02" w14:textId="77777777" w:rsidR="008D2F32" w:rsidRDefault="008D2F32" w:rsidP="00FC35D6">
      <w:pPr>
        <w:spacing w:after="0" w:line="240" w:lineRule="auto"/>
      </w:pPr>
      <w:r>
        <w:separator/>
      </w:r>
    </w:p>
  </w:endnote>
  <w:endnote w:type="continuationSeparator" w:id="0">
    <w:p w14:paraId="2942A7C6" w14:textId="77777777" w:rsidR="008D2F32" w:rsidRDefault="008D2F32"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C9096" w14:textId="77777777" w:rsidR="008D2F32" w:rsidRDefault="008D2F32" w:rsidP="00FC35D6">
      <w:pPr>
        <w:spacing w:after="0" w:line="240" w:lineRule="auto"/>
      </w:pPr>
      <w:r>
        <w:separator/>
      </w:r>
    </w:p>
  </w:footnote>
  <w:footnote w:type="continuationSeparator" w:id="0">
    <w:p w14:paraId="0190F611" w14:textId="77777777" w:rsidR="008D2F32" w:rsidRDefault="008D2F32"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4B62"/>
    <w:rsid w:val="001421FB"/>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61D7F"/>
    <w:rsid w:val="00464183"/>
    <w:rsid w:val="00467D6F"/>
    <w:rsid w:val="00487691"/>
    <w:rsid w:val="004E7A3E"/>
    <w:rsid w:val="0050029A"/>
    <w:rsid w:val="00500C6C"/>
    <w:rsid w:val="00503F97"/>
    <w:rsid w:val="0051202B"/>
    <w:rsid w:val="005250B1"/>
    <w:rsid w:val="005707AD"/>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D2F32"/>
    <w:rsid w:val="008E1963"/>
    <w:rsid w:val="008E36FC"/>
    <w:rsid w:val="00913E40"/>
    <w:rsid w:val="00934331"/>
    <w:rsid w:val="00951658"/>
    <w:rsid w:val="00982341"/>
    <w:rsid w:val="009B1C1A"/>
    <w:rsid w:val="009B7CB8"/>
    <w:rsid w:val="009D01BD"/>
    <w:rsid w:val="009E0CB5"/>
    <w:rsid w:val="009E1E03"/>
    <w:rsid w:val="009E5C79"/>
    <w:rsid w:val="00A003A4"/>
    <w:rsid w:val="00A00808"/>
    <w:rsid w:val="00A113C8"/>
    <w:rsid w:val="00A15EA4"/>
    <w:rsid w:val="00A45159"/>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E1D4D"/>
    <w:rsid w:val="00BE4E37"/>
    <w:rsid w:val="00C33708"/>
    <w:rsid w:val="00C35562"/>
    <w:rsid w:val="00C460C2"/>
    <w:rsid w:val="00CB0EA7"/>
    <w:rsid w:val="00CB557E"/>
    <w:rsid w:val="00CB6ADD"/>
    <w:rsid w:val="00CB7D27"/>
    <w:rsid w:val="00CD1A84"/>
    <w:rsid w:val="00CE1D5D"/>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35D6"/>
    <w:rsid w:val="00FC7805"/>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48E6FB94-5F8B-4266-8095-E1DC6654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hAnsi="Arial"/>
      <w:lang w:eastAsia="zh-CN"/>
    </w:rPr>
  </w:style>
  <w:style w:type="paragraph" w:styleId="31">
    <w:name w:val="toc 3"/>
    <w:basedOn w:val="a"/>
    <w:next w:val="a"/>
    <w:uiPriority w:val="39"/>
    <w:unhideWhenUsed/>
    <w:qFormat/>
    <w:pPr>
      <w:ind w:leftChars="400" w:left="840"/>
    </w:pPr>
  </w:style>
  <w:style w:type="paragraph" w:styleId="a7">
    <w:name w:val="Balloon Text"/>
    <w:basedOn w:val="a"/>
    <w:link w:val="a8"/>
    <w:uiPriority w:val="99"/>
    <w:semiHidden/>
    <w:unhideWhenUsed/>
    <w:pPr>
      <w:spacing w:after="0"/>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next w:val="a"/>
    <w:link w:val="12"/>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21">
    <w:name w:val="toc 2"/>
    <w:basedOn w:val="a"/>
    <w:next w:val="a"/>
    <w:uiPriority w:val="39"/>
    <w:unhideWhenUsed/>
    <w:qFormat/>
    <w:pPr>
      <w:ind w:leftChars="200" w:left="420"/>
    </w:pPr>
  </w:style>
  <w:style w:type="paragraph" w:styleId="ad">
    <w:name w:val="annotation subject"/>
    <w:basedOn w:val="a3"/>
    <w:next w:val="a3"/>
    <w:link w:val="ae"/>
    <w:uiPriority w:val="99"/>
    <w:semiHidden/>
    <w:unhideWhenUsed/>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ja-JP"/>
    </w:rPr>
  </w:style>
  <w:style w:type="character" w:customStyle="1" w:styleId="20">
    <w:name w:val="标题 2 字符"/>
    <w:basedOn w:val="a0"/>
    <w:link w:val="2"/>
    <w:rPr>
      <w:rFonts w:ascii="Arial" w:eastAsia="宋体" w:hAnsi="Arial" w:cs="Times New Roman"/>
      <w:kern w:val="0"/>
      <w:sz w:val="32"/>
      <w:szCs w:val="20"/>
      <w:lang w:val="en-GB" w:eastAsia="ja-JP"/>
    </w:rPr>
  </w:style>
  <w:style w:type="character" w:customStyle="1" w:styleId="a6">
    <w:name w:val="正文文本 字符"/>
    <w:basedOn w:val="a0"/>
    <w:link w:val="a5"/>
    <w:qFormat/>
    <w:rPr>
      <w:rFonts w:ascii="Arial" w:eastAsia="宋体"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f2">
    <w:name w:val="List Paragraph"/>
    <w:basedOn w:val="a"/>
    <w:link w:val="af3"/>
    <w:uiPriority w:val="34"/>
    <w:qFormat/>
    <w:pPr>
      <w:ind w:firstLineChars="200" w:firstLine="420"/>
    </w:pPr>
  </w:style>
  <w:style w:type="character" w:customStyle="1" w:styleId="30">
    <w:name w:val="标题 3 字符"/>
    <w:basedOn w:val="a0"/>
    <w:link w:val="3"/>
    <w:uiPriority w:val="9"/>
    <w:qFormat/>
    <w:rPr>
      <w:rFonts w:ascii="Times New Roman" w:eastAsia="宋体" w:hAnsi="Times New Roman" w:cs="Times New Roman"/>
      <w:b/>
      <w:bCs/>
      <w:kern w:val="0"/>
      <w:sz w:val="32"/>
      <w:szCs w:val="32"/>
      <w:lang w:val="en-GB" w:eastAsia="ja-JP"/>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1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2">
    <w:name w:val="目录 1 字符"/>
    <w:basedOn w:val="a0"/>
    <w:link w:val="11"/>
    <w:uiPriority w:val="39"/>
    <w:qFormat/>
    <w:rPr>
      <w:rFonts w:ascii="Arial" w:eastAsia="Calibri" w:hAnsi="Arial" w:cs="Times New Roman"/>
      <w:b/>
      <w:kern w:val="0"/>
      <w:sz w:val="20"/>
    </w:rPr>
  </w:style>
  <w:style w:type="character" w:customStyle="1" w:styleId="Proposal0">
    <w:name w:val="Proposal 字符"/>
    <w:basedOn w:val="12"/>
    <w:link w:val="Proposal"/>
    <w:qFormat/>
    <w:rPr>
      <w:rFonts w:ascii="Calibri" w:eastAsia="等线" w:hAnsi="Calibri" w:cs="Calibri"/>
      <w:b/>
      <w:kern w:val="0"/>
      <w:sz w:val="20"/>
    </w:rPr>
  </w:style>
  <w:style w:type="paragraph" w:customStyle="1" w:styleId="ObservationStyle">
    <w:name w:val="ObservationStyle"/>
    <w:basedOn w:val="af2"/>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af3">
    <w:name w:val="列出段落 字符"/>
    <w:basedOn w:val="a0"/>
    <w:link w:val="af2"/>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af3"/>
    <w:link w:val="ObservationStyle"/>
    <w:qFormat/>
    <w:rPr>
      <w:rFonts w:ascii="Calibri" w:eastAsia="Calibri" w:hAnsi="Calibri" w:cs="Calibri"/>
      <w:b/>
      <w:kern w:val="0"/>
      <w:sz w:val="20"/>
      <w:szCs w:val="20"/>
      <w:lang w:val="en-GB" w:eastAsia="ja-JP"/>
    </w:rPr>
  </w:style>
  <w:style w:type="character" w:customStyle="1" w:styleId="ac">
    <w:name w:val="页眉 字符"/>
    <w:basedOn w:val="a0"/>
    <w:link w:val="ab"/>
    <w:uiPriority w:val="99"/>
    <w:qFormat/>
    <w:rPr>
      <w:rFonts w:ascii="Times New Roman" w:eastAsia="宋体" w:hAnsi="Times New Roman" w:cs="Times New Roman"/>
      <w:kern w:val="0"/>
      <w:sz w:val="18"/>
      <w:szCs w:val="18"/>
      <w:lang w:val="en-GB" w:eastAsia="ja-JP"/>
    </w:rPr>
  </w:style>
  <w:style w:type="character" w:customStyle="1" w:styleId="aa">
    <w:name w:val="页脚 字符"/>
    <w:basedOn w:val="a0"/>
    <w:link w:val="a9"/>
    <w:uiPriority w:val="99"/>
    <w:qFormat/>
    <w:rPr>
      <w:rFonts w:ascii="Times New Roman" w:eastAsia="宋体" w:hAnsi="Times New Roman" w:cs="Times New Roman"/>
      <w:kern w:val="0"/>
      <w:sz w:val="18"/>
      <w:szCs w:val="18"/>
      <w:lang w:val="en-GB" w:eastAsia="ja-JP"/>
    </w:rPr>
  </w:style>
  <w:style w:type="character" w:customStyle="1" w:styleId="a4">
    <w:name w:val="批注文字 字符"/>
    <w:basedOn w:val="a0"/>
    <w:link w:val="a3"/>
    <w:uiPriority w:val="99"/>
    <w:semiHidden/>
    <w:rPr>
      <w:rFonts w:ascii="Times New Roman" w:eastAsia="宋体" w:hAnsi="Times New Roman" w:cs="Times New Roman"/>
      <w:kern w:val="0"/>
      <w:sz w:val="20"/>
      <w:szCs w:val="20"/>
      <w:lang w:val="en-GB" w:eastAsia="ja-JP"/>
    </w:rPr>
  </w:style>
  <w:style w:type="character" w:customStyle="1" w:styleId="ae">
    <w:name w:val="批注主题 字符"/>
    <w:basedOn w:val="a4"/>
    <w:link w:val="ad"/>
    <w:uiPriority w:val="99"/>
    <w:semiHidden/>
    <w:qFormat/>
    <w:rPr>
      <w:rFonts w:ascii="Times New Roman" w:eastAsia="宋体" w:hAnsi="Times New Roman" w:cs="Times New Roman"/>
      <w:b/>
      <w:bCs/>
      <w:kern w:val="0"/>
      <w:sz w:val="20"/>
      <w:szCs w:val="20"/>
      <w:lang w:val="en-GB" w:eastAsia="ja-JP"/>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74BDC-261C-44B5-84FE-69AACF87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Sharp - LIU Lei</cp:lastModifiedBy>
  <cp:revision>2</cp:revision>
  <dcterms:created xsi:type="dcterms:W3CDTF">2021-11-04T02:20:00Z</dcterms:created>
  <dcterms:modified xsi:type="dcterms:W3CDTF">2021-11-04T02:20:00Z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