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r>
        <w:t>eMeeting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t>InterDigital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[AT116-e][101][NTN]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1"/>
      </w:pPr>
      <w:r>
        <w:t>Introduction</w:t>
      </w:r>
    </w:p>
    <w:p w14:paraId="73A27B5D" w14:textId="77777777" w:rsidR="00F96BFB" w:rsidRDefault="0047532A">
      <w:r>
        <w:t>This document is a intended to continue discussion on the following aspects:</w:t>
      </w:r>
    </w:p>
    <w:p w14:paraId="3B63A4D5" w14:textId="77777777" w:rsidR="00F96BFB" w:rsidRDefault="0047532A">
      <w:pPr>
        <w:pStyle w:val="EmailDiscussion"/>
        <w:tabs>
          <w:tab w:val="left" w:pos="1619"/>
        </w:tabs>
        <w:spacing w:after="0" w:line="240" w:lineRule="auto"/>
      </w:pPr>
      <w:r>
        <w:t>[AT116-e][101][NTN] Other MAC aspects (InterDigital)</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af3"/>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af3"/>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af3"/>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af0"/>
            <w:rFonts w:cs="Arial"/>
          </w:rPr>
          <w:t>R2-2111339</w:t>
        </w:r>
      </w:hyperlink>
      <w:r>
        <w:rPr>
          <w:rFonts w:cs="Arial"/>
        </w:rPr>
        <w:t xml:space="preserve"> for relevant background.</w:t>
      </w:r>
    </w:p>
    <w:p w14:paraId="64324D5A" w14:textId="77777777" w:rsidR="00F96BFB" w:rsidRDefault="0047532A">
      <w:pPr>
        <w:pStyle w:val="1"/>
      </w:pPr>
      <w:r>
        <w:t>Discussion</w:t>
      </w:r>
    </w:p>
    <w:p w14:paraId="78CE731F" w14:textId="77777777" w:rsidR="00F96BFB" w:rsidRDefault="0047532A">
      <w:pPr>
        <w:pStyle w:val="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af3"/>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af3"/>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A;</w:t>
      </w:r>
    </w:p>
    <w:p w14:paraId="173F4C8E"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B;</w:t>
      </w:r>
    </w:p>
    <w:p w14:paraId="7268AD8A" w14:textId="77777777" w:rsidR="00F96BFB" w:rsidRDefault="0047532A">
      <w:pPr>
        <w:pStyle w:val="af3"/>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eastAsia="ko-KR"/>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Do you agree to the following proposal?:</w:t>
      </w:r>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A;</w:t>
      </w:r>
    </w:p>
    <w:p w14:paraId="57A9A5E2"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B;</w:t>
      </w:r>
    </w:p>
    <w:p w14:paraId="224DAC77" w14:textId="77777777" w:rsidR="00F96BFB" w:rsidRDefault="0047532A">
      <w:pPr>
        <w:pStyle w:val="af3"/>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a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r>
              <w:rPr>
                <w:rFonts w:eastAsiaTheme="minorEastAsia" w:hint="eastAsia"/>
              </w:rPr>
              <w:t>S</w:t>
            </w:r>
            <w:r>
              <w:rPr>
                <w:rFonts w:eastAsiaTheme="minorEastAsia"/>
              </w:rPr>
              <w:t>preadtrum</w:t>
            </w:r>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uplinkHARQ-DRX-LCO-Mode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For the right figure, our understanding is that: if uplinkHARQ-DRX-LCP_Mode=r17 is NOT configured, the LCH mapping restriction allowedHARQ-DRX-LCPmode</w:t>
            </w:r>
            <w:r>
              <w:rPr>
                <w:rFonts w:eastAsiaTheme="minorEastAsia"/>
              </w:rPr>
              <w:t xml:space="preserve"> should not be configured (i.e. ModeA and ModeB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맑은 고딕" w:hint="eastAsia"/>
                <w:lang w:eastAsia="ko-KR"/>
              </w:rPr>
            </w:pPr>
            <w:r>
              <w:rPr>
                <w:rFonts w:eastAsia="맑은 고딕" w:hint="eastAsia"/>
                <w:lang w:eastAsia="ko-KR"/>
              </w:rPr>
              <w:t>ITL</w:t>
            </w:r>
          </w:p>
        </w:tc>
        <w:tc>
          <w:tcPr>
            <w:tcW w:w="1739" w:type="dxa"/>
          </w:tcPr>
          <w:p w14:paraId="11CEC821" w14:textId="07AE2DE6" w:rsidR="00084B4B" w:rsidRPr="00084B4B" w:rsidRDefault="00084B4B" w:rsidP="00C20D7D">
            <w:pPr>
              <w:rPr>
                <w:rFonts w:eastAsia="맑은 고딕" w:hint="eastAsia"/>
                <w:lang w:eastAsia="ko-KR"/>
              </w:rPr>
            </w:pPr>
            <w:r>
              <w:rPr>
                <w:rFonts w:eastAsia="맑은 고딕" w:hint="eastAsia"/>
                <w:lang w:eastAsia="ko-KR"/>
              </w:rPr>
              <w:t>Agree</w:t>
            </w:r>
          </w:p>
        </w:tc>
        <w:tc>
          <w:tcPr>
            <w:tcW w:w="6480" w:type="dxa"/>
          </w:tcPr>
          <w:p w14:paraId="44E04A78" w14:textId="77777777" w:rsidR="00084B4B" w:rsidRPr="00E757CC" w:rsidRDefault="00084B4B" w:rsidP="00C20D7D">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2"/>
      </w:pPr>
      <w:r>
        <w:t>P10/P11/P13</w:t>
      </w:r>
    </w:p>
    <w:p w14:paraId="7B111E9E" w14:textId="77777777" w:rsidR="00F96BFB" w:rsidRDefault="0047532A">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Do you agree to the following proposal?:</w:t>
      </w:r>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r>
        <w:rPr>
          <w:b/>
          <w:bCs/>
          <w:i/>
          <w:iCs/>
        </w:rPr>
        <w:t>downlinkHARQ-FeedbackDisabled,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bookmarkStart w:id="0" w:name="_GoBack"/>
            <w:bookmarkEnd w:id="0"/>
          </w:p>
          <w:p w14:paraId="5009717C" w14:textId="77777777" w:rsidR="00F96BFB" w:rsidRDefault="0047532A">
            <w:pPr>
              <w:rPr>
                <w:rFonts w:eastAsiaTheme="minorEastAsia"/>
              </w:rPr>
            </w:pPr>
            <w:r>
              <w:rPr>
                <w:rFonts w:eastAsiaTheme="minorEastAsia"/>
              </w:rPr>
              <w:t xml:space="preserve">What’s worse, the HARQ state reconfiguration will affect the ongoning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Agree with Huawei, HiSilicon</w:t>
            </w:r>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At least it has to be clarified how network implementation guarantees it 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lastRenderedPageBreak/>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r>
              <w:rPr>
                <w:rFonts w:eastAsiaTheme="minorEastAsia" w:hint="eastAsia"/>
              </w:rPr>
              <w:t>S</w:t>
            </w:r>
            <w:r>
              <w:rPr>
                <w:rFonts w:eastAsiaTheme="minorEastAsia"/>
              </w:rPr>
              <w:t>preadtrum</w:t>
            </w:r>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Similar to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맑은 고딕" w:hint="eastAsia"/>
                <w:lang w:eastAsia="ko-KR"/>
              </w:rPr>
            </w:pPr>
            <w:r>
              <w:rPr>
                <w:rFonts w:eastAsia="맑은 고딕" w:hint="eastAsia"/>
                <w:lang w:eastAsia="ko-KR"/>
              </w:rPr>
              <w:t>ITL</w:t>
            </w:r>
          </w:p>
        </w:tc>
        <w:tc>
          <w:tcPr>
            <w:tcW w:w="1739" w:type="dxa"/>
          </w:tcPr>
          <w:p w14:paraId="2033D935" w14:textId="673D81CB" w:rsidR="003E471B" w:rsidRPr="003E471B" w:rsidRDefault="003E471B" w:rsidP="00BD10CD">
            <w:pPr>
              <w:rPr>
                <w:rFonts w:eastAsia="맑은 고딕" w:hint="eastAsia"/>
                <w:lang w:eastAsia="ko-KR"/>
              </w:rPr>
            </w:pPr>
            <w:r>
              <w:rPr>
                <w:rFonts w:eastAsia="맑은 고딕" w:hint="eastAsia"/>
                <w:lang w:eastAsia="ko-KR"/>
              </w:rPr>
              <w:t>Disagree</w:t>
            </w:r>
          </w:p>
        </w:tc>
        <w:tc>
          <w:tcPr>
            <w:tcW w:w="6480" w:type="dxa"/>
          </w:tcPr>
          <w:p w14:paraId="4BB180D9" w14:textId="77777777" w:rsidR="003E471B" w:rsidRDefault="003E471B" w:rsidP="00BD10CD">
            <w:pPr>
              <w:rPr>
                <w:rFonts w:eastAsia="맑은 고딕"/>
                <w:lang w:eastAsia="ko-KR"/>
              </w:rPr>
            </w:pPr>
            <w:r>
              <w:rPr>
                <w:rFonts w:eastAsia="맑은 고딕" w:hint="eastAsia"/>
                <w:lang w:eastAsia="ko-KR"/>
              </w:rPr>
              <w:t xml:space="preserve">Agree with </w:t>
            </w:r>
            <w:r>
              <w:rPr>
                <w:rFonts w:eastAsiaTheme="minorEastAsia"/>
              </w:rPr>
              <w:t>Huawei</w:t>
            </w:r>
            <w:r>
              <w:rPr>
                <w:rFonts w:eastAsia="맑은 고딕" w:hint="eastAsia"/>
                <w:lang w:eastAsia="ko-KR"/>
              </w:rPr>
              <w:t>.</w:t>
            </w:r>
          </w:p>
          <w:p w14:paraId="002083ED" w14:textId="3E495A76" w:rsidR="003E471B" w:rsidRPr="003E471B" w:rsidRDefault="003E471B" w:rsidP="00F714F9">
            <w:pPr>
              <w:rPr>
                <w:rFonts w:eastAsia="맑은 고딕" w:hint="eastAsia"/>
                <w:lang w:eastAsia="ko-KR"/>
              </w:rPr>
            </w:pPr>
            <w:r w:rsidRPr="003E471B">
              <w:rPr>
                <w:rFonts w:eastAsia="맑은 고딕"/>
                <w:lang w:eastAsia="ko-KR"/>
              </w:rPr>
              <w:t>And, we also support NW implementation not force to guarantee same value for each HARQ process used in an SPS configuration</w:t>
            </w:r>
            <w:r>
              <w:rPr>
                <w:rFonts w:eastAsia="맑은 고딕"/>
                <w:lang w:eastAsia="ko-KR"/>
              </w:rPr>
              <w:t xml:space="preserve">. </w:t>
            </w:r>
            <w:r w:rsidR="00F714F9" w:rsidRPr="00F714F9">
              <w:rPr>
                <w:rFonts w:eastAsia="맑은 고딕"/>
                <w:lang w:eastAsia="ko-KR"/>
              </w:rPr>
              <w:t>(i.e., NW flexibly allocate HARQ process to an SPS, either one of HARQ mode or both of them)</w:t>
            </w: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Do you agree to the following proposal?:</w:t>
      </w:r>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r>
              <w:rPr>
                <w:rFonts w:eastAsiaTheme="minorEastAsia" w:hint="eastAsia"/>
              </w:rPr>
              <w:t>S</w:t>
            </w:r>
            <w:r>
              <w:rPr>
                <w:rFonts w:eastAsiaTheme="minorEastAsia"/>
              </w:rPr>
              <w:t>preadtrum</w:t>
            </w:r>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lastRenderedPageBreak/>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맑은 고딕" w:hint="eastAsia"/>
                <w:lang w:eastAsia="ko-KR"/>
              </w:rPr>
            </w:pPr>
            <w:r>
              <w:rPr>
                <w:rFonts w:eastAsia="맑은 고딕" w:hint="eastAsia"/>
                <w:lang w:eastAsia="ko-KR"/>
              </w:rPr>
              <w:t>ITL</w:t>
            </w:r>
          </w:p>
        </w:tc>
        <w:tc>
          <w:tcPr>
            <w:tcW w:w="1739" w:type="dxa"/>
          </w:tcPr>
          <w:p w14:paraId="66CC2C78" w14:textId="63A49A1B" w:rsidR="00643D8F" w:rsidRPr="00643D8F" w:rsidRDefault="00643D8F" w:rsidP="00C2142A">
            <w:pPr>
              <w:rPr>
                <w:rFonts w:eastAsia="맑은 고딕" w:hint="eastAsia"/>
                <w:lang w:eastAsia="ko-KR"/>
              </w:rPr>
            </w:pPr>
            <w:r>
              <w:rPr>
                <w:rFonts w:eastAsia="맑은 고딕" w:hint="eastAsia"/>
                <w:lang w:eastAsia="ko-KR"/>
              </w:rPr>
              <w:t>Disagree</w:t>
            </w:r>
          </w:p>
        </w:tc>
        <w:tc>
          <w:tcPr>
            <w:tcW w:w="6480" w:type="dxa"/>
          </w:tcPr>
          <w:p w14:paraId="41D2DC4C" w14:textId="43BD81F6" w:rsidR="00643D8F" w:rsidRPr="00625FDA" w:rsidRDefault="00625FDA" w:rsidP="00C2142A">
            <w:pPr>
              <w:rPr>
                <w:rFonts w:eastAsia="맑은 고딕" w:hint="eastAsia"/>
                <w:lang w:val="en-US" w:eastAsia="ko-KR"/>
              </w:rPr>
            </w:pPr>
            <w:r>
              <w:rPr>
                <w:rFonts w:eastAsia="맑은 고딕" w:hint="eastAsia"/>
                <w:lang w:val="en-US" w:eastAsia="ko-KR"/>
              </w:rPr>
              <w:t>See our respone in Q2.</w:t>
            </w:r>
          </w:p>
        </w:tc>
      </w:tr>
    </w:tbl>
    <w:p w14:paraId="4682042C" w14:textId="77777777" w:rsidR="00F96BFB" w:rsidRDefault="00F96BFB">
      <w:pPr>
        <w:rPr>
          <w:b/>
          <w:bCs/>
        </w:rPr>
      </w:pPr>
    </w:p>
    <w:p w14:paraId="04E6F2B7" w14:textId="77777777" w:rsidR="00F96BFB" w:rsidRDefault="0047532A">
      <w:pPr>
        <w:pStyle w:val="2"/>
      </w:pPr>
      <w:r>
        <w:t>P16</w:t>
      </w:r>
    </w:p>
    <w:p w14:paraId="2AFA0B15" w14:textId="77777777" w:rsidR="00F96BFB" w:rsidRDefault="0047532A">
      <w:r>
        <w:t>In Phase 1 it was discussed whether to link the HARQ mode configuration with CG timer configuration (i.e. require the CGT setting / CGT not configured to match the HARQ mode uplinkHARQ-DRX-LCP-Mode-r17 of each HARQ process that belongs to the CG-config). For example:</w:t>
      </w:r>
    </w:p>
    <w:p w14:paraId="5587EBBC" w14:textId="77777777" w:rsidR="00F96BFB" w:rsidRDefault="0047532A">
      <w:pPr>
        <w:pStyle w:val="af3"/>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5A6B7399" w14:textId="77777777" w:rsidR="00F96BFB" w:rsidRDefault="0047532A">
      <w:pPr>
        <w:pStyle w:val="af3"/>
        <w:numPr>
          <w:ilvl w:val="0"/>
          <w:numId w:val="13"/>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r>
        <w:rPr>
          <w:i/>
          <w:iCs/>
        </w:rPr>
        <w:t>configuredGrantTimer</w:t>
      </w:r>
      <w:r>
        <w:t> needs to be used for 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r>
        <w:rPr>
          <w:b/>
          <w:i/>
          <w:iCs/>
          <w:lang w:eastAsia="sv-SE"/>
        </w:rPr>
        <w:t xml:space="preserve">configuredGrantTimer </w:t>
      </w:r>
      <w:r>
        <w:rPr>
          <w:b/>
          <w:lang w:eastAsia="sv-SE"/>
        </w:rPr>
        <w:t xml:space="preserve"> is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If network guarantees that multiple CG configurations never have to re-use the same HARQ process ID, network can set any proper value of CG timer. Otherwise, not for the same reason Rapportuer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r>
              <w:rPr>
                <w:rFonts w:eastAsiaTheme="minorEastAsia"/>
              </w:rPr>
              <w:t>Spreadtrum</w:t>
            </w:r>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lastRenderedPageBreak/>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맑은 고딕" w:hint="eastAsia"/>
                <w:lang w:eastAsia="ko-KR"/>
              </w:rPr>
            </w:pPr>
            <w:r>
              <w:rPr>
                <w:rFonts w:eastAsia="맑은 고딕" w:hint="eastAsia"/>
                <w:lang w:eastAsia="ko-KR"/>
              </w:rPr>
              <w:t>ITL</w:t>
            </w:r>
          </w:p>
        </w:tc>
        <w:tc>
          <w:tcPr>
            <w:tcW w:w="1739" w:type="dxa"/>
          </w:tcPr>
          <w:p w14:paraId="19A792B8" w14:textId="3DB16E5C" w:rsidR="00E338E8" w:rsidRPr="00675EDA" w:rsidRDefault="00675EDA" w:rsidP="00660608">
            <w:pPr>
              <w:rPr>
                <w:rFonts w:eastAsia="맑은 고딕" w:hint="eastAsia"/>
                <w:lang w:eastAsia="ko-KR"/>
              </w:rPr>
            </w:pPr>
            <w:r>
              <w:rPr>
                <w:rFonts w:eastAsia="맑은 고딕" w:hint="eastAsia"/>
                <w:lang w:eastAsia="ko-KR"/>
              </w:rPr>
              <w:t>Agree</w:t>
            </w:r>
          </w:p>
        </w:tc>
        <w:tc>
          <w:tcPr>
            <w:tcW w:w="6480" w:type="dxa"/>
          </w:tcPr>
          <w:p w14:paraId="4CB453D7" w14:textId="77777777" w:rsidR="00E338E8" w:rsidRDefault="00E338E8" w:rsidP="00660608">
            <w:pPr>
              <w:rPr>
                <w:rFonts w:eastAsia="DengXian"/>
              </w:rPr>
            </w:pPr>
          </w:p>
        </w:tc>
      </w:tr>
    </w:tbl>
    <w:p w14:paraId="3B19ECF9" w14:textId="77777777" w:rsidR="00F96BFB" w:rsidRDefault="00F96BFB"/>
    <w:p w14:paraId="6CA4F235" w14:textId="77777777" w:rsidR="00F96BFB" w:rsidRDefault="0047532A">
      <w:pPr>
        <w:pStyle w:val="2"/>
        <w:rPr>
          <w:lang w:val="fr-FR"/>
        </w:rPr>
      </w:pPr>
      <w:r>
        <w:rPr>
          <w:lang w:val="fr-FR"/>
        </w:rPr>
        <w:t>Other proposals</w:t>
      </w:r>
    </w:p>
    <w:p w14:paraId="0EECCEB9" w14:textId="77777777" w:rsidR="00F96BFB" w:rsidRDefault="0047532A">
      <w:pPr>
        <w:pStyle w:val="3"/>
        <w:rPr>
          <w:lang w:val="fr-FR"/>
        </w:rPr>
      </w:pPr>
      <w:r>
        <w:rPr>
          <w:lang w:val="fr-FR"/>
        </w:rPr>
        <w:t>SR-Prohibit Timer</w:t>
      </w:r>
    </w:p>
    <w:p w14:paraId="2DC33F3D" w14:textId="77777777" w:rsidR="00F96BFB" w:rsidRDefault="0047532A">
      <w:pPr>
        <w:rPr>
          <w:lang w:val="en-US"/>
        </w:rPr>
      </w:pPr>
      <w:r>
        <w:rPr>
          <w:lang w:val="en-US"/>
        </w:rPr>
        <w:t xml:space="preserve">So far in RAN2#116e, the following has been agreed regarding extension of the </w:t>
      </w:r>
      <w:r>
        <w:rPr>
          <w:i/>
          <w:iCs/>
          <w:lang w:val="en-US"/>
        </w:rPr>
        <w:t>sr-ProhibitTimer</w:t>
      </w:r>
      <w:r>
        <w:rPr>
          <w:lang w:val="en-US"/>
        </w:rPr>
        <w:t xml:space="preserve"> in NTN:</w:t>
      </w:r>
    </w:p>
    <w:p w14:paraId="365DCB32"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The extended values for sr-ProhibitTimer in NTN can include values less than UE-gNB RTT (as in legacy). FFS on the actual values and how this is extended</w:t>
      </w:r>
    </w:p>
    <w:p w14:paraId="4749144E" w14:textId="77777777" w:rsidR="00F96BFB" w:rsidRDefault="0047532A">
      <w:pPr>
        <w:pStyle w:val="af3"/>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IE</w:t>
      </w:r>
      <w:r>
        <w:rPr>
          <w:b/>
          <w:lang w:eastAsia="sv-SE"/>
        </w:rPr>
        <w:t xml:space="preserve"> ?</w:t>
      </w:r>
    </w:p>
    <w:tbl>
      <w:tblPr>
        <w:tblStyle w:val="a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r>
              <w:t>sr-ProhibitTimer</w:t>
            </w:r>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To support max legacy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Note: As can be seen above, the resulting values look quite arbitrary, this is why it would have made much more sense to extend the legacy sr-ProhibitTimer by UE-gNB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8219" w:type="dxa"/>
          </w:tcPr>
          <w:p w14:paraId="52D2541D" w14:textId="77777777" w:rsidR="00F96BFB" w:rsidRDefault="0047532A">
            <w:pPr>
              <w:rPr>
                <w:rFonts w:eastAsiaTheme="minorEastAsia"/>
              </w:rPr>
            </w:pPr>
            <w:r>
              <w:rPr>
                <w:rFonts w:eastAsiaTheme="minorEastAsia"/>
              </w:rPr>
              <w:t>We think the exact values need some some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r>
              <w:rPr>
                <w:rFonts w:eastAsiaTheme="minorEastAsia" w:hint="eastAsia"/>
              </w:rPr>
              <w:t>S</w:t>
            </w:r>
            <w:r>
              <w:rPr>
                <w:rFonts w:eastAsiaTheme="minorEastAsia"/>
              </w:rPr>
              <w:t>preadtrum</w:t>
            </w:r>
          </w:p>
        </w:tc>
        <w:tc>
          <w:tcPr>
            <w:tcW w:w="8219" w:type="dxa"/>
          </w:tcPr>
          <w:p w14:paraId="28F67FD5" w14:textId="77777777" w:rsidR="00F96BFB" w:rsidRDefault="0047532A">
            <w:pPr>
              <w:rPr>
                <w:rFonts w:eastAsiaTheme="minorEastAsia"/>
              </w:rPr>
            </w:pPr>
            <w:r>
              <w:rPr>
                <w:rFonts w:eastAsiaTheme="minorEastAsia"/>
              </w:rPr>
              <w:t>The value shall be didcussed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F96BFB" w14:paraId="14375781" w14:textId="77777777">
        <w:tc>
          <w:tcPr>
            <w:tcW w:w="1496" w:type="dxa"/>
          </w:tcPr>
          <w:p w14:paraId="1DF578C7" w14:textId="77777777" w:rsidR="00F96BFB" w:rsidRDefault="00F96BFB">
            <w:pPr>
              <w:rPr>
                <w:rFonts w:eastAsia="DengXian"/>
              </w:rPr>
            </w:pPr>
          </w:p>
        </w:tc>
        <w:tc>
          <w:tcPr>
            <w:tcW w:w="8219" w:type="dxa"/>
          </w:tcPr>
          <w:p w14:paraId="6D27355E" w14:textId="77777777" w:rsidR="00F96BFB" w:rsidRDefault="00F96BFB">
            <w:pPr>
              <w:rPr>
                <w:rFonts w:eastAsia="DengXian"/>
              </w:rPr>
            </w:pPr>
          </w:p>
        </w:tc>
      </w:tr>
    </w:tbl>
    <w:p w14:paraId="2A24A92F" w14:textId="77777777" w:rsidR="00F96BFB" w:rsidRDefault="00F96BFB">
      <w:pPr>
        <w:rPr>
          <w:lang w:val="en-US"/>
        </w:rPr>
      </w:pPr>
    </w:p>
    <w:p w14:paraId="5B7B4830" w14:textId="77777777" w:rsidR="00F96BFB" w:rsidRDefault="0047532A">
      <w:pPr>
        <w:pStyle w:val="3"/>
        <w:rPr>
          <w:lang w:val="fr-FR"/>
        </w:rPr>
      </w:pPr>
      <w:r>
        <w:rPr>
          <w:lang w:val="fr-FR"/>
        </w:rPr>
        <w:lastRenderedPageBreak/>
        <w:t>RRC details</w:t>
      </w:r>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af3"/>
        <w:numPr>
          <w:ilvl w:val="0"/>
          <w:numId w:val="15"/>
        </w:numPr>
        <w:rPr>
          <w:rFonts w:ascii="Arial" w:hAnsi="Arial" w:cs="Arial"/>
          <w:i/>
          <w:iCs/>
          <w:sz w:val="20"/>
          <w:szCs w:val="20"/>
          <w:lang w:val="en-GB"/>
        </w:rPr>
      </w:pPr>
      <w:r>
        <w:rPr>
          <w:rFonts w:ascii="Arial" w:hAnsi="Arial" w:cs="Arial"/>
          <w:i/>
          <w:iCs/>
          <w:sz w:val="20"/>
          <w:szCs w:val="20"/>
        </w:rPr>
        <w:t>uplinkHARQ-DRX-Mode shall be included in PUSCH-ServingCellConfig.</w:t>
      </w:r>
    </w:p>
    <w:p w14:paraId="09574883" w14:textId="77777777" w:rsidR="00F96BFB" w:rsidRDefault="0047532A">
      <w:pPr>
        <w:rPr>
          <w:lang w:val="en-US"/>
        </w:rPr>
      </w:pPr>
      <w:r>
        <w:rPr>
          <w:lang w:val="en-US"/>
        </w:rPr>
        <w:t xml:space="preserve">Several companies also suggested revised placement for parameter </w:t>
      </w:r>
      <w:r>
        <w:rPr>
          <w:i/>
          <w:iCs/>
        </w:rPr>
        <w:t>downlinkHARQ-FeedbackDisabled</w:t>
      </w:r>
      <w:r>
        <w:t>. In light of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Do you agree to the following proposal?:</w:t>
      </w:r>
    </w:p>
    <w:p w14:paraId="3EA617A9" w14:textId="77777777" w:rsidR="00F96BFB" w:rsidRDefault="0047532A">
      <w:pPr>
        <w:ind w:left="576"/>
        <w:rPr>
          <w:b/>
          <w:bCs/>
          <w:i/>
          <w:iCs/>
        </w:rPr>
      </w:pPr>
      <w:r>
        <w:rPr>
          <w:b/>
          <w:bCs/>
        </w:rPr>
        <w:t>“</w:t>
      </w:r>
      <w:r>
        <w:rPr>
          <w:b/>
          <w:bCs/>
          <w:i/>
          <w:iCs/>
          <w:color w:val="000000"/>
        </w:rPr>
        <w:t>downlinkHARQ-FeedbackDisabled shall be included in PDSCH-ServingCellConfig."</w:t>
      </w:r>
    </w:p>
    <w:tbl>
      <w:tblPr>
        <w:tblStyle w:val="a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For now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r>
              <w:rPr>
                <w:rFonts w:eastAsiaTheme="minorEastAsia" w:hint="eastAsia"/>
              </w:rPr>
              <w:t>S</w:t>
            </w:r>
            <w:r>
              <w:rPr>
                <w:rFonts w:eastAsiaTheme="minorEastAsia"/>
              </w:rPr>
              <w:t>preadtrum</w:t>
            </w:r>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As similar as the agreement we has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맑은 고딕" w:hint="eastAsia"/>
                <w:lang w:val="en-US" w:eastAsia="ko-KR"/>
              </w:rPr>
            </w:pPr>
            <w:r>
              <w:rPr>
                <w:rFonts w:eastAsia="맑은 고딕" w:hint="eastAsia"/>
                <w:lang w:val="en-US" w:eastAsia="ko-KR"/>
              </w:rPr>
              <w:t>ITL</w:t>
            </w:r>
          </w:p>
        </w:tc>
        <w:tc>
          <w:tcPr>
            <w:tcW w:w="1739" w:type="dxa"/>
          </w:tcPr>
          <w:p w14:paraId="7014E8DC" w14:textId="7C127FF5" w:rsidR="00E338E8" w:rsidRPr="00E338E8" w:rsidRDefault="00E338E8">
            <w:pPr>
              <w:rPr>
                <w:rFonts w:eastAsia="맑은 고딕" w:hint="eastAsia"/>
                <w:lang w:val="en-US" w:eastAsia="ko-KR"/>
              </w:rPr>
            </w:pPr>
            <w:r>
              <w:rPr>
                <w:rFonts w:eastAsia="맑은 고딕" w:hint="eastAsia"/>
                <w:lang w:val="en-US" w:eastAsia="ko-KR"/>
              </w:rPr>
              <w:t>Agree</w:t>
            </w:r>
          </w:p>
        </w:tc>
        <w:tc>
          <w:tcPr>
            <w:tcW w:w="6480" w:type="dxa"/>
          </w:tcPr>
          <w:p w14:paraId="6D36211A" w14:textId="77777777" w:rsidR="00E338E8" w:rsidRDefault="00E338E8">
            <w:pPr>
              <w:rPr>
                <w:rFonts w:eastAsiaTheme="minorEastAsia"/>
                <w:highlight w:val="yellow"/>
              </w:rPr>
            </w:pPr>
          </w:p>
        </w:tc>
      </w:tr>
    </w:tbl>
    <w:p w14:paraId="30E80791" w14:textId="77777777" w:rsidR="00F96BFB" w:rsidRDefault="00F96BFB"/>
    <w:p w14:paraId="507717F2" w14:textId="77777777" w:rsidR="00F96BFB" w:rsidRDefault="0047532A">
      <w:pPr>
        <w:pStyle w:val="2"/>
        <w:rPr>
          <w:lang w:val="fr-FR"/>
        </w:rPr>
      </w:pPr>
      <w:r>
        <w:rPr>
          <w:lang w:val="fr-FR"/>
        </w:rPr>
        <w:t>Topics requiring further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proposals are be taken as baseline for further discussion (e.g. in contributions to RAN2#116bise)?</w:t>
      </w:r>
    </w:p>
    <w:p w14:paraId="55D054B3" w14:textId="77777777" w:rsidR="00F96BFB" w:rsidRDefault="0047532A">
      <w:pPr>
        <w:pStyle w:val="af3"/>
        <w:numPr>
          <w:ilvl w:val="0"/>
          <w:numId w:val="16"/>
        </w:numPr>
        <w:rPr>
          <w:b/>
          <w:i/>
          <w:iCs/>
          <w:lang w:eastAsia="sv-SE"/>
        </w:rPr>
      </w:pPr>
      <w:r>
        <w:rPr>
          <w:b/>
          <w:i/>
          <w:iCs/>
          <w:lang w:eastAsia="sv-SE"/>
        </w:rP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14:paraId="344E2D32" w14:textId="77777777" w:rsidR="00F96BFB" w:rsidRDefault="0047532A">
      <w:pPr>
        <w:pStyle w:val="af3"/>
        <w:numPr>
          <w:ilvl w:val="0"/>
          <w:numId w:val="16"/>
        </w:numPr>
        <w:rPr>
          <w:b/>
          <w:i/>
          <w:iCs/>
          <w:lang w:eastAsia="sv-SE"/>
        </w:rPr>
      </w:pPr>
      <w:r>
        <w:rPr>
          <w:b/>
          <w:i/>
          <w:iCs/>
          <w:lang w:eastAsia="sv-SE"/>
        </w:rP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14:paraId="3628ACA8" w14:textId="77777777" w:rsidR="00F96BFB" w:rsidRDefault="0047532A">
      <w:pPr>
        <w:pStyle w:val="af3"/>
        <w:numPr>
          <w:ilvl w:val="0"/>
          <w:numId w:val="16"/>
        </w:numPr>
        <w:rPr>
          <w:i/>
          <w:iCs/>
          <w:lang w:eastAsia="sv-SE"/>
        </w:rPr>
      </w:pPr>
      <w:r>
        <w:rPr>
          <w:b/>
          <w:i/>
          <w:iCs/>
          <w:lang w:eastAsia="sv-SE"/>
        </w:rPr>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af3"/>
        <w:numPr>
          <w:ilvl w:val="0"/>
          <w:numId w:val="16"/>
        </w:numPr>
        <w:rPr>
          <w:b/>
          <w:i/>
          <w:iCs/>
          <w:lang w:eastAsia="sv-SE"/>
        </w:rPr>
      </w:pPr>
      <w:r>
        <w:rPr>
          <w:b/>
          <w:i/>
          <w:iCs/>
          <w:lang w:eastAsia="sv-SE"/>
        </w:rPr>
        <w:lastRenderedPageBreak/>
        <w:t>RAN2 to down-select between the following options to extend configuredGrantTimer: 1) Introducing value(s) of configuredGrantTimer larger than 64; 2) Value of the configuredGrantTimer is extended by UE-gNB-RTT;</w:t>
      </w:r>
    </w:p>
    <w:tbl>
      <w:tblPr>
        <w:tblStyle w:val="a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uawei, HiSilicon</w:t>
            </w:r>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repporteur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r>
              <w:rPr>
                <w:rFonts w:eastAsiaTheme="minorEastAsia" w:hint="eastAsia"/>
              </w:rPr>
              <w:t>S</w:t>
            </w:r>
            <w:r>
              <w:rPr>
                <w:rFonts w:eastAsiaTheme="minorEastAsia"/>
              </w:rPr>
              <w:t>preadtrum</w:t>
            </w:r>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맑은 고딕" w:hint="eastAsia"/>
                <w:lang w:eastAsia="ko-KR"/>
              </w:rPr>
            </w:pPr>
            <w:r>
              <w:rPr>
                <w:rFonts w:eastAsia="맑은 고딕" w:hint="eastAsia"/>
                <w:lang w:eastAsia="ko-KR"/>
              </w:rPr>
              <w:t>ITL</w:t>
            </w:r>
          </w:p>
        </w:tc>
        <w:tc>
          <w:tcPr>
            <w:tcW w:w="1739" w:type="dxa"/>
          </w:tcPr>
          <w:p w14:paraId="0CA529F0" w14:textId="592A0FB8" w:rsidR="00F96BFB" w:rsidRPr="00CE2EC7" w:rsidRDefault="00CE2EC7">
            <w:pPr>
              <w:rPr>
                <w:rFonts w:eastAsia="맑은 고딕" w:hint="eastAsia"/>
                <w:lang w:eastAsia="ko-KR"/>
              </w:rPr>
            </w:pPr>
            <w:r>
              <w:rPr>
                <w:rFonts w:eastAsia="맑은 고딕" w:hint="eastAsia"/>
                <w:lang w:eastAsia="ko-KR"/>
              </w:rPr>
              <w:t>Agree</w:t>
            </w:r>
          </w:p>
        </w:tc>
        <w:tc>
          <w:tcPr>
            <w:tcW w:w="6480" w:type="dxa"/>
          </w:tcPr>
          <w:p w14:paraId="37468AB8" w14:textId="77777777" w:rsidR="00F96BFB" w:rsidRDefault="00F96BFB">
            <w:pPr>
              <w:rPr>
                <w:rFonts w:eastAsia="DengXian"/>
              </w:rPr>
            </w:pPr>
          </w:p>
        </w:tc>
      </w:tr>
    </w:tbl>
    <w:p w14:paraId="67FA8E91" w14:textId="77777777" w:rsidR="00F96BFB" w:rsidRDefault="00F96BFB"/>
    <w:p w14:paraId="123C2C8A" w14:textId="77777777" w:rsidR="00F96BFB" w:rsidRDefault="0047532A">
      <w:pPr>
        <w:pStyle w:val="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1"/>
      </w:pPr>
      <w:r>
        <w:t>References</w:t>
      </w:r>
    </w:p>
    <w:p w14:paraId="1A2A9A7B" w14:textId="77777777" w:rsidR="00F96BFB" w:rsidRDefault="00D97AB4">
      <w:pPr>
        <w:pStyle w:val="Reference"/>
      </w:pPr>
      <w:hyperlink r:id="rId14" w:history="1">
        <w:r w:rsidR="0047532A">
          <w:rPr>
            <w:rStyle w:val="af0"/>
          </w:rPr>
          <w:t>R2-2109499</w:t>
        </w:r>
      </w:hyperlink>
      <w:r w:rsidR="0047532A">
        <w:tab/>
        <w:t>Discussion on HARQ related aspects in NTN – OPPO</w:t>
      </w:r>
      <w:r w:rsidR="0047532A">
        <w:tab/>
      </w:r>
    </w:p>
    <w:p w14:paraId="6F750E2A" w14:textId="77777777" w:rsidR="00F96BFB" w:rsidRDefault="00D97AB4">
      <w:pPr>
        <w:pStyle w:val="Reference"/>
      </w:pPr>
      <w:hyperlink r:id="rId15" w:history="1">
        <w:r w:rsidR="0047532A">
          <w:rPr>
            <w:rStyle w:val="af0"/>
          </w:rPr>
          <w:t>R2-2109552</w:t>
        </w:r>
      </w:hyperlink>
      <w:r w:rsidR="0047532A">
        <w:tab/>
        <w:t>Co-existence issue of BSR over CG and BSR over 2-step RA – CATT</w:t>
      </w:r>
      <w:r w:rsidR="0047532A">
        <w:tab/>
      </w:r>
    </w:p>
    <w:p w14:paraId="78AD44E9" w14:textId="77777777" w:rsidR="00F96BFB" w:rsidRDefault="00D97AB4">
      <w:pPr>
        <w:pStyle w:val="Reference"/>
      </w:pPr>
      <w:hyperlink r:id="rId16" w:history="1">
        <w:r w:rsidR="0047532A">
          <w:rPr>
            <w:rStyle w:val="af0"/>
          </w:rPr>
          <w:t>R2-2109631</w:t>
        </w:r>
      </w:hyperlink>
      <w:r w:rsidR="0047532A">
        <w:tab/>
        <w:t>Remaining issue on disabling uplink HARQ retransmission – MediaTek Inc.</w:t>
      </w:r>
      <w:r w:rsidR="0047532A">
        <w:tab/>
      </w:r>
    </w:p>
    <w:p w14:paraId="2A398EF7" w14:textId="77777777" w:rsidR="00F96BFB" w:rsidRDefault="00D97AB4">
      <w:pPr>
        <w:pStyle w:val="Reference"/>
      </w:pPr>
      <w:hyperlink r:id="rId17" w:history="1">
        <w:r w:rsidR="0047532A">
          <w:rPr>
            <w:rStyle w:val="af0"/>
          </w:rPr>
          <w:t>R2-2109632</w:t>
        </w:r>
      </w:hyperlink>
      <w:r w:rsidR="0047532A">
        <w:tab/>
        <w:t>Round trip delay offset for configured grant timers – MediaTek Inc.</w:t>
      </w:r>
      <w:r w:rsidR="0047532A">
        <w:tab/>
      </w:r>
    </w:p>
    <w:p w14:paraId="7D2E57FE" w14:textId="77777777" w:rsidR="00F96BFB" w:rsidRDefault="00D97AB4">
      <w:pPr>
        <w:pStyle w:val="Reference"/>
      </w:pPr>
      <w:hyperlink r:id="rId18" w:history="1">
        <w:r w:rsidR="0047532A">
          <w:rPr>
            <w:rStyle w:val="af0"/>
          </w:rPr>
          <w:t>R2-2109661</w:t>
        </w:r>
      </w:hyperlink>
      <w:r w:rsidR="0047532A">
        <w:tab/>
        <w:t>Further consideration on LCP and HARQ – Huawei, HiSilicon</w:t>
      </w:r>
    </w:p>
    <w:p w14:paraId="75F2A94D" w14:textId="77777777" w:rsidR="00F96BFB" w:rsidRDefault="00D97AB4">
      <w:pPr>
        <w:pStyle w:val="Reference"/>
      </w:pPr>
      <w:hyperlink r:id="rId19" w:history="1">
        <w:r w:rsidR="0047532A">
          <w:rPr>
            <w:rStyle w:val="af0"/>
          </w:rPr>
          <w:t>R2-2109968</w:t>
        </w:r>
      </w:hyperlink>
      <w:r w:rsidR="0047532A">
        <w:tab/>
        <w:t xml:space="preserve">HARQ process for SPS and CG – Qualcomm </w:t>
      </w:r>
    </w:p>
    <w:p w14:paraId="7955DCE4" w14:textId="77777777" w:rsidR="00F96BFB" w:rsidRDefault="00D97AB4">
      <w:pPr>
        <w:pStyle w:val="Reference"/>
      </w:pPr>
      <w:hyperlink r:id="rId20" w:history="1">
        <w:r w:rsidR="0047532A">
          <w:rPr>
            <w:rStyle w:val="af0"/>
          </w:rPr>
          <w:t>R2-2110017</w:t>
        </w:r>
      </w:hyperlink>
      <w:r w:rsidR="0047532A">
        <w:tab/>
        <w:t>Remaining issues related to HARQ retransmission state – Xiaomi</w:t>
      </w:r>
      <w:r w:rsidR="0047532A">
        <w:tab/>
      </w:r>
    </w:p>
    <w:p w14:paraId="6E0802A6" w14:textId="77777777" w:rsidR="00F96BFB" w:rsidRDefault="00D97AB4">
      <w:pPr>
        <w:pStyle w:val="Reference"/>
        <w:rPr>
          <w:lang w:val="fr-FR"/>
        </w:rPr>
      </w:pPr>
      <w:hyperlink r:id="rId21" w:history="1">
        <w:r w:rsidR="0047532A">
          <w:rPr>
            <w:rStyle w:val="af0"/>
            <w:lang w:val="fr-FR"/>
          </w:rPr>
          <w:t>R2-2110045</w:t>
        </w:r>
      </w:hyperlink>
      <w:r w:rsidR="0047532A">
        <w:rPr>
          <w:lang w:val="fr-FR"/>
        </w:rPr>
        <w:tab/>
        <w:t>NTN HARQ Management – Apple</w:t>
      </w:r>
    </w:p>
    <w:p w14:paraId="445A82D4" w14:textId="77777777" w:rsidR="00F96BFB" w:rsidRDefault="00D97AB4">
      <w:pPr>
        <w:pStyle w:val="Reference"/>
      </w:pPr>
      <w:hyperlink r:id="rId22" w:history="1">
        <w:r w:rsidR="0047532A">
          <w:rPr>
            <w:rStyle w:val="af0"/>
          </w:rPr>
          <w:t>R2-2110126</w:t>
        </w:r>
      </w:hyperlink>
      <w:r w:rsidR="0047532A">
        <w:tab/>
        <w:t>Discussion on HARQ and LCP remaining issues – Spreadtrum Communications</w:t>
      </w:r>
    </w:p>
    <w:p w14:paraId="5F59E7D7" w14:textId="77777777" w:rsidR="00F96BFB" w:rsidRDefault="00D97AB4">
      <w:pPr>
        <w:pStyle w:val="Reference"/>
      </w:pPr>
      <w:hyperlink r:id="rId23" w:history="1">
        <w:r w:rsidR="0047532A">
          <w:rPr>
            <w:rStyle w:val="af0"/>
          </w:rPr>
          <w:t>R2-2110308</w:t>
        </w:r>
      </w:hyperlink>
      <w:r w:rsidR="0047532A">
        <w:tab/>
        <w:t>Remaining UP issues for NR NTN – Lenovo, Motorola Mobility</w:t>
      </w:r>
      <w:r w:rsidR="0047532A">
        <w:tab/>
      </w:r>
    </w:p>
    <w:p w14:paraId="1720015E" w14:textId="77777777" w:rsidR="00F96BFB" w:rsidRDefault="00D97AB4">
      <w:pPr>
        <w:pStyle w:val="Reference"/>
      </w:pPr>
      <w:hyperlink r:id="rId24" w:history="1">
        <w:r w:rsidR="0047532A">
          <w:rPr>
            <w:rStyle w:val="af0"/>
          </w:rPr>
          <w:t>R2-2110354</w:t>
        </w:r>
      </w:hyperlink>
      <w:r w:rsidR="0047532A">
        <w:tab/>
        <w:t>CG enhancements in NTN – Sony</w:t>
      </w:r>
      <w:r w:rsidR="0047532A">
        <w:tab/>
      </w:r>
    </w:p>
    <w:p w14:paraId="41E139F5" w14:textId="77777777" w:rsidR="00F96BFB" w:rsidRDefault="00D97AB4">
      <w:pPr>
        <w:pStyle w:val="Reference"/>
      </w:pPr>
      <w:hyperlink r:id="rId25" w:history="1">
        <w:r w:rsidR="0047532A">
          <w:rPr>
            <w:rStyle w:val="af0"/>
          </w:rPr>
          <w:t>R2-2110704</w:t>
        </w:r>
      </w:hyperlink>
      <w:r w:rsidR="0047532A">
        <w:tab/>
        <w:t>Discussion on UL scheduling, DRX and other MAC aspects – Nokia, Nokia Shanghai Bell</w:t>
      </w:r>
    </w:p>
    <w:p w14:paraId="7879386D" w14:textId="77777777" w:rsidR="00F96BFB" w:rsidRDefault="00D97AB4">
      <w:pPr>
        <w:pStyle w:val="Reference"/>
      </w:pPr>
      <w:hyperlink r:id="rId26" w:history="1">
        <w:r w:rsidR="0047532A">
          <w:rPr>
            <w:rStyle w:val="af0"/>
          </w:rPr>
          <w:t>R2-2110734</w:t>
        </w:r>
      </w:hyperlink>
      <w:r w:rsidR="0047532A">
        <w:tab/>
        <w:t>Remaining issues on HARQ aspects – ZTE Corporation, Sanechips</w:t>
      </w:r>
    </w:p>
    <w:p w14:paraId="5D76B84A" w14:textId="77777777" w:rsidR="00F96BFB" w:rsidRDefault="00D97AB4">
      <w:pPr>
        <w:pStyle w:val="Reference"/>
      </w:pPr>
      <w:hyperlink r:id="rId27" w:history="1">
        <w:r w:rsidR="0047532A">
          <w:rPr>
            <w:rStyle w:val="af0"/>
          </w:rPr>
          <w:t>R2-2110859</w:t>
        </w:r>
      </w:hyperlink>
      <w:r w:rsidR="0047532A">
        <w:tab/>
        <w:t>Remaining MAC open issues in NTN – InterDigital</w:t>
      </w:r>
    </w:p>
    <w:p w14:paraId="2E88D11D" w14:textId="77777777" w:rsidR="00F96BFB" w:rsidRDefault="00D97AB4">
      <w:pPr>
        <w:pStyle w:val="Reference"/>
      </w:pPr>
      <w:hyperlink r:id="rId28" w:history="1">
        <w:r w:rsidR="0047532A">
          <w:rPr>
            <w:rStyle w:val="af0"/>
          </w:rPr>
          <w:t>R2-2110926</w:t>
        </w:r>
      </w:hyperlink>
      <w:r w:rsidR="0047532A">
        <w:tab/>
        <w:t>Updating SR-Prohibit Timer – MediaTek Inc.</w:t>
      </w:r>
    </w:p>
    <w:p w14:paraId="51CB2465" w14:textId="77777777" w:rsidR="00F96BFB" w:rsidRDefault="00D97AB4">
      <w:pPr>
        <w:pStyle w:val="Reference"/>
      </w:pPr>
      <w:hyperlink r:id="rId29" w:history="1">
        <w:r w:rsidR="0047532A">
          <w:rPr>
            <w:rStyle w:val="af0"/>
          </w:rPr>
          <w:t>R2-2110951</w:t>
        </w:r>
      </w:hyperlink>
      <w:r w:rsidR="0047532A">
        <w:tab/>
        <w:t>On configured scheduling, DRX, LCP, HARQ and SR/BSR in NTNs – Ericsson</w:t>
      </w:r>
      <w:r w:rsidR="0047532A">
        <w:tab/>
      </w:r>
    </w:p>
    <w:p w14:paraId="79400EE1" w14:textId="77777777" w:rsidR="00F96BFB" w:rsidRDefault="00D97AB4">
      <w:pPr>
        <w:pStyle w:val="Reference"/>
      </w:pPr>
      <w:hyperlink r:id="rId30" w:history="1">
        <w:r w:rsidR="0047532A">
          <w:rPr>
            <w:rStyle w:val="af0"/>
          </w:rPr>
          <w:t>R2-2111044</w:t>
        </w:r>
      </w:hyperlink>
      <w:r w:rsidR="0047532A">
        <w:tab/>
        <w:t>Remaining Issue on LCP Restrictions and CG Impact in NTN – CMCC</w:t>
      </w:r>
    </w:p>
    <w:p w14:paraId="2987C5ED" w14:textId="77777777" w:rsidR="00F96BFB" w:rsidRDefault="00D97AB4">
      <w:pPr>
        <w:pStyle w:val="Reference"/>
      </w:pPr>
      <w:hyperlink r:id="rId31" w:history="1">
        <w:r w:rsidR="0047532A">
          <w:rPr>
            <w:rStyle w:val="af0"/>
          </w:rPr>
          <w:t>R2-2111139</w:t>
        </w:r>
      </w:hyperlink>
      <w:r w:rsidR="0047532A">
        <w:tab/>
        <w:t>Discussion on other MAC aspects – LG Electronics Inc.</w:t>
      </w:r>
    </w:p>
    <w:p w14:paraId="58C0D60F" w14:textId="77777777" w:rsidR="00F96BFB" w:rsidRDefault="00D97AB4">
      <w:pPr>
        <w:pStyle w:val="Reference"/>
      </w:pPr>
      <w:hyperlink r:id="rId32" w:history="1">
        <w:r w:rsidR="0047532A">
          <w:rPr>
            <w:rStyle w:val="af0"/>
          </w:rPr>
          <w:t>R2-2111151</w:t>
        </w:r>
      </w:hyperlink>
      <w:r w:rsidR="0047532A">
        <w:tab/>
        <w:t>Retransmission timer for HARQ state B – ITL</w:t>
      </w:r>
    </w:p>
    <w:p w14:paraId="78E0E9CB" w14:textId="77777777" w:rsidR="00F96BFB" w:rsidRDefault="00D97AB4">
      <w:pPr>
        <w:pStyle w:val="Reference"/>
      </w:pPr>
      <w:hyperlink r:id="rId33" w:history="1">
        <w:r w:rsidR="0047532A">
          <w:rPr>
            <w:rStyle w:val="af0"/>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15EF1" w14:textId="77777777" w:rsidR="00D97AB4" w:rsidRDefault="00D97AB4">
      <w:pPr>
        <w:spacing w:after="0"/>
      </w:pPr>
      <w:r>
        <w:separator/>
      </w:r>
    </w:p>
  </w:endnote>
  <w:endnote w:type="continuationSeparator" w:id="0">
    <w:p w14:paraId="180B5628" w14:textId="77777777" w:rsidR="00D97AB4" w:rsidRDefault="00D97A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70EB" w14:textId="4CBFC1D5" w:rsidR="00F96BFB" w:rsidRDefault="0047532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23525">
      <w:rPr>
        <w:rStyle w:val="ae"/>
        <w:noProof/>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23525">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29263" w14:textId="77777777" w:rsidR="00D97AB4" w:rsidRDefault="00D97AB4">
      <w:pPr>
        <w:spacing w:after="0"/>
      </w:pPr>
      <w:r>
        <w:separator/>
      </w:r>
    </w:p>
  </w:footnote>
  <w:footnote w:type="continuationSeparator" w:id="0">
    <w:p w14:paraId="436F027A" w14:textId="77777777" w:rsidR="00D97AB4" w:rsidRDefault="00D97AB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15:docId w15:val="{BD249C04-846F-419A-9EC7-69885FA2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 w:type="character" w:customStyle="1" w:styleId="apple-converted-space">
    <w:name w:val="apple-converted-space"/>
    <w:basedOn w:val="a0"/>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0D3EB6-70CE-41D5-8F60-EE4F8FA8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2987</Words>
  <Characters>17028</Characters>
  <Application>Microsoft Office Word</Application>
  <DocSecurity>0</DocSecurity>
  <Lines>141</Lines>
  <Paragraphs>39</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Wonseok Lee</cp:lastModifiedBy>
  <cp:revision>2</cp:revision>
  <dcterms:created xsi:type="dcterms:W3CDTF">2021-11-08T10:59:00Z</dcterms:created>
  <dcterms:modified xsi:type="dcterms:W3CDTF">2021-11-08T10:59:00Z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