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w:t>
      </w:r>
      <w:proofErr w:type="gramStart"/>
      <w:r w:rsidR="005417AA" w:rsidRPr="005417AA">
        <w:rPr>
          <w:sz w:val="22"/>
          <w:szCs w:val="22"/>
        </w:rPr>
        <w:t>e][</w:t>
      </w:r>
      <w:proofErr w:type="gramEnd"/>
      <w:r w:rsidR="005417AA" w:rsidRPr="005417AA">
        <w:rPr>
          <w:sz w:val="22"/>
          <w:szCs w:val="22"/>
        </w:rPr>
        <w:t>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w:t>
      </w:r>
      <w:proofErr w:type="gramStart"/>
      <w:r>
        <w:rPr>
          <w:lang w:val="en-US"/>
        </w:rPr>
        <w:t>e][</w:t>
      </w:r>
      <w:proofErr w:type="gramEnd"/>
      <w:r>
        <w:rPr>
          <w:lang w:val="en-US"/>
        </w:rPr>
        <w:t>053][NR17] MINT (Ericsson)</w:t>
      </w:r>
    </w:p>
    <w:p w14:paraId="6F723234" w14:textId="7532876F" w:rsidR="005417AA" w:rsidRDefault="005417AA" w:rsidP="005417AA">
      <w:pPr>
        <w:pStyle w:val="EmailDiscussion2"/>
        <w:ind w:left="993"/>
        <w:rPr>
          <w:lang w:val="en-US"/>
        </w:rPr>
      </w:pPr>
      <w:r>
        <w:t xml:space="preserve">      Scope: </w:t>
      </w:r>
      <w:proofErr w:type="gramStart"/>
      <w:r>
        <w:t>Take into account</w:t>
      </w:r>
      <w:proofErr w:type="gramEnd"/>
      <w:r>
        <w:t xml:space="preserve"> on-line agreements, take into account also LS in </w:t>
      </w:r>
      <w:hyperlink r:id="rId11" w:history="1">
        <w:r w:rsidRPr="004D0577">
          <w:rPr>
            <w:rStyle w:val="Hyperlink"/>
          </w:rPr>
          <w:t>R2-2109818</w:t>
        </w:r>
      </w:hyperlink>
      <w:r>
        <w:t xml:space="preserve"> and </w:t>
      </w:r>
      <w:proofErr w:type="spellStart"/>
      <w:r>
        <w:t>tdocs</w:t>
      </w:r>
      <w:proofErr w:type="spellEnd"/>
      <w:r>
        <w:t xml:space="preserve">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D741F2" w:rsidRPr="003E2FBE" w14:paraId="31422146"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398CE" w14:textId="2947A28A" w:rsidR="00D741F2" w:rsidRDefault="00D741F2" w:rsidP="00D741F2">
            <w:pPr>
              <w:spacing w:before="120" w:after="120"/>
              <w:jc w:val="center"/>
              <w:rPr>
                <w:sz w:val="22"/>
                <w:szCs w:val="22"/>
                <w:lang w:val="de-DE"/>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9E5CF" w14:textId="3C334D38" w:rsidR="00D741F2" w:rsidRDefault="00D741F2" w:rsidP="00D741F2">
            <w:pPr>
              <w:spacing w:before="120" w:after="120"/>
              <w:jc w:val="center"/>
              <w:rPr>
                <w:rFonts w:hint="eastAsia"/>
                <w:sz w:val="22"/>
                <w:szCs w:val="22"/>
                <w:lang w:val="de-DE" w:eastAsia="zh-CN"/>
              </w:rPr>
            </w:pPr>
            <w:r>
              <w:rPr>
                <w:lang w:val="de-DE" w:eastAsia="zh-CN"/>
              </w:rPr>
              <w:t>oozturk@qti.qualcomm.com</w:t>
            </w:r>
          </w:p>
        </w:tc>
      </w:tr>
      <w:tr w:rsidR="00D741F2"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A4970C5" w:rsidR="00D741F2" w:rsidRPr="00716303" w:rsidRDefault="00D741F2" w:rsidP="00D741F2">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129AE7A5" w:rsidR="00D741F2" w:rsidRPr="00716303" w:rsidRDefault="00D741F2" w:rsidP="00D741F2">
            <w:pPr>
              <w:spacing w:before="120" w:after="120"/>
              <w:jc w:val="center"/>
              <w:rPr>
                <w:lang w:val="de-DE" w:eastAsia="zh-CN"/>
              </w:rPr>
            </w:pPr>
            <w:r>
              <w:rPr>
                <w:lang w:val="de-DE" w:eastAsia="zh-CN"/>
              </w:rPr>
              <w:t>kimba@vivo.com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w:t>
            </w:r>
            <w:proofErr w:type="spellStart"/>
            <w:r>
              <w:t>tdocs</w:t>
            </w:r>
            <w:proofErr w:type="spellEnd"/>
            <w:r>
              <w:t xml:space="preserve">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2C2C60"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2C2C60"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2C2C60"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w:t>
            </w:r>
            <w:proofErr w:type="spellStart"/>
            <w:r>
              <w:t>Accedd</w:t>
            </w:r>
            <w:proofErr w:type="spellEnd"/>
            <w:r>
              <w:t xml:space="preserve"> </w:t>
            </w:r>
            <w:proofErr w:type="spellStart"/>
            <w:r>
              <w:t>id</w:t>
            </w:r>
            <w:proofErr w:type="spellEnd"/>
            <w:r>
              <w:t xml:space="preserve">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w:t>
            </w:r>
            <w:proofErr w:type="spellStart"/>
            <w:r>
              <w:t>ericsson</w:t>
            </w:r>
            <w:proofErr w:type="spellEnd"/>
            <w:r>
              <w:t xml:space="preserve">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Hyperlink"/>
                </w:rPr>
                <w:t>R2-2109818</w:t>
              </w:r>
            </w:hyperlink>
            <w:r>
              <w:t xml:space="preserve"> acc to input </w:t>
            </w:r>
            <w:proofErr w:type="spellStart"/>
            <w:r>
              <w:t>tdocs</w:t>
            </w:r>
            <w:proofErr w:type="spellEnd"/>
            <w:r>
              <w:t>), including LS out. Attempt to arrive at agreeable TP</w:t>
            </w:r>
          </w:p>
          <w:p w14:paraId="7EA0995F" w14:textId="77777777" w:rsidR="005417AA" w:rsidRDefault="005417AA" w:rsidP="005417AA">
            <w:pPr>
              <w:pStyle w:val="Doc-text2"/>
            </w:pPr>
          </w:p>
          <w:p w14:paraId="7228BF34" w14:textId="4FE15612" w:rsidR="005417AA" w:rsidRDefault="002C2C60"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lastRenderedPageBreak/>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w:t>
            </w:r>
            <w:proofErr w:type="spellStart"/>
            <w:r>
              <w:t>signalling</w:t>
            </w:r>
            <w:proofErr w:type="spellEnd"/>
            <w:r>
              <w:t xml:space="preserve"> </w:t>
            </w:r>
            <w:proofErr w:type="spellStart"/>
            <w:r>
              <w:t>cen</w:t>
            </w:r>
            <w:proofErr w:type="spellEnd"/>
            <w:r>
              <w:t xml:space="preserve">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2C2C60"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2C2C60"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2C2C60"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2C2C60"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2C2C60"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proofErr w:type="spellStart"/>
      <w:r w:rsidRPr="000D7631">
        <w:rPr>
          <w:rFonts w:ascii="Arial" w:hAnsi="Arial" w:cs="Arial"/>
          <w:i/>
          <w:iCs/>
        </w:rPr>
        <w:t>uac-BarringInfoSetList</w:t>
      </w:r>
      <w:proofErr w:type="spellEnd"/>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D741F2" w:rsidRPr="000005B0" w14:paraId="6AA7192B" w14:textId="77777777" w:rsidTr="002B5838">
        <w:tc>
          <w:tcPr>
            <w:tcW w:w="1575" w:type="dxa"/>
          </w:tcPr>
          <w:p w14:paraId="35E915CD" w14:textId="0C224440" w:rsidR="00D741F2" w:rsidRDefault="00D741F2" w:rsidP="002B5838">
            <w:pPr>
              <w:spacing w:after="0"/>
              <w:jc w:val="both"/>
              <w:rPr>
                <w:rFonts w:eastAsiaTheme="minorEastAsia"/>
                <w:noProof/>
                <w:lang w:eastAsia="zh-CN"/>
              </w:rPr>
            </w:pPr>
            <w:r>
              <w:rPr>
                <w:rFonts w:eastAsiaTheme="minorEastAsia"/>
                <w:noProof/>
                <w:lang w:eastAsia="zh-CN"/>
              </w:rPr>
              <w:t>vivo</w:t>
            </w:r>
          </w:p>
        </w:tc>
        <w:tc>
          <w:tcPr>
            <w:tcW w:w="2389" w:type="dxa"/>
          </w:tcPr>
          <w:p w14:paraId="49F631D1" w14:textId="6901B152" w:rsidR="00D741F2" w:rsidRDefault="00D741F2" w:rsidP="002B5838">
            <w:pPr>
              <w:spacing w:after="0"/>
              <w:jc w:val="both"/>
              <w:rPr>
                <w:noProof/>
              </w:rPr>
            </w:pPr>
            <w:r>
              <w:rPr>
                <w:noProof/>
              </w:rPr>
              <w:t>Option 1</w:t>
            </w:r>
          </w:p>
        </w:tc>
        <w:tc>
          <w:tcPr>
            <w:tcW w:w="5665" w:type="dxa"/>
          </w:tcPr>
          <w:p w14:paraId="04E1EF54" w14:textId="1A82E275" w:rsidR="00D741F2" w:rsidRDefault="00D741F2" w:rsidP="002B5838">
            <w:pPr>
              <w:spacing w:after="0"/>
              <w:jc w:val="both"/>
              <w:rPr>
                <w:noProof/>
              </w:rPr>
            </w:pPr>
            <w:r>
              <w:rPr>
                <w:noProof/>
              </w:rPr>
              <w:t>We prefer Option 1 for same view as Lenovo and Qualcomm</w:t>
            </w: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lastRenderedPageBreak/>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D741F2" w:rsidRPr="000005B0" w14:paraId="5C2ED7E2" w14:textId="77777777" w:rsidTr="002B5838">
        <w:tc>
          <w:tcPr>
            <w:tcW w:w="1575" w:type="dxa"/>
          </w:tcPr>
          <w:p w14:paraId="6EF743F8" w14:textId="0B112DBD"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1EF78259" w14:textId="423CA6AB"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5665" w:type="dxa"/>
          </w:tcPr>
          <w:p w14:paraId="1850508C" w14:textId="1282979D" w:rsidR="00D741F2" w:rsidRDefault="00D741F2" w:rsidP="00B13AF8">
            <w:pPr>
              <w:spacing w:after="0"/>
              <w:jc w:val="both"/>
              <w:rPr>
                <w:rFonts w:eastAsiaTheme="minorEastAsia"/>
                <w:noProof/>
                <w:lang w:eastAsia="zh-CN"/>
              </w:rPr>
            </w:pPr>
            <w:r>
              <w:rPr>
                <w:rFonts w:eastAsiaTheme="minorEastAsia"/>
                <w:noProof/>
                <w:lang w:eastAsia="zh-CN"/>
              </w:rPr>
              <w:t>We think this applies only to identity 3. We are fine to check with CT1</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lastRenderedPageBreak/>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D741F2" w:rsidRPr="000005B0" w14:paraId="39DCFB93" w14:textId="77777777" w:rsidTr="00172D94">
        <w:tc>
          <w:tcPr>
            <w:tcW w:w="1575" w:type="dxa"/>
          </w:tcPr>
          <w:p w14:paraId="2DD3607D" w14:textId="5FE535B3"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21296C09" w14:textId="1AA08A83"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4D2259D4" w14:textId="77777777" w:rsidR="00D741F2" w:rsidRDefault="00D741F2" w:rsidP="00B13AF8">
            <w:pPr>
              <w:spacing w:after="0"/>
              <w:jc w:val="both"/>
              <w:rPr>
                <w:rFonts w:eastAsiaTheme="minorEastAsia"/>
                <w:noProof/>
                <w:lang w:eastAsia="zh-CN"/>
              </w:rPr>
            </w:pP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w:t>
      </w:r>
      <w:proofErr w:type="spellStart"/>
      <w:r w:rsidRPr="00172D94">
        <w:rPr>
          <w:rFonts w:ascii="Arial" w:hAnsi="Arial" w:cs="Arial"/>
        </w:rPr>
        <w:t>signaling</w:t>
      </w:r>
      <w:proofErr w:type="spellEnd"/>
      <w:r w:rsidRPr="00172D94">
        <w:rPr>
          <w:rFonts w:ascii="Arial" w:hAnsi="Arial" w:cs="Arial"/>
        </w:rPr>
        <w:t xml:space="preserve"> of the 1-bit flag (Option a) or PLMN list (Option b) in NR and LTE needs to allow both a common PLMN </w:t>
      </w:r>
      <w:proofErr w:type="spellStart"/>
      <w:r w:rsidRPr="00172D94">
        <w:rPr>
          <w:rFonts w:ascii="Arial" w:hAnsi="Arial" w:cs="Arial"/>
        </w:rPr>
        <w:t>signaling</w:t>
      </w:r>
      <w:proofErr w:type="spellEnd"/>
      <w:r w:rsidRPr="00172D94">
        <w:rPr>
          <w:rFonts w:ascii="Arial" w:hAnsi="Arial" w:cs="Arial"/>
        </w:rPr>
        <w:t xml:space="preserve"> and a per-PLMN specific </w:t>
      </w:r>
      <w:proofErr w:type="spellStart"/>
      <w:r w:rsidRPr="00172D94">
        <w:rPr>
          <w:rFonts w:ascii="Arial" w:hAnsi="Arial" w:cs="Arial"/>
        </w:rPr>
        <w:t>signaling</w:t>
      </w:r>
      <w:proofErr w:type="spellEnd"/>
      <w:r w:rsidRPr="00172D94">
        <w:rPr>
          <w:rFonts w:ascii="Arial" w:hAnsi="Arial" w:cs="Arial"/>
        </w:rPr>
        <w:t>.</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D741F2" w:rsidRPr="000005B0" w14:paraId="0B9C1E52" w14:textId="77777777" w:rsidTr="00940BEF">
        <w:tc>
          <w:tcPr>
            <w:tcW w:w="1575" w:type="dxa"/>
          </w:tcPr>
          <w:p w14:paraId="3E38C10D" w14:textId="0FD5CEBC"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2252F4F4" w14:textId="575CBA1B" w:rsidR="00D741F2" w:rsidRDefault="00D741F2" w:rsidP="00B13AF8">
            <w:pPr>
              <w:spacing w:after="0"/>
              <w:jc w:val="both"/>
              <w:rPr>
                <w:rFonts w:eastAsiaTheme="minorEastAsia"/>
                <w:noProof/>
                <w:lang w:eastAsia="zh-CN"/>
              </w:rPr>
            </w:pPr>
            <w:r>
              <w:rPr>
                <w:rFonts w:eastAsiaTheme="minorEastAsia"/>
                <w:noProof/>
                <w:lang w:eastAsia="zh-CN"/>
              </w:rPr>
              <w:t xml:space="preserve">Yes </w:t>
            </w:r>
          </w:p>
        </w:tc>
        <w:tc>
          <w:tcPr>
            <w:tcW w:w="6940" w:type="dxa"/>
          </w:tcPr>
          <w:p w14:paraId="638BF753" w14:textId="0DDE1037" w:rsidR="00D741F2" w:rsidRDefault="00D741F2" w:rsidP="00D95E2B">
            <w:pPr>
              <w:spacing w:after="0"/>
              <w:jc w:val="both"/>
              <w:rPr>
                <w:rFonts w:eastAsiaTheme="minorEastAsia"/>
                <w:noProof/>
                <w:lang w:eastAsia="zh-CN"/>
              </w:rPr>
            </w:pPr>
            <w:r>
              <w:rPr>
                <w:rFonts w:eastAsiaTheme="minorEastAsia"/>
                <w:noProof/>
                <w:lang w:eastAsia="zh-CN"/>
              </w:rPr>
              <w:t xml:space="preserve">We think the </w:t>
            </w:r>
            <w:r w:rsidRPr="00D741F2">
              <w:rPr>
                <w:rFonts w:eastAsiaTheme="minorEastAsia"/>
                <w:noProof/>
                <w:lang w:eastAsia="zh-CN"/>
              </w:rPr>
              <w:t xml:space="preserve">signalling of the 1-bit flag (Option a) or PLMN list (Option b) in NR and LTE </w:t>
            </w:r>
            <w:r>
              <w:rPr>
                <w:rFonts w:eastAsiaTheme="minorEastAsia"/>
                <w:noProof/>
                <w:lang w:eastAsia="zh-CN"/>
              </w:rPr>
              <w:t>should</w:t>
            </w:r>
            <w:r w:rsidRPr="00D741F2">
              <w:rPr>
                <w:rFonts w:eastAsiaTheme="minorEastAsia"/>
                <w:noProof/>
                <w:lang w:eastAsia="zh-CN"/>
              </w:rPr>
              <w:t xml:space="preserve"> allow both a common PLMN signalling and a per-PLMN specific signalling</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lastRenderedPageBreak/>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r w:rsidR="00932696" w:rsidRPr="000005B0" w14:paraId="4001CCCF" w14:textId="77777777" w:rsidTr="00940BEF">
        <w:tc>
          <w:tcPr>
            <w:tcW w:w="1575"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940" w:type="dxa"/>
          </w:tcPr>
          <w:p w14:paraId="2684641F" w14:textId="77777777" w:rsidR="00932696" w:rsidRPr="000005B0" w:rsidRDefault="00932696" w:rsidP="00B13AF8">
            <w:pPr>
              <w:spacing w:after="0"/>
              <w:jc w:val="both"/>
              <w:rPr>
                <w:noProof/>
              </w:rPr>
            </w:pPr>
          </w:p>
        </w:tc>
      </w:tr>
      <w:tr w:rsidR="00D741F2" w:rsidRPr="000005B0" w14:paraId="5048DBB7" w14:textId="77777777" w:rsidTr="00940BEF">
        <w:tc>
          <w:tcPr>
            <w:tcW w:w="1575" w:type="dxa"/>
          </w:tcPr>
          <w:p w14:paraId="7B4E63A3" w14:textId="5C7D950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9516B64" w14:textId="65BB00EA" w:rsidR="00D741F2" w:rsidRDefault="00D741F2" w:rsidP="00B13AF8">
            <w:pPr>
              <w:spacing w:after="0"/>
              <w:jc w:val="both"/>
              <w:rPr>
                <w:rFonts w:eastAsiaTheme="minorEastAsia"/>
                <w:noProof/>
                <w:lang w:eastAsia="zh-CN"/>
              </w:rPr>
            </w:pPr>
            <w:r>
              <w:rPr>
                <w:rFonts w:eastAsiaTheme="minorEastAsia"/>
                <w:noProof/>
                <w:lang w:eastAsia="zh-CN"/>
              </w:rPr>
              <w:t>Yes</w:t>
            </w:r>
          </w:p>
        </w:tc>
        <w:tc>
          <w:tcPr>
            <w:tcW w:w="6940" w:type="dxa"/>
          </w:tcPr>
          <w:p w14:paraId="13918285" w14:textId="77777777" w:rsidR="00D741F2" w:rsidRPr="000005B0" w:rsidRDefault="00D741F2"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D741F2" w:rsidRPr="000005B0" w14:paraId="5064A070" w14:textId="77777777" w:rsidTr="00826F87">
        <w:tc>
          <w:tcPr>
            <w:tcW w:w="1549" w:type="dxa"/>
          </w:tcPr>
          <w:p w14:paraId="4307E7AF" w14:textId="235763D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488" w:type="dxa"/>
          </w:tcPr>
          <w:p w14:paraId="214FF07B" w14:textId="755E3EB0"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6592" w:type="dxa"/>
          </w:tcPr>
          <w:p w14:paraId="12C9523D" w14:textId="40E3268E" w:rsidR="00D741F2" w:rsidRDefault="00D741F2" w:rsidP="00B13AF8">
            <w:pPr>
              <w:spacing w:after="0"/>
              <w:jc w:val="both"/>
              <w:rPr>
                <w:rFonts w:eastAsiaTheme="minorEastAsia"/>
                <w:noProof/>
                <w:lang w:eastAsia="zh-CN"/>
              </w:rPr>
            </w:pPr>
            <w:r>
              <w:rPr>
                <w:rFonts w:eastAsiaTheme="minorEastAsia"/>
                <w:noProof/>
                <w:lang w:eastAsia="zh-CN"/>
              </w:rPr>
              <w:t xml:space="preserve">We do not foree any </w:t>
            </w:r>
            <w:r>
              <w:rPr>
                <w:rFonts w:eastAsiaTheme="minorEastAsia"/>
                <w:noProof/>
                <w:lang w:eastAsia="zh-CN"/>
              </w:rPr>
              <w:t>impact cell (re)-selection</w:t>
            </w:r>
            <w:r>
              <w:rPr>
                <w:rFonts w:eastAsiaTheme="minorEastAsia"/>
                <w:noProof/>
                <w:lang w:eastAsia="zh-CN"/>
              </w:rPr>
              <w:t>. And there is no need to seek input from CT1/SA2.</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D741F2" w:rsidRPr="000005B0" w14:paraId="4054DD0F" w14:textId="77777777" w:rsidTr="00940BEF">
        <w:tc>
          <w:tcPr>
            <w:tcW w:w="1575" w:type="dxa"/>
          </w:tcPr>
          <w:p w14:paraId="6C621B37" w14:textId="5A0D2938"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114" w:type="dxa"/>
          </w:tcPr>
          <w:p w14:paraId="0ABAFE6D" w14:textId="6B2BA54D"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6940" w:type="dxa"/>
          </w:tcPr>
          <w:p w14:paraId="42BF4F60" w14:textId="77777777" w:rsidR="00D741F2" w:rsidRDefault="00D741F2" w:rsidP="00B13AF8">
            <w:pPr>
              <w:spacing w:after="0"/>
              <w:jc w:val="both"/>
              <w:rPr>
                <w:rFonts w:eastAsiaTheme="minorEastAsia"/>
                <w:noProof/>
                <w:lang w:eastAsia="zh-CN"/>
              </w:rPr>
            </w:pP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bookmarkStart w:id="3" w:name="_GoBack"/>
      <w:bookmarkEnd w:id="3"/>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ADAFF" w14:textId="77777777" w:rsidR="002C2C60" w:rsidRDefault="002C2C60">
      <w:r>
        <w:separator/>
      </w:r>
    </w:p>
  </w:endnote>
  <w:endnote w:type="continuationSeparator" w:id="0">
    <w:p w14:paraId="3AF9BC03" w14:textId="77777777" w:rsidR="002C2C60" w:rsidRDefault="002C2C60">
      <w:r>
        <w:continuationSeparator/>
      </w:r>
    </w:p>
  </w:endnote>
  <w:endnote w:type="continuationNotice" w:id="1">
    <w:p w14:paraId="5B448796" w14:textId="77777777" w:rsidR="002C2C60" w:rsidRDefault="002C2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499A" w14:textId="77777777" w:rsidR="002C2C60" w:rsidRDefault="002C2C60">
      <w:r>
        <w:separator/>
      </w:r>
    </w:p>
  </w:footnote>
  <w:footnote w:type="continuationSeparator" w:id="0">
    <w:p w14:paraId="0D88DF4B" w14:textId="77777777" w:rsidR="002C2C60" w:rsidRDefault="002C2C60">
      <w:r>
        <w:continuationSeparator/>
      </w:r>
    </w:p>
  </w:footnote>
  <w:footnote w:type="continuationNotice" w:id="1">
    <w:p w14:paraId="10D0EF26" w14:textId="77777777" w:rsidR="002C2C60" w:rsidRDefault="002C2C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2C6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1F2"/>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4ED4E3D-2691-4A14-B4C2-47E6E3C9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3013</Words>
  <Characters>17180</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cp:lastModifiedBy>
  <cp:revision>25</cp:revision>
  <cp:lastPrinted>2021-11-01T16:02:00Z</cp:lastPrinted>
  <dcterms:created xsi:type="dcterms:W3CDTF">2021-11-10T03:18:00Z</dcterms:created>
  <dcterms:modified xsi:type="dcterms:W3CDTF">2021-11-10T07:41:00Z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