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6E89B" w14:textId="77777777"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14:paraId="5016E89C" w14:textId="77777777" w:rsidR="00097342" w:rsidRDefault="00B1532A">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 202</w:t>
      </w:r>
      <w:bookmarkEnd w:id="2"/>
      <w:r>
        <w:rPr>
          <w:rFonts w:ascii="Arial" w:eastAsia="Malgun Gothic" w:hAnsi="Arial" w:cs="Arial"/>
          <w:sz w:val="22"/>
          <w:szCs w:val="22"/>
          <w:lang w:val="en-US" w:eastAsia="en-US"/>
        </w:rPr>
        <w:t>1</w:t>
      </w:r>
      <w:bookmarkEnd w:id="3"/>
    </w:p>
    <w:bookmarkEnd w:id="1"/>
    <w:p w14:paraId="5016E89D" w14:textId="77777777" w:rsidR="00097342" w:rsidRDefault="00097342">
      <w:pPr>
        <w:pStyle w:val="3GPPHeader"/>
        <w:spacing w:after="0"/>
        <w:rPr>
          <w:rFonts w:ascii="Arial" w:hAnsi="Arial" w:cs="Arial"/>
          <w:sz w:val="22"/>
        </w:rPr>
      </w:pPr>
    </w:p>
    <w:p w14:paraId="5016E89E" w14:textId="77777777" w:rsidR="00097342" w:rsidRDefault="00B1532A">
      <w:pPr>
        <w:pStyle w:val="3GPPHeader"/>
        <w:spacing w:after="0"/>
        <w:rPr>
          <w:rFonts w:ascii="Arial" w:hAnsi="Arial" w:cs="Arial"/>
          <w:sz w:val="22"/>
        </w:rPr>
      </w:pPr>
      <w:r>
        <w:rPr>
          <w:rFonts w:ascii="Arial" w:hAnsi="Arial" w:cs="Arial"/>
          <w:sz w:val="22"/>
        </w:rPr>
        <w:tab/>
      </w:r>
    </w:p>
    <w:p w14:paraId="5016E89F" w14:textId="77777777"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14:paraId="5016E8A0"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5016E8A1"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[AT116-e][046][</w:t>
      </w:r>
      <w:proofErr w:type="spellStart"/>
      <w:r>
        <w:rPr>
          <w:rFonts w:ascii="Arial" w:hAnsi="Arial" w:cs="Arial"/>
          <w:b w:val="0"/>
          <w:sz w:val="22"/>
          <w:lang w:val="en-US"/>
        </w:rPr>
        <w:t>ePowSav</w:t>
      </w:r>
      <w:proofErr w:type="spellEnd"/>
      <w:r>
        <w:rPr>
          <w:rFonts w:ascii="Arial" w:hAnsi="Arial" w:cs="Arial"/>
          <w:b w:val="0"/>
          <w:sz w:val="22"/>
          <w:lang w:val="en-US"/>
        </w:rPr>
        <w:t>] Paging Early Indication</w:t>
      </w:r>
    </w:p>
    <w:p w14:paraId="5016E8A2" w14:textId="77777777"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5016E8A3" w14:textId="77777777" w:rsidR="00097342" w:rsidRDefault="00B1532A">
      <w:pPr>
        <w:pStyle w:val="Heading1"/>
      </w:pPr>
      <w:r>
        <w:t>Introduction</w:t>
      </w:r>
    </w:p>
    <w:p w14:paraId="5016E8A4" w14:textId="77777777" w:rsidR="00097342" w:rsidRDefault="00B1532A">
      <w:pPr>
        <w:rPr>
          <w:lang w:val="en-GB" w:eastAsia="zh-CN"/>
        </w:rPr>
      </w:pPr>
      <w:r>
        <w:rPr>
          <w:lang w:val="en-GB" w:eastAsia="zh-CN"/>
        </w:rPr>
        <w:t xml:space="preserve">This report provides a summary of the following offline discussion: </w:t>
      </w:r>
    </w:p>
    <w:p w14:paraId="5016E8A5" w14:textId="77777777"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w:t>
      </w:r>
      <w:proofErr w:type="spellStart"/>
      <w:r>
        <w:rPr>
          <w:rFonts w:ascii="Times New Roman" w:hAnsi="Times New Roman"/>
          <w:color w:val="C45911" w:themeColor="accent2" w:themeShade="BF"/>
        </w:rPr>
        <w:t>ePowSav</w:t>
      </w:r>
      <w:proofErr w:type="spellEnd"/>
      <w:r>
        <w:rPr>
          <w:rFonts w:ascii="Times New Roman" w:hAnsi="Times New Roman"/>
          <w:color w:val="C45911" w:themeColor="accent2" w:themeShade="BF"/>
        </w:rPr>
        <w:t>] Paging Early Indication (Ericsson)</w:t>
      </w:r>
    </w:p>
    <w:p w14:paraId="5016E8A6"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5016E8A7"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14:paraId="5016E8A8" w14:textId="77777777"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14:paraId="5016E8A9" w14:textId="77777777"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14:paraId="5016E8AA" w14:textId="77777777" w:rsidR="00097342" w:rsidRDefault="00B1532A">
      <w:pPr>
        <w:rPr>
          <w:lang w:val="en-GB" w:eastAsia="zh-CN"/>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14:paraId="5016E8AB" w14:textId="77777777" w:rsidR="00097342" w:rsidRDefault="00B1532A">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14:paraId="5016E8AF" w14:textId="77777777">
        <w:tc>
          <w:tcPr>
            <w:tcW w:w="2104" w:type="dxa"/>
            <w:shd w:val="clear" w:color="auto" w:fill="BFBFBF"/>
            <w:vAlign w:val="center"/>
          </w:tcPr>
          <w:p w14:paraId="5016E8A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16E8A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5016E8A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14:paraId="5016E8B3" w14:textId="77777777">
        <w:tc>
          <w:tcPr>
            <w:tcW w:w="2104" w:type="dxa"/>
            <w:vAlign w:val="center"/>
          </w:tcPr>
          <w:p w14:paraId="5016E8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5016E8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016E8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14:paraId="5016E8B7" w14:textId="77777777">
        <w:tc>
          <w:tcPr>
            <w:tcW w:w="2104" w:type="dxa"/>
            <w:vAlign w:val="center"/>
          </w:tcPr>
          <w:p w14:paraId="5016E8B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016E8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016E8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14:paraId="5016E8BB" w14:textId="77777777">
        <w:tc>
          <w:tcPr>
            <w:tcW w:w="2104" w:type="dxa"/>
            <w:vAlign w:val="center"/>
          </w:tcPr>
          <w:p w14:paraId="5016E8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5016E8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5016E8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14:paraId="5016E8BF" w14:textId="77777777">
        <w:tc>
          <w:tcPr>
            <w:tcW w:w="2104" w:type="dxa"/>
            <w:vAlign w:val="center"/>
          </w:tcPr>
          <w:p w14:paraId="5016E8B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5016E8B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5016E8B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14:paraId="5016E8C3" w14:textId="77777777">
        <w:tc>
          <w:tcPr>
            <w:tcW w:w="2104" w:type="dxa"/>
            <w:vAlign w:val="center"/>
          </w:tcPr>
          <w:p w14:paraId="5016E8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5016E8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Haitao</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5016E8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14:paraId="5016E8C7" w14:textId="77777777">
        <w:tc>
          <w:tcPr>
            <w:tcW w:w="2104" w:type="dxa"/>
            <w:vAlign w:val="center"/>
          </w:tcPr>
          <w:p w14:paraId="5016E8C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5016E8C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w:t>
            </w:r>
            <w:r>
              <w:rPr>
                <w:rFonts w:ascii="Times New Roman" w:eastAsiaTheme="minorEastAsia" w:hAnsi="Times New Roman"/>
                <w:sz w:val="18"/>
                <w:szCs w:val="18"/>
                <w:lang w:val="en-GB" w:eastAsia="ko-KR"/>
              </w:rPr>
              <w:t>im</w:t>
            </w:r>
          </w:p>
        </w:tc>
        <w:tc>
          <w:tcPr>
            <w:tcW w:w="4111" w:type="dxa"/>
            <w:shd w:val="clear" w:color="auto" w:fill="auto"/>
            <w:vAlign w:val="center"/>
          </w:tcPr>
          <w:p w14:paraId="5016E8C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14:paraId="5016E8CB" w14:textId="77777777">
        <w:tc>
          <w:tcPr>
            <w:tcW w:w="2104" w:type="dxa"/>
            <w:vAlign w:val="center"/>
          </w:tcPr>
          <w:p w14:paraId="5016E8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016E8C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5016E8C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14:paraId="5016E8CF" w14:textId="77777777">
        <w:tc>
          <w:tcPr>
            <w:tcW w:w="2104" w:type="dxa"/>
            <w:vAlign w:val="center"/>
          </w:tcPr>
          <w:p w14:paraId="5016E8C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2886" w:type="dxa"/>
            <w:vAlign w:val="center"/>
          </w:tcPr>
          <w:p w14:paraId="5016E8C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Yunsong</w:t>
            </w:r>
            <w:proofErr w:type="spellEnd"/>
            <w:r>
              <w:rPr>
                <w:rFonts w:ascii="Times New Roman" w:eastAsia="Times New Roman" w:hAnsi="Times New Roman"/>
                <w:sz w:val="18"/>
                <w:szCs w:val="18"/>
                <w:lang w:val="en-GB" w:eastAsia="zh-CN"/>
              </w:rPr>
              <w:t xml:space="preserve"> Yang</w:t>
            </w:r>
          </w:p>
        </w:tc>
        <w:tc>
          <w:tcPr>
            <w:tcW w:w="4111" w:type="dxa"/>
            <w:shd w:val="clear" w:color="auto" w:fill="auto"/>
            <w:vAlign w:val="center"/>
          </w:tcPr>
          <w:p w14:paraId="5016E8C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14:paraId="5016E8D3" w14:textId="77777777">
        <w:tc>
          <w:tcPr>
            <w:tcW w:w="2104" w:type="dxa"/>
            <w:vAlign w:val="center"/>
          </w:tcPr>
          <w:p w14:paraId="5016E8D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5016E8D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5016E8D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14:paraId="5016E8D7" w14:textId="77777777">
        <w:tc>
          <w:tcPr>
            <w:tcW w:w="2104" w:type="dxa"/>
            <w:vAlign w:val="center"/>
          </w:tcPr>
          <w:p w14:paraId="5016E8D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5016E8D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Noam </w:t>
            </w:r>
            <w:proofErr w:type="spellStart"/>
            <w:r>
              <w:rPr>
                <w:rFonts w:ascii="Times New Roman" w:eastAsia="Times New Roman" w:hAnsi="Times New Roman"/>
                <w:sz w:val="18"/>
                <w:szCs w:val="18"/>
                <w:lang w:val="en-GB" w:eastAsia="zh-CN"/>
              </w:rPr>
              <w:t>Cayron</w:t>
            </w:r>
            <w:proofErr w:type="spellEnd"/>
          </w:p>
        </w:tc>
        <w:tc>
          <w:tcPr>
            <w:tcW w:w="4111" w:type="dxa"/>
            <w:shd w:val="clear" w:color="auto" w:fill="auto"/>
            <w:vAlign w:val="center"/>
          </w:tcPr>
          <w:p w14:paraId="5016E8D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14:paraId="5016E8DB" w14:textId="77777777">
        <w:tc>
          <w:tcPr>
            <w:tcW w:w="2104" w:type="dxa"/>
            <w:vAlign w:val="center"/>
          </w:tcPr>
          <w:p w14:paraId="5016E8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5016E8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5016E8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14:paraId="5016E8DF" w14:textId="77777777">
        <w:tc>
          <w:tcPr>
            <w:tcW w:w="2104" w:type="dxa"/>
            <w:vAlign w:val="center"/>
          </w:tcPr>
          <w:p w14:paraId="5016E8DC"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w:t>
            </w:r>
            <w:r>
              <w:rPr>
                <w:rFonts w:ascii="Times New Roman" w:eastAsia="DengXian" w:hAnsi="Times New Roman"/>
                <w:sz w:val="18"/>
                <w:szCs w:val="18"/>
                <w:lang w:val="en-GB" w:eastAsia="zh-CN"/>
              </w:rPr>
              <w:t>iaomi</w:t>
            </w:r>
          </w:p>
        </w:tc>
        <w:tc>
          <w:tcPr>
            <w:tcW w:w="2886" w:type="dxa"/>
            <w:vAlign w:val="center"/>
          </w:tcPr>
          <w:p w14:paraId="5016E8DD"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t>Ya</w:t>
            </w:r>
            <w:r>
              <w:rPr>
                <w:rFonts w:ascii="Times New Roman" w:eastAsia="DengXian" w:hAnsi="Times New Roman"/>
                <w:sz w:val="18"/>
                <w:szCs w:val="18"/>
                <w:lang w:val="en-GB" w:eastAsia="zh-CN"/>
              </w:rPr>
              <w:t>nhua</w:t>
            </w:r>
            <w:proofErr w:type="spellEnd"/>
            <w:r>
              <w:rPr>
                <w:rFonts w:ascii="Times New Roman" w:eastAsia="DengXian" w:hAnsi="Times New Roman"/>
                <w:sz w:val="18"/>
                <w:szCs w:val="18"/>
                <w:lang w:val="en-GB" w:eastAsia="zh-CN"/>
              </w:rPr>
              <w:t xml:space="preserve"> Li</w:t>
            </w:r>
          </w:p>
        </w:tc>
        <w:tc>
          <w:tcPr>
            <w:tcW w:w="4111" w:type="dxa"/>
            <w:shd w:val="clear" w:color="auto" w:fill="auto"/>
            <w:vAlign w:val="center"/>
          </w:tcPr>
          <w:p w14:paraId="5016E8DE"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L</w:t>
            </w:r>
            <w:r>
              <w:rPr>
                <w:rFonts w:ascii="Times New Roman" w:eastAsia="DengXian" w:hAnsi="Times New Roman" w:hint="eastAsia"/>
                <w:sz w:val="18"/>
                <w:szCs w:val="18"/>
                <w:lang w:val="en-GB" w:eastAsia="zh-CN"/>
              </w:rPr>
              <w:t>iya</w:t>
            </w:r>
            <w:r>
              <w:rPr>
                <w:rFonts w:ascii="Times New Roman" w:eastAsia="DengXian" w:hAnsi="Times New Roman"/>
                <w:sz w:val="18"/>
                <w:szCs w:val="18"/>
                <w:lang w:val="en-GB" w:eastAsia="zh-CN"/>
              </w:rPr>
              <w:t>nhua1@xiaomi.com</w:t>
            </w:r>
          </w:p>
        </w:tc>
      </w:tr>
      <w:tr w:rsidR="002E1D25" w14:paraId="5016E8E3" w14:textId="77777777">
        <w:tc>
          <w:tcPr>
            <w:tcW w:w="2104" w:type="dxa"/>
            <w:vAlign w:val="center"/>
          </w:tcPr>
          <w:p w14:paraId="5016E8E0"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2886" w:type="dxa"/>
            <w:vAlign w:val="center"/>
          </w:tcPr>
          <w:p w14:paraId="5016E8E1"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Tatsuki Nagano</w:t>
            </w:r>
          </w:p>
        </w:tc>
        <w:tc>
          <w:tcPr>
            <w:tcW w:w="4111" w:type="dxa"/>
            <w:shd w:val="clear" w:color="auto" w:fill="auto"/>
            <w:vAlign w:val="center"/>
          </w:tcPr>
          <w:p w14:paraId="5016E8E2"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112FD">
              <w:rPr>
                <w:rFonts w:ascii="Times New Roman" w:eastAsia="Times New Roman" w:hAnsi="Times New Roman"/>
                <w:sz w:val="18"/>
                <w:szCs w:val="18"/>
                <w:lang w:val="en-GB" w:eastAsia="zh-CN"/>
              </w:rPr>
              <w:t>tatsuki.nagano.j7f@jp.denso.com</w:t>
            </w:r>
          </w:p>
        </w:tc>
      </w:tr>
      <w:tr w:rsidR="002B35BA" w14:paraId="2D6902BE" w14:textId="77777777">
        <w:tc>
          <w:tcPr>
            <w:tcW w:w="2104" w:type="dxa"/>
            <w:vAlign w:val="center"/>
          </w:tcPr>
          <w:p w14:paraId="058DCED6" w14:textId="1A6705EB" w:rsidR="002B35BA" w:rsidRPr="002B35BA" w:rsidRDefault="002B35BA" w:rsidP="002B35BA">
            <w:pPr>
              <w:overflowPunct w:val="0"/>
              <w:autoSpaceDE w:val="0"/>
              <w:autoSpaceDN w:val="0"/>
              <w:adjustRightInd w:val="0"/>
              <w:spacing w:before="60" w:after="60"/>
              <w:textAlignment w:val="baseline"/>
              <w:rPr>
                <w:rFonts w:ascii="Times New Roman" w:eastAsia="Yu Mincho" w:hAnsi="Times New Roman" w:hint="eastAsia"/>
                <w:sz w:val="18"/>
                <w:szCs w:val="18"/>
                <w:lang w:eastAsia="ja-JP"/>
              </w:rPr>
            </w:pPr>
            <w:r>
              <w:rPr>
                <w:rFonts w:ascii="Times New Roman" w:eastAsia="Times New Roman" w:hAnsi="Times New Roman"/>
                <w:sz w:val="18"/>
                <w:szCs w:val="18"/>
                <w:lang w:val="en-GB" w:eastAsia="zh-CN"/>
              </w:rPr>
              <w:t>Sony</w:t>
            </w:r>
          </w:p>
        </w:tc>
        <w:tc>
          <w:tcPr>
            <w:tcW w:w="2886" w:type="dxa"/>
            <w:vAlign w:val="center"/>
          </w:tcPr>
          <w:p w14:paraId="2C4488C9" w14:textId="7D5AD060" w:rsidR="002B35BA" w:rsidRDefault="002B35BA" w:rsidP="002B35BA">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Anders Berggren</w:t>
            </w:r>
          </w:p>
        </w:tc>
        <w:tc>
          <w:tcPr>
            <w:tcW w:w="4111" w:type="dxa"/>
            <w:shd w:val="clear" w:color="auto" w:fill="auto"/>
            <w:vAlign w:val="center"/>
          </w:tcPr>
          <w:p w14:paraId="5C4064D4" w14:textId="1FF8E212" w:rsidR="002B35BA" w:rsidRPr="00A112FD" w:rsidRDefault="002B35B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Anders.Berggren@sony.com</w:t>
            </w:r>
          </w:p>
        </w:tc>
      </w:tr>
    </w:tbl>
    <w:p w14:paraId="5016E8E4" w14:textId="77777777" w:rsidR="00097342" w:rsidRDefault="00B1532A">
      <w:pPr>
        <w:pStyle w:val="Heading1"/>
      </w:pPr>
      <w:r>
        <w:lastRenderedPageBreak/>
        <w:t>Background</w:t>
      </w:r>
    </w:p>
    <w:p w14:paraId="5016E8E5" w14:textId="77777777" w:rsidR="00097342" w:rsidRDefault="00B1532A">
      <w:pPr>
        <w:rPr>
          <w:lang w:val="en-GB" w:eastAsia="zh-CN"/>
        </w:rPr>
      </w:pPr>
      <w:r>
        <w:rPr>
          <w:lang w:val="en-GB" w:eastAsia="zh-CN"/>
        </w:rPr>
        <w:t>The following contributions are treated in this offline (from chairman notes):</w:t>
      </w:r>
    </w:p>
    <w:p w14:paraId="5016E8E6" w14:textId="77777777" w:rsidR="00097342" w:rsidRDefault="00B1532A">
      <w:pPr>
        <w:pStyle w:val="BoldComments"/>
        <w:rPr>
          <w:rFonts w:ascii="Times New Roman" w:hAnsi="Times New Roman"/>
        </w:rPr>
      </w:pPr>
      <w:r>
        <w:rPr>
          <w:rFonts w:ascii="Times New Roman" w:hAnsi="Times New Roman"/>
        </w:rPr>
        <w:t>PEI</w:t>
      </w:r>
    </w:p>
    <w:p w14:paraId="5016E8E7" w14:textId="77777777" w:rsidR="00097342" w:rsidRDefault="009C1660">
      <w:pPr>
        <w:pStyle w:val="Doc-title"/>
        <w:numPr>
          <w:ilvl w:val="0"/>
          <w:numId w:val="4"/>
        </w:numPr>
        <w:rPr>
          <w:rFonts w:ascii="Times New Roman" w:hAnsi="Times New Roman"/>
        </w:rPr>
      </w:pPr>
      <w:hyperlink r:id="rId9"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8E8" w14:textId="77777777" w:rsidR="00097342" w:rsidRDefault="009C1660">
      <w:pPr>
        <w:pStyle w:val="Doc-title"/>
        <w:numPr>
          <w:ilvl w:val="0"/>
          <w:numId w:val="4"/>
        </w:numPr>
        <w:rPr>
          <w:rFonts w:ascii="Times New Roman" w:hAnsi="Times New Roman"/>
        </w:rPr>
      </w:pPr>
      <w:hyperlink r:id="rId10"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8E9" w14:textId="77777777" w:rsidR="00097342" w:rsidRDefault="009C1660">
      <w:pPr>
        <w:pStyle w:val="Doc-title"/>
        <w:numPr>
          <w:ilvl w:val="0"/>
          <w:numId w:val="4"/>
        </w:numPr>
        <w:rPr>
          <w:rFonts w:ascii="Times New Roman" w:hAnsi="Times New Roman"/>
        </w:rPr>
      </w:pPr>
      <w:hyperlink r:id="rId11" w:history="1">
        <w:r w:rsidR="00B1532A">
          <w:rPr>
            <w:rStyle w:val="Hyperlink"/>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8EA" w14:textId="77777777" w:rsidR="00097342" w:rsidRDefault="009C1660">
      <w:pPr>
        <w:pStyle w:val="Doc-title"/>
        <w:numPr>
          <w:ilvl w:val="0"/>
          <w:numId w:val="4"/>
        </w:numPr>
        <w:rPr>
          <w:rFonts w:ascii="Times New Roman" w:hAnsi="Times New Roman"/>
        </w:rPr>
      </w:pPr>
      <w:hyperlink r:id="rId12"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8EB" w14:textId="77777777" w:rsidR="00097342" w:rsidRDefault="009C1660">
      <w:pPr>
        <w:pStyle w:val="Doc-title"/>
        <w:numPr>
          <w:ilvl w:val="0"/>
          <w:numId w:val="4"/>
        </w:numPr>
        <w:spacing w:after="200"/>
        <w:rPr>
          <w:rFonts w:ascii="Times New Roman" w:hAnsi="Times New Roman"/>
        </w:rPr>
      </w:pPr>
      <w:hyperlink r:id="rId13"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8EC" w14:textId="77777777" w:rsidR="00097342" w:rsidRDefault="00B1532A">
      <w:r>
        <w:t xml:space="preserve">The rapporteur thinks that the following proposals in [1-5] are being discussed in RAN1 and should not be discussed in this offline, i.e. RAN2 should wait for the RAN1 outcome: </w:t>
      </w:r>
    </w:p>
    <w:p w14:paraId="5016E8ED"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14:paraId="5016E8EE"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14:paraId="5016E8EF"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slots before its associated </w:t>
      </w:r>
      <w:proofErr w:type="spellStart"/>
      <w:r>
        <w:rPr>
          <w:rFonts w:ascii="Times New Roman" w:hAnsi="Times New Roman"/>
          <w:b/>
          <w:sz w:val="18"/>
          <w:szCs w:val="18"/>
        </w:rPr>
        <w:t>POs.</w:t>
      </w:r>
      <w:proofErr w:type="spellEnd"/>
      <w:r>
        <w:rPr>
          <w:rFonts w:ascii="Times New Roman" w:hAnsi="Times New Roman"/>
          <w:b/>
          <w:sz w:val="18"/>
          <w:szCs w:val="18"/>
        </w:rPr>
        <w:t xml:space="preserve"> </w:t>
      </w:r>
    </w:p>
    <w:p w14:paraId="5016E8F0" w14:textId="77777777"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5016E8F1"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it is within the first set of MO in paging SS right after an SSB;</w:t>
      </w:r>
    </w:p>
    <w:p w14:paraId="5016E8F2"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14:paraId="5016E8F3"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14:paraId="5016E8F4" w14:textId="77777777"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14:paraId="5016E8F5" w14:textId="77777777" w:rsidR="00097342" w:rsidRDefault="00097342">
      <w:pPr>
        <w:spacing w:after="0" w:line="240" w:lineRule="auto"/>
        <w:rPr>
          <w:rFonts w:ascii="Times New Roman" w:hAnsi="Times New Roman"/>
          <w:sz w:val="18"/>
          <w:szCs w:val="18"/>
        </w:rPr>
      </w:pPr>
    </w:p>
    <w:p w14:paraId="5016E8F6"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14:paraId="5016E8F7" w14:textId="77777777"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14:paraId="5016E8F8" w14:textId="77777777"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14:paraId="5016E8F9" w14:textId="77777777" w:rsidR="00097342" w:rsidRDefault="00B1532A">
      <w:pPr>
        <w:pStyle w:val="Heading1"/>
      </w:pPr>
      <w:r>
        <w:t>Discussion</w:t>
      </w:r>
      <w:bookmarkEnd w:id="5"/>
    </w:p>
    <w:p w14:paraId="5016E8FA" w14:textId="77777777"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14:paraId="5016E8FB" w14:textId="77777777" w:rsidR="00097342" w:rsidRDefault="00B1532A">
      <w:pPr>
        <w:pStyle w:val="Heading2"/>
      </w:pPr>
      <w:r>
        <w:t>PEI monitoring basic</w:t>
      </w:r>
    </w:p>
    <w:p w14:paraId="5016E8FC" w14:textId="77777777" w:rsidR="00097342" w:rsidRDefault="00B1532A">
      <w:r>
        <w:rPr>
          <w:b/>
          <w:bCs/>
        </w:rPr>
        <w:t>Question 1</w:t>
      </w:r>
      <w:r>
        <w:t xml:space="preserve">: Do companies agree with the following proposal [1]?: </w:t>
      </w:r>
    </w:p>
    <w:p w14:paraId="5016E8FD"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01" w14:textId="77777777">
        <w:tc>
          <w:tcPr>
            <w:tcW w:w="1447" w:type="dxa"/>
            <w:shd w:val="clear" w:color="auto" w:fill="BFBFBF"/>
            <w:vAlign w:val="center"/>
          </w:tcPr>
          <w:p w14:paraId="5016E8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8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05" w14:textId="77777777">
        <w:tc>
          <w:tcPr>
            <w:tcW w:w="1447" w:type="dxa"/>
            <w:vAlign w:val="center"/>
          </w:tcPr>
          <w:p w14:paraId="5016E9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14:paraId="5016E909" w14:textId="77777777">
        <w:tc>
          <w:tcPr>
            <w:tcW w:w="1447" w:type="dxa"/>
            <w:vAlign w:val="center"/>
          </w:tcPr>
          <w:p w14:paraId="5016E90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9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8"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0D" w14:textId="77777777">
        <w:tc>
          <w:tcPr>
            <w:tcW w:w="1447" w:type="dxa"/>
            <w:vAlign w:val="center"/>
          </w:tcPr>
          <w:p w14:paraId="5016E90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C"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11" w14:textId="77777777">
        <w:tc>
          <w:tcPr>
            <w:tcW w:w="1447" w:type="dxa"/>
            <w:vAlign w:val="center"/>
          </w:tcPr>
          <w:p w14:paraId="5016E90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0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1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14:paraId="5016E917" w14:textId="77777777">
        <w:tc>
          <w:tcPr>
            <w:tcW w:w="1447" w:type="dxa"/>
            <w:vAlign w:val="center"/>
          </w:tcPr>
          <w:p w14:paraId="5016E91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5016E9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016E91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016E915" w14:textId="77777777"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lastRenderedPageBreak/>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 xml:space="preserve">to wake </w:t>
            </w:r>
            <w:proofErr w:type="spellStart"/>
            <w:r>
              <w:rPr>
                <w:rFonts w:ascii="Times New Roman" w:hAnsi="Times New Roman"/>
                <w:b/>
                <w:strike/>
                <w:sz w:val="18"/>
                <w:szCs w:val="18"/>
                <w:highlight w:val="yellow"/>
              </w:rPr>
              <w:t>up</w:t>
            </w:r>
            <w:r>
              <w:rPr>
                <w:rFonts w:ascii="Times New Roman" w:hAnsi="Times New Roman"/>
                <w:b/>
                <w:color w:val="C00000"/>
                <w:sz w:val="18"/>
                <w:szCs w:val="18"/>
              </w:rPr>
              <w:t>has</w:t>
            </w:r>
            <w:proofErr w:type="spellEnd"/>
            <w:r>
              <w:rPr>
                <w:rFonts w:ascii="Times New Roman" w:hAnsi="Times New Roman"/>
                <w:b/>
                <w:color w:val="C00000"/>
                <w:sz w:val="18"/>
                <w:szCs w:val="18"/>
              </w:rPr>
              <w:t xml:space="preserve">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14:paraId="5016E91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14:paraId="5016E91B" w14:textId="77777777">
        <w:tc>
          <w:tcPr>
            <w:tcW w:w="1447" w:type="dxa"/>
            <w:vAlign w:val="center"/>
          </w:tcPr>
          <w:p w14:paraId="5016E91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14:paraId="5016E919"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91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20" w14:textId="77777777">
        <w:tc>
          <w:tcPr>
            <w:tcW w:w="1447" w:type="dxa"/>
            <w:vAlign w:val="center"/>
          </w:tcPr>
          <w:p w14:paraId="5016E9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1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14:paraId="5016E9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14:paraId="5016E925" w14:textId="77777777">
        <w:tc>
          <w:tcPr>
            <w:tcW w:w="1447" w:type="dxa"/>
            <w:vAlign w:val="center"/>
          </w:tcPr>
          <w:p w14:paraId="5016E92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92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5016E9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5016E9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rsidR="00097342" w14:paraId="5016E929" w14:textId="77777777">
        <w:tc>
          <w:tcPr>
            <w:tcW w:w="1447" w:type="dxa"/>
            <w:vAlign w:val="center"/>
          </w:tcPr>
          <w:p w14:paraId="5016E92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2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5016E92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14:paraId="5016E92D" w14:textId="77777777">
        <w:tc>
          <w:tcPr>
            <w:tcW w:w="1447" w:type="dxa"/>
            <w:vAlign w:val="center"/>
          </w:tcPr>
          <w:p w14:paraId="5016E92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14:paraId="5016E933" w14:textId="77777777">
        <w:tc>
          <w:tcPr>
            <w:tcW w:w="1447" w:type="dxa"/>
            <w:vAlign w:val="center"/>
          </w:tcPr>
          <w:p w14:paraId="5016E9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9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14:paraId="5016E9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14:paraId="5016E9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14:paraId="5016E937" w14:textId="77777777">
        <w:tc>
          <w:tcPr>
            <w:tcW w:w="1447" w:type="dxa"/>
            <w:vAlign w:val="center"/>
          </w:tcPr>
          <w:p w14:paraId="5016E9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roofErr w:type="spellStart"/>
            <w:r>
              <w:rPr>
                <w:rFonts w:ascii="Times New Roman" w:eastAsia="Times New Roman" w:hAnsi="Times New Roman" w:hint="eastAsia"/>
                <w:sz w:val="18"/>
                <w:szCs w:val="18"/>
                <w:lang w:eastAsia="zh-CN"/>
              </w:rPr>
              <w:t>Yes,but</w:t>
            </w:r>
            <w:proofErr w:type="spellEnd"/>
          </w:p>
        </w:tc>
        <w:tc>
          <w:tcPr>
            <w:tcW w:w="6804" w:type="dxa"/>
            <w:shd w:val="clear" w:color="auto" w:fill="auto"/>
            <w:vAlign w:val="center"/>
          </w:tcPr>
          <w:p w14:paraId="5016E9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14:paraId="5016E93B" w14:textId="77777777">
        <w:tc>
          <w:tcPr>
            <w:tcW w:w="1447" w:type="dxa"/>
            <w:vAlign w:val="center"/>
          </w:tcPr>
          <w:p w14:paraId="5016E938"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39"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804" w:type="dxa"/>
            <w:shd w:val="clear" w:color="auto" w:fill="auto"/>
            <w:vAlign w:val="center"/>
          </w:tcPr>
          <w:p w14:paraId="5016E93A"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No not understand the intention of this question. Agree that it is a RAN1’s question.</w:t>
            </w:r>
          </w:p>
        </w:tc>
      </w:tr>
      <w:tr w:rsidR="002E1D25" w14:paraId="5016E93F" w14:textId="77777777">
        <w:tc>
          <w:tcPr>
            <w:tcW w:w="1447" w:type="dxa"/>
            <w:vAlign w:val="center"/>
          </w:tcPr>
          <w:p w14:paraId="5016E93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w:t>
            </w:r>
            <w:r>
              <w:rPr>
                <w:rFonts w:ascii="Times New Roman" w:eastAsiaTheme="minorEastAsia" w:hAnsi="Times New Roman"/>
                <w:sz w:val="18"/>
                <w:szCs w:val="18"/>
                <w:lang w:val="en-GB" w:eastAsia="ja-JP"/>
              </w:rPr>
              <w:t>ENSO</w:t>
            </w:r>
          </w:p>
        </w:tc>
        <w:tc>
          <w:tcPr>
            <w:tcW w:w="992" w:type="dxa"/>
            <w:shd w:val="clear" w:color="auto" w:fill="auto"/>
            <w:vAlign w:val="center"/>
          </w:tcPr>
          <w:p w14:paraId="5016E93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Yes</w:t>
            </w:r>
          </w:p>
        </w:tc>
        <w:tc>
          <w:tcPr>
            <w:tcW w:w="6804" w:type="dxa"/>
            <w:shd w:val="clear" w:color="auto" w:fill="auto"/>
            <w:vAlign w:val="center"/>
          </w:tcPr>
          <w:p w14:paraId="5016E93E"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8527E" w14:paraId="3F648DA3" w14:textId="77777777">
        <w:tc>
          <w:tcPr>
            <w:tcW w:w="1447" w:type="dxa"/>
            <w:vAlign w:val="center"/>
          </w:tcPr>
          <w:p w14:paraId="15B9A70A" w14:textId="659FB1B6"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E49FA5C" w14:textId="3A717DD1"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47165916" w14:textId="77777777" w:rsidR="0038527E" w:rsidRPr="00706C48" w:rsidRDefault="0038527E" w:rsidP="003852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940" w14:textId="77777777" w:rsidR="00097342" w:rsidRDefault="00097342">
      <w:pPr>
        <w:rPr>
          <w:b/>
          <w:bCs/>
        </w:rPr>
      </w:pPr>
    </w:p>
    <w:p w14:paraId="5016E941" w14:textId="77777777" w:rsidR="00097342" w:rsidRDefault="00B1532A">
      <w:r>
        <w:rPr>
          <w:b/>
          <w:bCs/>
        </w:rPr>
        <w:t>Question 2</w:t>
      </w:r>
      <w:r>
        <w:t xml:space="preserve">: Do companies agree with the following proposal [1]?: </w:t>
      </w:r>
    </w:p>
    <w:p w14:paraId="5016E942"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46" w14:textId="77777777">
        <w:tc>
          <w:tcPr>
            <w:tcW w:w="1447" w:type="dxa"/>
            <w:shd w:val="clear" w:color="auto" w:fill="BFBFBF"/>
            <w:vAlign w:val="center"/>
          </w:tcPr>
          <w:p w14:paraId="5016E94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9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4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4A" w14:textId="77777777">
        <w:tc>
          <w:tcPr>
            <w:tcW w:w="1447" w:type="dxa"/>
            <w:vAlign w:val="center"/>
          </w:tcPr>
          <w:p w14:paraId="5016E94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4E" w14:textId="77777777">
        <w:tc>
          <w:tcPr>
            <w:tcW w:w="1447" w:type="dxa"/>
            <w:vAlign w:val="center"/>
          </w:tcPr>
          <w:p w14:paraId="5016E94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4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9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14:paraId="5016E952" w14:textId="77777777">
        <w:tc>
          <w:tcPr>
            <w:tcW w:w="1447" w:type="dxa"/>
            <w:vAlign w:val="center"/>
          </w:tcPr>
          <w:p w14:paraId="5016E94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5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5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56" w14:textId="77777777">
        <w:tc>
          <w:tcPr>
            <w:tcW w:w="1447" w:type="dxa"/>
            <w:vAlign w:val="center"/>
          </w:tcPr>
          <w:p w14:paraId="5016E9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95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955" w14:textId="77777777"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14:paraId="5016E95A" w14:textId="77777777">
        <w:tc>
          <w:tcPr>
            <w:tcW w:w="1447" w:type="dxa"/>
            <w:vAlign w:val="center"/>
          </w:tcPr>
          <w:p w14:paraId="5016E957"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5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9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14:paraId="5016E95E" w14:textId="77777777">
        <w:tc>
          <w:tcPr>
            <w:tcW w:w="1447" w:type="dxa"/>
            <w:vAlign w:val="center"/>
          </w:tcPr>
          <w:p w14:paraId="5016E9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92" w:type="dxa"/>
            <w:shd w:val="clear" w:color="auto" w:fill="auto"/>
            <w:vAlign w:val="center"/>
          </w:tcPr>
          <w:p w14:paraId="5016E9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14:paraId="5016E962" w14:textId="77777777">
        <w:tc>
          <w:tcPr>
            <w:tcW w:w="1447" w:type="dxa"/>
            <w:vAlign w:val="center"/>
          </w:tcPr>
          <w:p w14:paraId="5016E9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9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66" w14:textId="77777777">
        <w:tc>
          <w:tcPr>
            <w:tcW w:w="1447" w:type="dxa"/>
            <w:vAlign w:val="center"/>
          </w:tcPr>
          <w:p w14:paraId="5016E96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6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14:paraId="5016E96A" w14:textId="77777777">
        <w:tc>
          <w:tcPr>
            <w:tcW w:w="1447" w:type="dxa"/>
            <w:vAlign w:val="center"/>
          </w:tcPr>
          <w:p w14:paraId="5016E9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14:paraId="5016E96E" w14:textId="77777777">
        <w:tc>
          <w:tcPr>
            <w:tcW w:w="1447" w:type="dxa"/>
            <w:vAlign w:val="center"/>
          </w:tcPr>
          <w:p w14:paraId="5016E96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72" w14:textId="77777777">
        <w:tc>
          <w:tcPr>
            <w:tcW w:w="1447" w:type="dxa"/>
            <w:vAlign w:val="center"/>
          </w:tcPr>
          <w:p w14:paraId="5016E9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97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14:paraId="5016E976" w14:textId="77777777">
        <w:tc>
          <w:tcPr>
            <w:tcW w:w="1447" w:type="dxa"/>
            <w:vAlign w:val="center"/>
          </w:tcPr>
          <w:p w14:paraId="5016E973"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74"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975"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Wh</w:t>
            </w:r>
            <w:r>
              <w:rPr>
                <w:rFonts w:ascii="Times New Roman" w:eastAsia="DengXian" w:hAnsi="Times New Roman"/>
                <w:sz w:val="18"/>
                <w:szCs w:val="18"/>
                <w:lang w:eastAsia="zh-CN"/>
              </w:rPr>
              <w:t>ether put short message in PEI is currently discussed in RAN1.</w:t>
            </w:r>
          </w:p>
        </w:tc>
      </w:tr>
      <w:tr w:rsidR="002E1D25" w14:paraId="5016E97A" w14:textId="77777777">
        <w:tc>
          <w:tcPr>
            <w:tcW w:w="1447" w:type="dxa"/>
            <w:vAlign w:val="center"/>
          </w:tcPr>
          <w:p w14:paraId="5016E97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978"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979" w14:textId="77777777" w:rsidR="002E1D25" w:rsidRPr="00BC7180"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heme="minorEastAsia" w:hAnsi="Times New Roman"/>
                <w:sz w:val="18"/>
                <w:szCs w:val="18"/>
                <w:lang w:val="en-GB" w:eastAsia="ja-JP"/>
              </w:rPr>
              <w:t>Short message can be included in PEI DCI as in legacy paging DCI. Also, although it is up to RAN1, we think at least short message indicator is required in PEI.</w:t>
            </w:r>
          </w:p>
        </w:tc>
      </w:tr>
      <w:tr w:rsidR="00870353" w14:paraId="2B732E7D" w14:textId="77777777">
        <w:tc>
          <w:tcPr>
            <w:tcW w:w="1447" w:type="dxa"/>
            <w:vAlign w:val="center"/>
          </w:tcPr>
          <w:p w14:paraId="0A851A41" w14:textId="60D30BB1"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2F4CF11A" w14:textId="1B747A91" w:rsidR="00870353" w:rsidRPr="00706C48" w:rsidRDefault="00870353" w:rsidP="008703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CA42D8" w14:textId="77777777"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bl>
    <w:p w14:paraId="5016E97B" w14:textId="77777777" w:rsidR="00097342" w:rsidRDefault="00097342"/>
    <w:p w14:paraId="5016E97C" w14:textId="77777777" w:rsidR="00097342" w:rsidRDefault="00B1532A">
      <w:pPr>
        <w:pStyle w:val="Heading2"/>
      </w:pPr>
      <w:r>
        <w:t>PEI monitoring with and without eDRX</w:t>
      </w:r>
    </w:p>
    <w:p w14:paraId="5016E97D" w14:textId="77777777"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14:paraId="5016E97E" w14:textId="77777777"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14:paraId="5016E97F" w14:textId="77777777"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For CN-initiated paging, a default cycle is broadcast in system information;</w:t>
      </w:r>
    </w:p>
    <w:p w14:paraId="5016E980" w14:textId="77777777"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For CN-initiated paging, a UE specific cycle can be configured via NAS signalling;</w:t>
      </w:r>
    </w:p>
    <w:p w14:paraId="5016E981" w14:textId="77777777" w:rsidR="00097342" w:rsidRDefault="00B1532A">
      <w:pPr>
        <w:pStyle w:val="B1"/>
        <w:spacing w:after="0"/>
        <w:rPr>
          <w:color w:val="C45911" w:themeColor="accent2" w:themeShade="BF"/>
          <w:sz w:val="18"/>
          <w:szCs w:val="18"/>
        </w:rPr>
      </w:pPr>
      <w:r>
        <w:rPr>
          <w:color w:val="C45911" w:themeColor="accent2" w:themeShade="BF"/>
          <w:sz w:val="18"/>
          <w:szCs w:val="18"/>
        </w:rPr>
        <w:t>3)</w:t>
      </w:r>
      <w:r>
        <w:rPr>
          <w:color w:val="C45911" w:themeColor="accent2" w:themeShade="BF"/>
          <w:sz w:val="18"/>
          <w:szCs w:val="18"/>
        </w:rPr>
        <w:tab/>
        <w:t>For RAN-initiated paging, a UE-specific cycle is configured via RRC signalling;</w:t>
      </w:r>
    </w:p>
    <w:p w14:paraId="5016E982" w14:textId="77777777" w:rsidR="00097342" w:rsidRDefault="00B1532A">
      <w:pPr>
        <w:pStyle w:val="B1"/>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5016E983" w14:textId="77777777" w:rsidR="00097342" w:rsidRDefault="00B1532A">
      <w:r>
        <w:t>According to 38.331 the UE monitors Paging in Idle and Inactive according to:</w:t>
      </w:r>
    </w:p>
    <w:p w14:paraId="5016E984"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RRC_IDLE</w:t>
      </w:r>
      <w:r>
        <w:rPr>
          <w:color w:val="C45911" w:themeColor="accent2" w:themeShade="BF"/>
          <w:sz w:val="18"/>
          <w:szCs w:val="18"/>
        </w:rPr>
        <w:t>:</w:t>
      </w:r>
    </w:p>
    <w:p w14:paraId="5016E985"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6"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14:paraId="5016E987"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8"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w:t>
      </w:r>
    </w:p>
    <w:p w14:paraId="5016E989"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p>
    <w:p w14:paraId="5016E98A"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14:paraId="5016E98B"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C" w14:textId="77777777" w:rsidR="00097342" w:rsidRDefault="00B1532A">
      <w:pPr>
        <w:pStyle w:val="B2"/>
        <w:spacing w:after="0"/>
        <w:rPr>
          <w:color w:val="C45911" w:themeColor="accent2" w:themeShade="BF"/>
          <w:sz w:val="18"/>
          <w:szCs w:val="18"/>
        </w:rPr>
      </w:pPr>
      <w:r>
        <w:rPr>
          <w:color w:val="C45911" w:themeColor="accent2" w:themeShade="BF"/>
          <w:sz w:val="18"/>
          <w:szCs w:val="18"/>
        </w:rPr>
        <w:t>The UE:</w:t>
      </w:r>
    </w:p>
    <w:p w14:paraId="5016E98D"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E" w14:textId="77777777"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 xml:space="preserve">Monitors a Paging channel for CN paging using 5G-S-TMSI and RAN paging using </w:t>
      </w:r>
      <w:proofErr w:type="spellStart"/>
      <w:r>
        <w:rPr>
          <w:color w:val="C45911" w:themeColor="accent2" w:themeShade="BF"/>
          <w:sz w:val="18"/>
          <w:szCs w:val="18"/>
        </w:rPr>
        <w:t>fullI</w:t>
      </w:r>
      <w:proofErr w:type="spellEnd"/>
      <w:r>
        <w:rPr>
          <w:color w:val="C45911" w:themeColor="accent2" w:themeShade="BF"/>
          <w:sz w:val="18"/>
          <w:szCs w:val="18"/>
        </w:rPr>
        <w:t>-RNTI;</w:t>
      </w:r>
    </w:p>
    <w:p w14:paraId="5016E98F" w14:textId="77777777" w:rsidR="00097342" w:rsidRDefault="00B1532A">
      <w:r>
        <w:t>Then about extended DRX (eDRX) in NR: under the RedCap work item it was agreed:</w:t>
      </w:r>
    </w:p>
    <w:p w14:paraId="5016E990" w14:textId="77777777"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eDRX feature is optional for any UE (including RedCap and non-RedCap UEs).</w:t>
      </w:r>
    </w:p>
    <w:p w14:paraId="5016E991" w14:textId="77777777" w:rsidR="00097342" w:rsidRDefault="00B1532A">
      <w:r>
        <w:t xml:space="preserve">The eDRX is up to 3 hours in Idle and up to 10,24 sec in Inactive mode. </w:t>
      </w:r>
    </w:p>
    <w:p w14:paraId="5016E992" w14:textId="77777777" w:rsidR="00097342" w:rsidRDefault="00B1532A">
      <w:r>
        <w:rPr>
          <w:b/>
          <w:bCs/>
        </w:rPr>
        <w:t>Question 3</w:t>
      </w:r>
      <w:r>
        <w:t xml:space="preserve">: Do companies agree with the following updated proposal from [1]?: </w:t>
      </w:r>
    </w:p>
    <w:p w14:paraId="5016E993" w14:textId="77777777" w:rsidR="00097342" w:rsidRDefault="00B1532A">
      <w:pPr>
        <w:rPr>
          <w:rFonts w:ascii="Times New Roman" w:hAnsi="Times New Roman"/>
          <w:b/>
          <w:bCs/>
          <w:sz w:val="18"/>
          <w:szCs w:val="18"/>
        </w:rPr>
      </w:pPr>
      <w:r>
        <w:rPr>
          <w:rFonts w:ascii="Times New Roman" w:hAnsi="Times New Roman"/>
          <w:b/>
          <w:sz w:val="18"/>
          <w:szCs w:val="18"/>
        </w:rPr>
        <w:lastRenderedPageBreak/>
        <w:t xml:space="preserve">Proposal: If UE is not configured with eDRX, </w:t>
      </w:r>
    </w:p>
    <w:p w14:paraId="5016E994" w14:textId="77777777" w:rsidR="00097342" w:rsidRDefault="00B1532A">
      <w:pPr>
        <w:pStyle w:val="ListParagraph"/>
        <w:numPr>
          <w:ilvl w:val="0"/>
          <w:numId w:val="7"/>
        </w:numPr>
        <w:spacing w:line="252" w:lineRule="auto"/>
        <w:ind w:left="1706" w:hanging="1264"/>
        <w:contextualSpacing w:val="0"/>
        <w:rPr>
          <w:rFonts w:ascii="Times New Roman" w:hAnsi="Times New Roman"/>
          <w:b/>
          <w:bCs/>
          <w:sz w:val="18"/>
          <w:szCs w:val="18"/>
        </w:rPr>
      </w:pPr>
      <w:r>
        <w:rPr>
          <w:rFonts w:ascii="Times New Roman" w:hAnsi="Times New Roman"/>
          <w:b/>
          <w:sz w:val="18"/>
          <w:szCs w:val="18"/>
        </w:rPr>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98" w14:textId="77777777">
        <w:tc>
          <w:tcPr>
            <w:tcW w:w="1447" w:type="dxa"/>
            <w:shd w:val="clear" w:color="auto" w:fill="BFBFBF"/>
            <w:vAlign w:val="center"/>
          </w:tcPr>
          <w:p w14:paraId="5016E9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9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9C" w14:textId="77777777">
        <w:tc>
          <w:tcPr>
            <w:tcW w:w="1447" w:type="dxa"/>
            <w:vAlign w:val="center"/>
          </w:tcPr>
          <w:p w14:paraId="5016E9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9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0" w14:textId="77777777">
        <w:tc>
          <w:tcPr>
            <w:tcW w:w="1447" w:type="dxa"/>
            <w:vAlign w:val="center"/>
          </w:tcPr>
          <w:p w14:paraId="5016E9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9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4" w14:textId="77777777">
        <w:tc>
          <w:tcPr>
            <w:tcW w:w="1447" w:type="dxa"/>
            <w:vAlign w:val="center"/>
          </w:tcPr>
          <w:p w14:paraId="5016E9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A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A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8" w14:textId="77777777">
        <w:tc>
          <w:tcPr>
            <w:tcW w:w="1447" w:type="dxa"/>
            <w:vAlign w:val="center"/>
          </w:tcPr>
          <w:p w14:paraId="5016E9A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A6"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5016E9A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C" w14:textId="77777777">
        <w:tc>
          <w:tcPr>
            <w:tcW w:w="1447" w:type="dxa"/>
            <w:vAlign w:val="center"/>
          </w:tcPr>
          <w:p w14:paraId="5016E9A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A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A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0" w14:textId="77777777">
        <w:tc>
          <w:tcPr>
            <w:tcW w:w="1447" w:type="dxa"/>
            <w:vAlign w:val="center"/>
          </w:tcPr>
          <w:p w14:paraId="5016E9A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016E9AE"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016E9A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4" w14:textId="77777777">
        <w:tc>
          <w:tcPr>
            <w:tcW w:w="1447" w:type="dxa"/>
            <w:vAlign w:val="center"/>
          </w:tcPr>
          <w:p w14:paraId="5016E9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5016E9B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seems that the rapporteur misunderstood our intention and the proposal. We are fine to support the proposal from the rapporteur and keep ours as UE implementation. </w:t>
            </w:r>
          </w:p>
        </w:tc>
      </w:tr>
      <w:tr w:rsidR="00097342" w14:paraId="5016E9B8" w14:textId="77777777">
        <w:tc>
          <w:tcPr>
            <w:tcW w:w="1447" w:type="dxa"/>
            <w:vAlign w:val="center"/>
          </w:tcPr>
          <w:p w14:paraId="5016E9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5016E9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C" w14:textId="77777777">
        <w:tc>
          <w:tcPr>
            <w:tcW w:w="1447" w:type="dxa"/>
            <w:vAlign w:val="center"/>
          </w:tcPr>
          <w:p w14:paraId="5016E9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0" w14:textId="77777777">
        <w:tc>
          <w:tcPr>
            <w:tcW w:w="1447" w:type="dxa"/>
            <w:vAlign w:val="center"/>
          </w:tcPr>
          <w:p w14:paraId="5016E9B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B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4" w14:textId="77777777">
        <w:tc>
          <w:tcPr>
            <w:tcW w:w="1447" w:type="dxa"/>
            <w:vAlign w:val="center"/>
          </w:tcPr>
          <w:p w14:paraId="5016E9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14:paraId="5016E9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8" w14:textId="77777777">
        <w:tc>
          <w:tcPr>
            <w:tcW w:w="1447" w:type="dxa"/>
            <w:vAlign w:val="center"/>
          </w:tcPr>
          <w:p w14:paraId="5016E9C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016E9C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14:paraId="5016E9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14:paraId="5016E9CE" w14:textId="77777777">
        <w:tc>
          <w:tcPr>
            <w:tcW w:w="1447" w:type="dxa"/>
            <w:vAlign w:val="center"/>
          </w:tcPr>
          <w:p w14:paraId="5016E9C9"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1134" w:type="dxa"/>
            <w:shd w:val="clear" w:color="auto" w:fill="auto"/>
            <w:vAlign w:val="center"/>
          </w:tcPr>
          <w:p w14:paraId="5016E9CA"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662" w:type="dxa"/>
            <w:shd w:val="clear" w:color="auto" w:fill="auto"/>
            <w:vAlign w:val="center"/>
          </w:tcPr>
          <w:p w14:paraId="5016E9CB" w14:textId="77777777" w:rsidR="0093250D" w:rsidRDefault="00A3354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The i</w:t>
            </w:r>
            <w:r w:rsidR="0093250D">
              <w:rPr>
                <w:rFonts w:ascii="Times New Roman" w:eastAsia="DengXian" w:hAnsi="Times New Roman"/>
                <w:sz w:val="18"/>
                <w:szCs w:val="18"/>
                <w:lang w:val="en-GB" w:eastAsia="zh-CN"/>
              </w:rPr>
              <w:t>ntention</w:t>
            </w:r>
            <w:r>
              <w:rPr>
                <w:rFonts w:ascii="Times New Roman" w:eastAsia="DengXian" w:hAnsi="Times New Roman"/>
                <w:sz w:val="18"/>
                <w:szCs w:val="18"/>
                <w:lang w:val="en-GB" w:eastAsia="zh-CN"/>
              </w:rPr>
              <w:t xml:space="preserve"> of this question need more clarification.</w:t>
            </w:r>
          </w:p>
          <w:p w14:paraId="5016E9CC" w14:textId="77777777" w:rsid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[1] is to propose that UE do not need to monitor PEI for default paging cycle and only need to monitor PEI for UE’s specify cycle.</w:t>
            </w:r>
          </w:p>
          <w:p w14:paraId="5016E9CD"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do not think such an optimization is needed. Or proponent companies can bring this to RAN1 to discuss for short massage, the PEI monitoring behaviour needs to be different or not. </w:t>
            </w:r>
          </w:p>
        </w:tc>
      </w:tr>
      <w:tr w:rsidR="002E1D25" w14:paraId="5016E9D2" w14:textId="77777777">
        <w:tc>
          <w:tcPr>
            <w:tcW w:w="1447" w:type="dxa"/>
            <w:vAlign w:val="center"/>
          </w:tcPr>
          <w:p w14:paraId="5016E9CF"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DENSO</w:t>
            </w:r>
          </w:p>
        </w:tc>
        <w:tc>
          <w:tcPr>
            <w:tcW w:w="1134" w:type="dxa"/>
            <w:shd w:val="clear" w:color="auto" w:fill="auto"/>
            <w:vAlign w:val="center"/>
          </w:tcPr>
          <w:p w14:paraId="5016E9D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9D1"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D6138" w14:paraId="317657C2" w14:textId="77777777">
        <w:tc>
          <w:tcPr>
            <w:tcW w:w="1447" w:type="dxa"/>
            <w:vAlign w:val="center"/>
          </w:tcPr>
          <w:p w14:paraId="33D6775E" w14:textId="31606E8A" w:rsidR="005D613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Sony</w:t>
            </w:r>
          </w:p>
        </w:tc>
        <w:tc>
          <w:tcPr>
            <w:tcW w:w="1134" w:type="dxa"/>
            <w:shd w:val="clear" w:color="auto" w:fill="auto"/>
            <w:vAlign w:val="center"/>
          </w:tcPr>
          <w:p w14:paraId="45AE1436" w14:textId="5B7D62FF" w:rsidR="005D6138" w:rsidRDefault="005D6138" w:rsidP="005D6138">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Yes</w:t>
            </w:r>
          </w:p>
        </w:tc>
        <w:tc>
          <w:tcPr>
            <w:tcW w:w="6662" w:type="dxa"/>
            <w:shd w:val="clear" w:color="auto" w:fill="auto"/>
            <w:vAlign w:val="center"/>
          </w:tcPr>
          <w:p w14:paraId="424A24E6" w14:textId="77777777" w:rsidR="005D6138" w:rsidRPr="00706C4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9D3" w14:textId="77777777" w:rsidR="00097342" w:rsidRDefault="00097342">
      <w:pPr>
        <w:rPr>
          <w:lang w:val="en-GB" w:eastAsia="zh-CN"/>
        </w:rPr>
      </w:pPr>
    </w:p>
    <w:p w14:paraId="5016E9D4" w14:textId="77777777" w:rsidR="00097342" w:rsidRDefault="00B1532A">
      <w:pPr>
        <w:rPr>
          <w:lang w:val="en-GB" w:eastAsia="zh-CN"/>
        </w:rPr>
      </w:pPr>
      <w:r>
        <w:rPr>
          <w:lang w:val="en-GB" w:eastAsia="zh-CN"/>
        </w:rPr>
        <w:t xml:space="preserve">It is the understanding of the rapporteur that RAN1 assumes that the NR UE uses 4 antennas when monitoring PEI, while a RedCap UE may use only 1-2 antennas, i.e. whether PEI can be used by RedCap UE should be further discussed under RedCap work item.  </w:t>
      </w:r>
    </w:p>
    <w:p w14:paraId="5016E9D5" w14:textId="77777777" w:rsidR="00097342" w:rsidRDefault="00B1532A">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during the PTW duration, which RAN1 has not considered. It is questionable what is the additional power saving of PEI when a long eDRX is configured. The rapporteur thinks that RAN1 should first discuss if PEI can be used with eDRX as defined in RedCap, before RAN2 makes further agreements: </w:t>
      </w:r>
    </w:p>
    <w:p w14:paraId="5016E9D6" w14:textId="77777777" w:rsidR="00097342" w:rsidRDefault="00B1532A">
      <w:pPr>
        <w:rPr>
          <w:lang w:val="en-GB" w:eastAsia="zh-CN"/>
        </w:rPr>
      </w:pPr>
      <w:r>
        <w:rPr>
          <w:b/>
          <w:bCs/>
          <w:lang w:val="en-GB" w:eastAsia="zh-CN"/>
        </w:rPr>
        <w:t>Question 4</w:t>
      </w:r>
      <w:r>
        <w:rPr>
          <w:lang w:val="en-GB" w:eastAsia="zh-CN"/>
        </w:rPr>
        <w:t>: Do companies agree with the following updated proposal from [1]?:</w:t>
      </w:r>
    </w:p>
    <w:p w14:paraId="5016E9D7" w14:textId="77777777" w:rsidR="00097342" w:rsidRDefault="00B1532A">
      <w:pPr>
        <w:spacing w:line="252" w:lineRule="auto"/>
        <w:rPr>
          <w:rFonts w:ascii="Times New Roman" w:hAnsi="Times New Roman"/>
          <w:b/>
          <w:bCs/>
          <w:sz w:val="18"/>
          <w:szCs w:val="18"/>
        </w:rPr>
      </w:pPr>
      <w:r>
        <w:rPr>
          <w:rFonts w:ascii="Times New Roman" w:hAnsi="Times New Roman"/>
          <w:b/>
          <w:sz w:val="18"/>
          <w:szCs w:val="18"/>
        </w:rPr>
        <w:t>Proposal: RAN2 to check with RAN1 if PEI can be used with eDRX as introduced for NR UE under RedCap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DB" w14:textId="77777777">
        <w:tc>
          <w:tcPr>
            <w:tcW w:w="1447" w:type="dxa"/>
            <w:shd w:val="clear" w:color="auto" w:fill="BFBFBF"/>
            <w:vAlign w:val="center"/>
          </w:tcPr>
          <w:p w14:paraId="5016E9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DF" w14:textId="77777777">
        <w:tc>
          <w:tcPr>
            <w:tcW w:w="1447" w:type="dxa"/>
            <w:vAlign w:val="center"/>
          </w:tcPr>
          <w:p w14:paraId="5016E9D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134" w:type="dxa"/>
            <w:shd w:val="clear" w:color="auto" w:fill="auto"/>
            <w:vAlign w:val="center"/>
          </w:tcPr>
          <w:p w14:paraId="5016E9D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D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14:paraId="5016E9E3" w14:textId="77777777">
        <w:tc>
          <w:tcPr>
            <w:tcW w:w="1447" w:type="dxa"/>
            <w:vAlign w:val="center"/>
          </w:tcPr>
          <w:p w14:paraId="5016E9E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5016E9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097342" w14:paraId="5016E9E7" w14:textId="77777777">
        <w:tc>
          <w:tcPr>
            <w:tcW w:w="1447" w:type="dxa"/>
            <w:vAlign w:val="center"/>
          </w:tcPr>
          <w:p w14:paraId="5016E9E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16E9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097342" w14:paraId="5016E9EB" w14:textId="77777777">
        <w:tc>
          <w:tcPr>
            <w:tcW w:w="1447" w:type="dxa"/>
            <w:vAlign w:val="center"/>
          </w:tcPr>
          <w:p w14:paraId="5016E9E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E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5016E9EA"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 PEI is transmitted somewhere before PF/PO. But we agree that some eDRX-related issues (e.g., PTW) need to be discussed</w:t>
            </w:r>
          </w:p>
        </w:tc>
      </w:tr>
      <w:tr w:rsidR="00097342" w14:paraId="5016E9EF" w14:textId="77777777">
        <w:tc>
          <w:tcPr>
            <w:tcW w:w="1447" w:type="dxa"/>
            <w:vAlign w:val="center"/>
          </w:tcPr>
          <w:p w14:paraId="5016E9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E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our understanding, if PEI is applied to eDRX, the time required for DL synchronization may be longer than that for DRX case since UE wakes up from deep sleep for a long time. This may have an impact on the offset required between PEI and PO, which is RAN1 scope. We think we need to check with RAN1.</w:t>
            </w:r>
          </w:p>
        </w:tc>
      </w:tr>
      <w:tr w:rsidR="00097342" w14:paraId="5016E9F3" w14:textId="77777777">
        <w:tc>
          <w:tcPr>
            <w:tcW w:w="1447" w:type="dxa"/>
            <w:vAlign w:val="center"/>
          </w:tcPr>
          <w:p w14:paraId="5016E9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F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14:paraId="5016E9F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14:paraId="5016E9F7" w14:textId="77777777">
        <w:tc>
          <w:tcPr>
            <w:tcW w:w="1447" w:type="dxa"/>
            <w:vAlign w:val="center"/>
          </w:tcPr>
          <w:p w14:paraId="5016E9F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5016E9F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F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FB" w14:textId="77777777">
        <w:tc>
          <w:tcPr>
            <w:tcW w:w="1447" w:type="dxa"/>
            <w:vAlign w:val="center"/>
          </w:tcPr>
          <w:p w14:paraId="5016E9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16E9F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RAN2 point of view, we do not see why RAN2 need to impose any restriction regarding the use of PEI with eDRX for both RedCap and non-RedCap UE. Companies who have </w:t>
            </w:r>
            <w:proofErr w:type="spellStart"/>
            <w:r>
              <w:rPr>
                <w:rFonts w:ascii="Times New Roman" w:eastAsia="Times New Roman" w:hAnsi="Times New Roman"/>
                <w:sz w:val="18"/>
                <w:szCs w:val="18"/>
                <w:lang w:val="en-GB" w:eastAsia="zh-CN"/>
              </w:rPr>
              <w:t>concernsed</w:t>
            </w:r>
            <w:proofErr w:type="spellEnd"/>
            <w:r>
              <w:rPr>
                <w:rFonts w:ascii="Times New Roman" w:eastAsia="Times New Roman" w:hAnsi="Times New Roman"/>
                <w:sz w:val="18"/>
                <w:szCs w:val="18"/>
                <w:lang w:val="en-GB" w:eastAsia="zh-CN"/>
              </w:rPr>
              <w:t xml:space="preserve"> can just bring this up in RAN1.</w:t>
            </w:r>
          </w:p>
        </w:tc>
      </w:tr>
      <w:tr w:rsidR="00097342" w14:paraId="5016E9FF" w14:textId="77777777">
        <w:tc>
          <w:tcPr>
            <w:tcW w:w="1447" w:type="dxa"/>
            <w:vAlign w:val="center"/>
          </w:tcPr>
          <w:p w14:paraId="5016E9F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F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2" w:type="dxa"/>
            <w:shd w:val="clear" w:color="auto" w:fill="auto"/>
            <w:vAlign w:val="center"/>
          </w:tcPr>
          <w:p w14:paraId="5016E9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14:paraId="5016EA03" w14:textId="77777777">
        <w:tc>
          <w:tcPr>
            <w:tcW w:w="1447" w:type="dxa"/>
            <w:vAlign w:val="center"/>
          </w:tcPr>
          <w:p w14:paraId="5016EA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14:paraId="5016EA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662" w:type="dxa"/>
            <w:shd w:val="clear" w:color="auto" w:fill="auto"/>
            <w:vAlign w:val="center"/>
          </w:tcPr>
          <w:p w14:paraId="5016EA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eDRX feature is optional for any UE (including RedCap and non-RedCap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PEI can be used with eDRX</w:t>
            </w:r>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14:paraId="5016EA07" w14:textId="77777777">
        <w:tc>
          <w:tcPr>
            <w:tcW w:w="1447" w:type="dxa"/>
            <w:vAlign w:val="center"/>
          </w:tcPr>
          <w:p w14:paraId="5016EA04"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t>XI</w:t>
            </w:r>
            <w:r>
              <w:rPr>
                <w:rFonts w:ascii="Times New Roman" w:eastAsia="DengXian" w:hAnsi="Times New Roman"/>
                <w:sz w:val="18"/>
                <w:szCs w:val="18"/>
                <w:lang w:val="en-GB" w:eastAsia="zh-CN"/>
              </w:rPr>
              <w:t>aomi</w:t>
            </w:r>
            <w:proofErr w:type="spellEnd"/>
          </w:p>
        </w:tc>
        <w:tc>
          <w:tcPr>
            <w:tcW w:w="1134" w:type="dxa"/>
            <w:shd w:val="clear" w:color="auto" w:fill="auto"/>
            <w:vAlign w:val="center"/>
          </w:tcPr>
          <w:p w14:paraId="5016EA05"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662" w:type="dxa"/>
            <w:shd w:val="clear" w:color="auto" w:fill="auto"/>
            <w:vAlign w:val="center"/>
          </w:tcPr>
          <w:p w14:paraId="5016EA06" w14:textId="77777777"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2E1D25" w14:paraId="5016EA0B" w14:textId="77777777">
        <w:tc>
          <w:tcPr>
            <w:tcW w:w="1447" w:type="dxa"/>
            <w:vAlign w:val="center"/>
          </w:tcPr>
          <w:p w14:paraId="5016EA08"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34" w:type="dxa"/>
            <w:shd w:val="clear" w:color="auto" w:fill="auto"/>
            <w:vAlign w:val="center"/>
          </w:tcPr>
          <w:p w14:paraId="5016EA09"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A0A"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30FC1" w14:paraId="3A3215A1" w14:textId="77777777">
        <w:tc>
          <w:tcPr>
            <w:tcW w:w="1447" w:type="dxa"/>
            <w:vAlign w:val="center"/>
          </w:tcPr>
          <w:p w14:paraId="0F36D7B4" w14:textId="0CC88852" w:rsidR="00A30FC1" w:rsidRDefault="00A30FC1" w:rsidP="00A30FC1">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Sony</w:t>
            </w:r>
          </w:p>
        </w:tc>
        <w:tc>
          <w:tcPr>
            <w:tcW w:w="1134" w:type="dxa"/>
            <w:shd w:val="clear" w:color="auto" w:fill="auto"/>
            <w:vAlign w:val="center"/>
          </w:tcPr>
          <w:p w14:paraId="45FDDF8B" w14:textId="04226F29" w:rsidR="00A30FC1" w:rsidRDefault="00A30FC1" w:rsidP="00A30FC1">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sidRPr="00DF14C5">
              <w:rPr>
                <w:rFonts w:ascii="Times New Roman" w:eastAsia="Times New Roman" w:hAnsi="Times New Roman"/>
                <w:sz w:val="18"/>
                <w:szCs w:val="18"/>
                <w:lang w:val="en-GB" w:eastAsia="zh-CN"/>
              </w:rPr>
              <w:t>No</w:t>
            </w:r>
          </w:p>
        </w:tc>
        <w:tc>
          <w:tcPr>
            <w:tcW w:w="6662" w:type="dxa"/>
            <w:shd w:val="clear" w:color="auto" w:fill="auto"/>
            <w:vAlign w:val="center"/>
          </w:tcPr>
          <w:p w14:paraId="3775B874" w14:textId="380F224E" w:rsidR="00A30FC1" w:rsidRPr="00706C48" w:rsidRDefault="00A30FC1" w:rsidP="00A30FC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Don’t think there is any additional impact needing RAN1 input. The PEI support should be applicable irrespectively of DRX or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configuration.</w:t>
            </w:r>
          </w:p>
        </w:tc>
      </w:tr>
    </w:tbl>
    <w:p w14:paraId="5016EA0C" w14:textId="77777777" w:rsidR="00097342" w:rsidRDefault="00B1532A">
      <w:pPr>
        <w:pStyle w:val="Heading2"/>
      </w:pPr>
      <w:r>
        <w:t>Mapping of PEI to multiple POs</w:t>
      </w:r>
    </w:p>
    <w:p w14:paraId="5016EA0D" w14:textId="77777777" w:rsidR="00097342" w:rsidRDefault="00B1532A">
      <w:pPr>
        <w:rPr>
          <w:lang w:val="en-GB" w:eastAsia="zh-CN"/>
        </w:rPr>
      </w:pPr>
      <w:r>
        <w:rPr>
          <w:lang w:val="en-GB" w:eastAsia="zh-CN"/>
        </w:rPr>
        <w:t>RAN1 has a few open issues on the mapping/association of PEI to multiple POs:</w:t>
      </w:r>
    </w:p>
    <w:p w14:paraId="5016EA0E" w14:textId="77777777"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14:paraId="5016EA0F" w14:textId="77777777"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14:paraId="5016EA10"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14:paraId="5016EA11"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14:paraId="5016EA12"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14:paraId="5016EA13" w14:textId="77777777"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DengXian" w:hAnsi="Times New Roman"/>
          <w:color w:val="FF0000"/>
          <w:sz w:val="18"/>
          <w:szCs w:val="18"/>
        </w:rPr>
        <w:t>FFS whether to supporting map PEI to 3 POs in a PF</w:t>
      </w:r>
    </w:p>
    <w:p w14:paraId="5016EA14"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14:paraId="5016EA15" w14:textId="77777777"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DengXian" w:hAnsi="Times New Roman"/>
          <w:color w:val="FF0000"/>
          <w:sz w:val="18"/>
          <w:szCs w:val="18"/>
        </w:rPr>
        <w:t>FFS: value of x</w:t>
      </w:r>
    </w:p>
    <w:p w14:paraId="5016EA16" w14:textId="77777777" w:rsidR="00097342" w:rsidRDefault="00B1532A">
      <w:pPr>
        <w:rPr>
          <w:lang w:val="en-GB" w:eastAsia="zh-CN"/>
        </w:rPr>
      </w:pPr>
      <w:r>
        <w:rPr>
          <w:lang w:val="en-GB" w:eastAsia="zh-CN"/>
        </w:rPr>
        <w:lastRenderedPageBreak/>
        <w:t xml:space="preserve">In [2] there is a discussion about the available bits needed for a 1:N mapping, i.e. whether a 1:N mapping (N&gt;1) can be enabled with the same number of bits, but a separate PDCCH search space and/or CORESET: </w:t>
      </w:r>
    </w:p>
    <w:p w14:paraId="5016EA17" w14:textId="77777777" w:rsidR="00097342" w:rsidRDefault="00B1532A">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5016EA18" w14:textId="77777777" w:rsidR="00097342" w:rsidRDefault="00B1532A">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perhaps RAN2 can make a working assumption that the 1:N (N&gt;1) for PEI to PO mapping is configurable in gNB: </w:t>
      </w:r>
    </w:p>
    <w:p w14:paraId="5016EA19" w14:textId="77777777"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14:paraId="5016EA1A"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RAN2 assumes that 1:N (N&gt;1) of PEI to PO mapping is configurable in </w:t>
      </w:r>
      <w:proofErr w:type="spellStart"/>
      <w:r>
        <w:rPr>
          <w:rFonts w:ascii="Times New Roman" w:hAnsi="Times New Roman"/>
          <w:lang w:val="en-US"/>
        </w:rPr>
        <w:t>gNB</w:t>
      </w:r>
      <w:proofErr w:type="spellEnd"/>
      <w:r>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1E" w14:textId="77777777">
        <w:tc>
          <w:tcPr>
            <w:tcW w:w="1447" w:type="dxa"/>
            <w:shd w:val="clear" w:color="auto" w:fill="BFBFBF"/>
            <w:vAlign w:val="center"/>
          </w:tcPr>
          <w:p w14:paraId="5016EA1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22" w14:textId="77777777">
        <w:tc>
          <w:tcPr>
            <w:tcW w:w="1447" w:type="dxa"/>
            <w:vAlign w:val="center"/>
          </w:tcPr>
          <w:p w14:paraId="5016EA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2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2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26" w14:textId="77777777">
        <w:tc>
          <w:tcPr>
            <w:tcW w:w="1447" w:type="dxa"/>
            <w:vAlign w:val="center"/>
          </w:tcPr>
          <w:p w14:paraId="5016EA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2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2A" w14:textId="77777777">
        <w:tc>
          <w:tcPr>
            <w:tcW w:w="1447" w:type="dxa"/>
            <w:vAlign w:val="center"/>
          </w:tcPr>
          <w:p w14:paraId="5016EA27"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5016EA2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5016EA2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14:paraId="5016EA2E" w14:textId="77777777">
        <w:tc>
          <w:tcPr>
            <w:tcW w:w="1447" w:type="dxa"/>
            <w:vAlign w:val="center"/>
          </w:tcPr>
          <w:p w14:paraId="5016EA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14:paraId="5016EA32" w14:textId="77777777">
        <w:tc>
          <w:tcPr>
            <w:tcW w:w="1447" w:type="dxa"/>
            <w:vAlign w:val="center"/>
          </w:tcPr>
          <w:p w14:paraId="5016EA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5016EA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14:paraId="5016EA37" w14:textId="77777777">
        <w:tc>
          <w:tcPr>
            <w:tcW w:w="1447" w:type="dxa"/>
            <w:vAlign w:val="center"/>
          </w:tcPr>
          <w:p w14:paraId="5016EA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5016EA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14:paraId="5016EA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14:paraId="5016EA3B" w14:textId="77777777">
        <w:tc>
          <w:tcPr>
            <w:tcW w:w="1447" w:type="dxa"/>
            <w:vAlign w:val="center"/>
          </w:tcPr>
          <w:p w14:paraId="5016EA3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A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A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14:paraId="5016EA3F" w14:textId="77777777">
        <w:tc>
          <w:tcPr>
            <w:tcW w:w="1447" w:type="dxa"/>
            <w:vAlign w:val="center"/>
          </w:tcPr>
          <w:p w14:paraId="5016EA3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3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14:paraId="5016EA43" w14:textId="77777777">
        <w:tc>
          <w:tcPr>
            <w:tcW w:w="1447" w:type="dxa"/>
            <w:vAlign w:val="center"/>
          </w:tcPr>
          <w:p w14:paraId="5016EA4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4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14:paraId="5016EA47" w14:textId="77777777">
        <w:tc>
          <w:tcPr>
            <w:tcW w:w="1447" w:type="dxa"/>
            <w:vAlign w:val="center"/>
          </w:tcPr>
          <w:p w14:paraId="5016EA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4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14:paraId="5016EA4B" w14:textId="77777777">
        <w:tc>
          <w:tcPr>
            <w:tcW w:w="1447" w:type="dxa"/>
            <w:vAlign w:val="center"/>
          </w:tcPr>
          <w:p w14:paraId="5016EA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4F" w14:textId="77777777">
        <w:tc>
          <w:tcPr>
            <w:tcW w:w="1447" w:type="dxa"/>
            <w:vAlign w:val="center"/>
          </w:tcPr>
          <w:p w14:paraId="5016EA4C"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Xiao</w:t>
            </w:r>
            <w:r>
              <w:rPr>
                <w:rFonts w:ascii="Times New Roman" w:eastAsia="DengXian" w:hAnsi="Times New Roman"/>
                <w:sz w:val="18"/>
                <w:szCs w:val="18"/>
                <w:lang w:eastAsia="zh-CN"/>
              </w:rPr>
              <w:t>mi</w:t>
            </w:r>
          </w:p>
        </w:tc>
        <w:tc>
          <w:tcPr>
            <w:tcW w:w="992" w:type="dxa"/>
            <w:shd w:val="clear" w:color="auto" w:fill="auto"/>
            <w:vAlign w:val="center"/>
          </w:tcPr>
          <w:p w14:paraId="5016EA4D"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E"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53" w14:textId="77777777">
        <w:tc>
          <w:tcPr>
            <w:tcW w:w="1447" w:type="dxa"/>
            <w:vAlign w:val="center"/>
          </w:tcPr>
          <w:p w14:paraId="5016EA5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5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5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43FBD" w14:paraId="26A80F5E" w14:textId="77777777">
        <w:tc>
          <w:tcPr>
            <w:tcW w:w="1447" w:type="dxa"/>
            <w:vAlign w:val="center"/>
          </w:tcPr>
          <w:p w14:paraId="2EF128EC" w14:textId="7B7043D7" w:rsidR="00143FBD" w:rsidRDefault="00143FBD" w:rsidP="00143FBD">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74BBBB87" w14:textId="1CE78D4A" w:rsidR="00143FBD" w:rsidRDefault="00143FBD" w:rsidP="00143FBD">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1161171" w14:textId="7A23FEDC" w:rsidR="00143FBD" w:rsidRPr="00706C48" w:rsidRDefault="00143FBD"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bl>
    <w:p w14:paraId="5016EA54" w14:textId="77777777" w:rsidR="00097342" w:rsidRDefault="00097342">
      <w:pPr>
        <w:rPr>
          <w:lang w:val="en-GB" w:eastAsia="zh-CN"/>
        </w:rPr>
      </w:pPr>
    </w:p>
    <w:p w14:paraId="5016EA55" w14:textId="77777777" w:rsidR="00097342" w:rsidRDefault="00B1532A">
      <w:pPr>
        <w:rPr>
          <w:lang w:val="en-GB" w:eastAsia="zh-CN"/>
        </w:rPr>
      </w:pPr>
      <w:r>
        <w:rPr>
          <w:b/>
          <w:bCs/>
          <w:lang w:val="en-GB" w:eastAsia="zh-CN"/>
        </w:rPr>
        <w:t>Question 6:</w:t>
      </w:r>
      <w:r>
        <w:rPr>
          <w:lang w:val="en-GB" w:eastAsia="zh-CN"/>
        </w:rPr>
        <w:t xml:space="preserve"> Do companies agree with the following proposal [2]?: </w:t>
      </w:r>
    </w:p>
    <w:p w14:paraId="5016EA5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Send an LS to RAN1 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5A" w14:textId="77777777">
        <w:tc>
          <w:tcPr>
            <w:tcW w:w="1447" w:type="dxa"/>
            <w:shd w:val="clear" w:color="auto" w:fill="BFBFBF"/>
            <w:vAlign w:val="center"/>
          </w:tcPr>
          <w:p w14:paraId="5016EA5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5016EA5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5E" w14:textId="77777777">
        <w:tc>
          <w:tcPr>
            <w:tcW w:w="1447" w:type="dxa"/>
            <w:vAlign w:val="center"/>
          </w:tcPr>
          <w:p w14:paraId="5016EA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14:paraId="5016EA62" w14:textId="77777777">
        <w:tc>
          <w:tcPr>
            <w:tcW w:w="1447" w:type="dxa"/>
            <w:vAlign w:val="center"/>
          </w:tcPr>
          <w:p w14:paraId="5016EA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66" w14:textId="77777777">
        <w:tc>
          <w:tcPr>
            <w:tcW w:w="1447" w:type="dxa"/>
            <w:vAlign w:val="center"/>
          </w:tcPr>
          <w:p w14:paraId="5016EA6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6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65" w14:textId="77777777"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14:paraId="5016EA6A" w14:textId="77777777">
        <w:tc>
          <w:tcPr>
            <w:tcW w:w="1447" w:type="dxa"/>
            <w:vAlign w:val="center"/>
          </w:tcPr>
          <w:p w14:paraId="5016EA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14:paraId="5016EA6E" w14:textId="77777777">
        <w:tc>
          <w:tcPr>
            <w:tcW w:w="1447" w:type="dxa"/>
            <w:vAlign w:val="center"/>
          </w:tcPr>
          <w:p w14:paraId="5016EA6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72" w14:textId="77777777">
        <w:tc>
          <w:tcPr>
            <w:tcW w:w="1447" w:type="dxa"/>
            <w:vAlign w:val="center"/>
          </w:tcPr>
          <w:p w14:paraId="5016EA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14:paraId="5016EA76" w14:textId="77777777">
        <w:tc>
          <w:tcPr>
            <w:tcW w:w="1447" w:type="dxa"/>
            <w:vAlign w:val="center"/>
          </w:tcPr>
          <w:p w14:paraId="5016EA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A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14:paraId="5016EA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14:paraId="5016EA7A" w14:textId="77777777">
        <w:tc>
          <w:tcPr>
            <w:tcW w:w="1447" w:type="dxa"/>
            <w:vAlign w:val="center"/>
          </w:tcPr>
          <w:p w14:paraId="5016EA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7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7E" w14:textId="77777777">
        <w:tc>
          <w:tcPr>
            <w:tcW w:w="1447" w:type="dxa"/>
            <w:vAlign w:val="center"/>
          </w:tcPr>
          <w:p w14:paraId="5016EA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14:paraId="5016EA82" w14:textId="77777777">
        <w:tc>
          <w:tcPr>
            <w:tcW w:w="1447" w:type="dxa"/>
            <w:vAlign w:val="center"/>
          </w:tcPr>
          <w:p w14:paraId="5016EA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14:paraId="5016EA8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14:paraId="5016EA86" w14:textId="77777777">
        <w:tc>
          <w:tcPr>
            <w:tcW w:w="1447" w:type="dxa"/>
            <w:vAlign w:val="center"/>
          </w:tcPr>
          <w:p w14:paraId="5016EA8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8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14:paraId="5016EA8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8A" w14:textId="77777777">
        <w:tc>
          <w:tcPr>
            <w:tcW w:w="1447" w:type="dxa"/>
            <w:vAlign w:val="center"/>
          </w:tcPr>
          <w:p w14:paraId="5016EA87"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A88"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No</w:t>
            </w:r>
          </w:p>
        </w:tc>
        <w:tc>
          <w:tcPr>
            <w:tcW w:w="6804" w:type="dxa"/>
            <w:shd w:val="clear" w:color="auto" w:fill="auto"/>
            <w:vAlign w:val="center"/>
          </w:tcPr>
          <w:p w14:paraId="5016EA89"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8E" w14:textId="77777777">
        <w:tc>
          <w:tcPr>
            <w:tcW w:w="1447" w:type="dxa"/>
            <w:vAlign w:val="center"/>
          </w:tcPr>
          <w:p w14:paraId="5016EA8B"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A8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No</w:t>
            </w:r>
          </w:p>
        </w:tc>
        <w:tc>
          <w:tcPr>
            <w:tcW w:w="6804" w:type="dxa"/>
            <w:shd w:val="clear" w:color="auto" w:fill="auto"/>
            <w:vAlign w:val="center"/>
          </w:tcPr>
          <w:p w14:paraId="5016EA8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ja-JP"/>
              </w:rPr>
              <w:t>W</w:t>
            </w:r>
            <w:r>
              <w:rPr>
                <w:rFonts w:ascii="Times New Roman" w:eastAsiaTheme="minorEastAsia" w:hAnsi="Times New Roman" w:hint="eastAsia"/>
                <w:sz w:val="18"/>
                <w:szCs w:val="18"/>
                <w:lang w:val="en-GB" w:eastAsia="ja-JP"/>
              </w:rPr>
              <w:t xml:space="preserve">e </w:t>
            </w:r>
            <w:r>
              <w:rPr>
                <w:rFonts w:ascii="Times New Roman" w:eastAsiaTheme="minorEastAsia" w:hAnsi="Times New Roman"/>
                <w:sz w:val="18"/>
                <w:szCs w:val="18"/>
                <w:lang w:val="en-GB" w:eastAsia="ja-JP"/>
              </w:rPr>
              <w:t>can wait for RAN1 progress.</w:t>
            </w:r>
          </w:p>
        </w:tc>
      </w:tr>
      <w:tr w:rsidR="000C78E4" w14:paraId="7AC466E2" w14:textId="77777777">
        <w:tc>
          <w:tcPr>
            <w:tcW w:w="1447" w:type="dxa"/>
            <w:vAlign w:val="center"/>
          </w:tcPr>
          <w:p w14:paraId="5A2B1A8F" w14:textId="1F0EBAF9"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42A6C1BB" w14:textId="1327B5B5"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1262FE59" w14:textId="77777777"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bl>
    <w:p w14:paraId="5016EA8F" w14:textId="77777777" w:rsidR="00097342" w:rsidRDefault="00097342">
      <w:pPr>
        <w:rPr>
          <w:lang w:val="en-GB" w:eastAsia="zh-CN"/>
        </w:rPr>
      </w:pPr>
    </w:p>
    <w:p w14:paraId="5016EA90" w14:textId="77777777" w:rsidR="00097342" w:rsidRDefault="00B1532A">
      <w:pPr>
        <w:pStyle w:val="Heading2"/>
      </w:pPr>
      <w:bookmarkStart w:id="6" w:name="_Toc242573360"/>
      <w:r>
        <w:t>UE identity used with UE-ID based assignment of subgroup</w:t>
      </w:r>
    </w:p>
    <w:p w14:paraId="5016EA91" w14:textId="77777777"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14:paraId="5016EA92" w14:textId="77777777" w:rsidR="00097342" w:rsidRDefault="00B1532A">
      <w:pPr>
        <w:rPr>
          <w:lang w:val="en-GB" w:eastAsia="zh-CN"/>
        </w:rPr>
      </w:pPr>
      <w:r>
        <w:rPr>
          <w:lang w:val="en-GB" w:eastAsia="zh-CN"/>
        </w:rPr>
        <w:t xml:space="preserve">Based on the legacy paging framework principles it is proposed to: </w:t>
      </w:r>
    </w:p>
    <w:p w14:paraId="5016EA93" w14:textId="77777777" w:rsidR="00097342" w:rsidRDefault="00B1532A">
      <w:pPr>
        <w:ind w:left="1200" w:hangingChars="600" w:hanging="1200"/>
        <w:jc w:val="both"/>
        <w:rPr>
          <w:b/>
          <w:bCs/>
        </w:rPr>
      </w:pPr>
      <w:r>
        <w:rPr>
          <w:b/>
          <w:bCs/>
        </w:rPr>
        <w:t xml:space="preserve">Proposal:    For UE identity based paging subgrouping, UE identity = 5G-S-TMSI mod X, where X is equal to 1024 * maximum number of paging subgroups, is used. </w:t>
      </w:r>
    </w:p>
    <w:p w14:paraId="5016EA94" w14:textId="77777777" w:rsidR="00097342" w:rsidRDefault="00B1532A">
      <w:pPr>
        <w:rPr>
          <w:lang w:val="en-GB" w:eastAsia="zh-CN"/>
        </w:rPr>
      </w:pPr>
      <w:r>
        <w:rPr>
          <w:lang w:val="en-GB" w:eastAsia="zh-CN"/>
        </w:rPr>
        <w:t xml:space="preserve">It is the understanding of the rapporteur that RAN1 has decided that up to 8 subgroups can be used: </w:t>
      </w:r>
    </w:p>
    <w:p w14:paraId="5016EA95" w14:textId="77777777" w:rsidR="00097342" w:rsidRDefault="00B1532A">
      <w:pPr>
        <w:rPr>
          <w:lang w:val="en-GB" w:eastAsia="zh-CN"/>
        </w:rPr>
      </w:pPr>
      <w:r>
        <w:rPr>
          <w:b/>
          <w:bCs/>
          <w:lang w:val="en-GB" w:eastAsia="zh-CN"/>
        </w:rPr>
        <w:t>Question 7:</w:t>
      </w:r>
      <w:r>
        <w:rPr>
          <w:lang w:val="en-GB" w:eastAsia="zh-CN"/>
        </w:rPr>
        <w:t xml:space="preserve"> Do companies agree with the following proposal [3]?: </w:t>
      </w:r>
    </w:p>
    <w:p w14:paraId="5016EA9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9A" w14:textId="77777777">
        <w:tc>
          <w:tcPr>
            <w:tcW w:w="1447" w:type="dxa"/>
            <w:shd w:val="clear" w:color="auto" w:fill="BFBFBF"/>
            <w:vAlign w:val="center"/>
          </w:tcPr>
          <w:p w14:paraId="5016EA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A6" w14:textId="77777777">
        <w:tc>
          <w:tcPr>
            <w:tcW w:w="1447" w:type="dxa"/>
            <w:vAlign w:val="center"/>
          </w:tcPr>
          <w:p w14:paraId="5016EA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5016EA9E" w14:textId="77777777"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14:paraId="5016EA9F" w14:textId="77777777" w:rsidR="00097342" w:rsidRDefault="00097342">
            <w:pPr>
              <w:spacing w:after="0"/>
              <w:ind w:firstLine="851"/>
              <w:rPr>
                <w:rFonts w:ascii="Times New Roman" w:hAnsi="Times New Roman"/>
                <w:color w:val="C45911" w:themeColor="accent2" w:themeShade="BF"/>
                <w:sz w:val="18"/>
                <w:szCs w:val="18"/>
                <w:lang w:val="sv-SE" w:eastAsia="zh-CN"/>
              </w:rPr>
            </w:pPr>
          </w:p>
          <w:p w14:paraId="5016EAA0" w14:textId="77777777"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14:paraId="5016EAA1"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lastRenderedPageBreak/>
              <w:t>Ng: Total number of groups</w:t>
            </w:r>
          </w:p>
          <w:p w14:paraId="5016EAA2" w14:textId="77777777" w:rsidR="00097342" w:rsidRDefault="00B1532A">
            <w:pPr>
              <w:spacing w:after="0"/>
              <w:ind w:left="720" w:firstLine="851"/>
              <w:rPr>
                <w:rFonts w:ascii="Times New Roman" w:hAnsi="Times New Roman"/>
                <w:color w:val="C45911" w:themeColor="accent2" w:themeShade="BF"/>
                <w:sz w:val="18"/>
                <w:szCs w:val="18"/>
                <w:lang w:val="en-GB" w:eastAsia="zh-CN"/>
              </w:rPr>
            </w:pPr>
            <w:proofErr w:type="spellStart"/>
            <w:r>
              <w:rPr>
                <w:rFonts w:ascii="Times New Roman" w:hAnsi="Times New Roman"/>
                <w:color w:val="C45911" w:themeColor="accent2" w:themeShade="BF"/>
                <w:sz w:val="18"/>
                <w:szCs w:val="18"/>
                <w:lang w:val="en-GB" w:eastAsia="zh-CN"/>
              </w:rPr>
              <w:t>i_g</w:t>
            </w:r>
            <w:proofErr w:type="spellEnd"/>
            <w:r>
              <w:rPr>
                <w:rFonts w:ascii="Times New Roman" w:hAnsi="Times New Roman"/>
                <w:color w:val="C45911" w:themeColor="accent2" w:themeShade="BF"/>
                <w:sz w:val="18"/>
                <w:szCs w:val="18"/>
                <w:lang w:val="en-GB" w:eastAsia="zh-CN"/>
              </w:rPr>
              <w:t>: group index ranging from 0 to Ng-1</w:t>
            </w:r>
          </w:p>
          <w:p w14:paraId="5016EAA3" w14:textId="77777777" w:rsidR="00097342" w:rsidRDefault="00B1532A">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14:paraId="5016EAA4" w14:textId="77777777" w:rsidR="00097342" w:rsidRDefault="00B1532A">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14:paraId="5016EAA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14:paraId="5016EAAA" w14:textId="77777777">
        <w:tc>
          <w:tcPr>
            <w:tcW w:w="1447" w:type="dxa"/>
            <w:vAlign w:val="center"/>
          </w:tcPr>
          <w:p w14:paraId="5016EAA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14:paraId="5016EAA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A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AE" w14:textId="77777777">
        <w:tc>
          <w:tcPr>
            <w:tcW w:w="1447" w:type="dxa"/>
            <w:vAlign w:val="center"/>
          </w:tcPr>
          <w:p w14:paraId="5016EAAB"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A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AA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2" w14:textId="77777777">
        <w:tc>
          <w:tcPr>
            <w:tcW w:w="1447" w:type="dxa"/>
            <w:vAlign w:val="center"/>
          </w:tcPr>
          <w:p w14:paraId="5016EAA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14:paraId="5016EAB6" w14:textId="77777777">
        <w:tc>
          <w:tcPr>
            <w:tcW w:w="1447" w:type="dxa"/>
            <w:vAlign w:val="center"/>
          </w:tcPr>
          <w:p w14:paraId="5016EAB3"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B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AB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A" w14:textId="77777777">
        <w:tc>
          <w:tcPr>
            <w:tcW w:w="1447" w:type="dxa"/>
            <w:vAlign w:val="center"/>
          </w:tcPr>
          <w:p w14:paraId="5016EAB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B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E" w14:textId="77777777">
        <w:tc>
          <w:tcPr>
            <w:tcW w:w="1447" w:type="dxa"/>
            <w:vAlign w:val="center"/>
          </w:tcPr>
          <w:p w14:paraId="5016EA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AB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2" w14:textId="77777777">
        <w:tc>
          <w:tcPr>
            <w:tcW w:w="1447" w:type="dxa"/>
            <w:vAlign w:val="center"/>
          </w:tcPr>
          <w:p w14:paraId="5016EA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6" w14:textId="77777777">
        <w:tc>
          <w:tcPr>
            <w:tcW w:w="1447" w:type="dxa"/>
            <w:vAlign w:val="center"/>
          </w:tcPr>
          <w:p w14:paraId="5016EAC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C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A" w14:textId="77777777">
        <w:tc>
          <w:tcPr>
            <w:tcW w:w="1447" w:type="dxa"/>
            <w:vAlign w:val="center"/>
          </w:tcPr>
          <w:p w14:paraId="5016EAC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Yes</w:t>
            </w:r>
          </w:p>
        </w:tc>
        <w:tc>
          <w:tcPr>
            <w:tcW w:w="6804" w:type="dxa"/>
            <w:shd w:val="clear" w:color="auto" w:fill="auto"/>
            <w:vAlign w:val="center"/>
          </w:tcPr>
          <w:p w14:paraId="5016EA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E" w14:textId="77777777">
        <w:tc>
          <w:tcPr>
            <w:tcW w:w="1447" w:type="dxa"/>
            <w:vAlign w:val="center"/>
          </w:tcPr>
          <w:p w14:paraId="5016EAC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CC" w14:textId="77777777" w:rsidR="00097342"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Yes</w:t>
            </w:r>
          </w:p>
        </w:tc>
        <w:tc>
          <w:tcPr>
            <w:tcW w:w="6804" w:type="dxa"/>
            <w:shd w:val="clear" w:color="auto" w:fill="auto"/>
            <w:vAlign w:val="center"/>
          </w:tcPr>
          <w:p w14:paraId="5016EA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14:paraId="5016EAD2" w14:textId="77777777">
        <w:tc>
          <w:tcPr>
            <w:tcW w:w="1447" w:type="dxa"/>
            <w:vAlign w:val="center"/>
          </w:tcPr>
          <w:p w14:paraId="5016EACF" w14:textId="77777777" w:rsidR="00561E58" w:rsidRP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AD0" w14:textId="77777777" w:rsid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AD1" w14:textId="77777777"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E1D25" w14:paraId="5016EAD6" w14:textId="77777777">
        <w:tc>
          <w:tcPr>
            <w:tcW w:w="1447" w:type="dxa"/>
            <w:vAlign w:val="center"/>
          </w:tcPr>
          <w:p w14:paraId="5016EAD3"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D4"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D5"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5088F" w14:paraId="04FF7985" w14:textId="77777777">
        <w:tc>
          <w:tcPr>
            <w:tcW w:w="1447" w:type="dxa"/>
            <w:vAlign w:val="center"/>
          </w:tcPr>
          <w:p w14:paraId="4646647C" w14:textId="464A0BF4" w:rsidR="0005088F" w:rsidRDefault="0005088F" w:rsidP="0005088F">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1589CFA0" w14:textId="21B976D2" w:rsidR="0005088F" w:rsidRDefault="0005088F" w:rsidP="0005088F">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62EEFA26" w14:textId="77777777" w:rsidR="0005088F" w:rsidRPr="00706C48" w:rsidRDefault="0005088F"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AD7" w14:textId="77777777" w:rsidR="00097342" w:rsidRDefault="00097342">
      <w:pPr>
        <w:rPr>
          <w:lang w:val="en-GB" w:eastAsia="zh-CN"/>
        </w:rPr>
      </w:pPr>
    </w:p>
    <w:p w14:paraId="5016EAD8" w14:textId="77777777" w:rsidR="00097342" w:rsidRDefault="00B1532A">
      <w:pPr>
        <w:pStyle w:val="Heading2"/>
      </w:pPr>
      <w:r>
        <w:t>PEI in last used cell</w:t>
      </w:r>
    </w:p>
    <w:p w14:paraId="5016EAD9" w14:textId="77777777" w:rsidR="00097342" w:rsidRDefault="00B1532A">
      <w:pPr>
        <w:rPr>
          <w:lang w:val="en-GB" w:eastAsia="zh-CN"/>
        </w:rPr>
      </w:pPr>
      <w:r>
        <w:rPr>
          <w:lang w:val="en-GB" w:eastAsia="zh-CN"/>
        </w:rPr>
        <w:t>PEI in last used cell was discussed during email discussion #089 (</w:t>
      </w:r>
      <w:hyperlink r:id="rId14" w:history="1">
        <w:r>
          <w:rPr>
            <w:rStyle w:val="Hyperlink"/>
          </w:rPr>
          <w:t>R2-2109647</w:t>
        </w:r>
      </w:hyperlink>
      <w:r>
        <w:rPr>
          <w:lang w:val="en-GB" w:eastAsia="zh-CN"/>
        </w:rPr>
        <w:t>) but no consensus was reached:</w:t>
      </w:r>
    </w:p>
    <w:p w14:paraId="5016EADA" w14:textId="77777777" w:rsidR="00097342" w:rsidRDefault="00B1532A">
      <w:pPr>
        <w:rPr>
          <w:rFonts w:ascii="Times New Roman" w:hAnsi="Times New Roman"/>
          <w:b/>
          <w:color w:val="0070C0"/>
        </w:rPr>
      </w:pPr>
      <w:r>
        <w:rPr>
          <w:rFonts w:ascii="Times New Roman" w:hAnsi="Times New Roman"/>
          <w:b/>
          <w:color w:val="0070C0"/>
        </w:rPr>
        <w:t>Proposal 14 (13/20): No consensus on the PEI monitoring by UE to the last used cell</w:t>
      </w:r>
    </w:p>
    <w:p w14:paraId="5016EADB" w14:textId="77777777"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14:paraId="5016EADC" w14:textId="77777777" w:rsidR="00097342" w:rsidRDefault="00B1532A">
      <w:pPr>
        <w:pStyle w:val="ListParagraph"/>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14:paraId="5016EADD" w14:textId="77777777" w:rsidR="00097342" w:rsidRDefault="00B1532A">
      <w:pPr>
        <w:pStyle w:val="ListParagraph"/>
        <w:numPr>
          <w:ilvl w:val="0"/>
          <w:numId w:val="9"/>
        </w:numPr>
        <w:rPr>
          <w:lang w:val="en-GB" w:eastAsia="zh-CN"/>
        </w:rPr>
      </w:pPr>
      <w:r>
        <w:rPr>
          <w:lang w:val="en-GB" w:eastAsia="zh-CN"/>
        </w:rPr>
        <w:t xml:space="preserve">This also means that there is little power saving gain when PEI would </w:t>
      </w:r>
      <w:proofErr w:type="spellStart"/>
      <w:r>
        <w:rPr>
          <w:lang w:val="en-GB" w:eastAsia="zh-CN"/>
        </w:rPr>
        <w:t>used</w:t>
      </w:r>
      <w:proofErr w:type="spellEnd"/>
      <w:r>
        <w:rPr>
          <w:lang w:val="en-GB" w:eastAsia="zh-CN"/>
        </w:rPr>
        <w:t xml:space="preserve"> during mobility, because in most of the cases the UE is paged on the "last used cell". </w:t>
      </w:r>
    </w:p>
    <w:p w14:paraId="5016EADE" w14:textId="77777777" w:rsidR="00097342" w:rsidRDefault="00B1532A">
      <w:pPr>
        <w:pStyle w:val="ListParagraph"/>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14:paraId="5016EADF" w14:textId="77777777" w:rsidR="00097342" w:rsidRDefault="00B1532A">
      <w:pPr>
        <w:rPr>
          <w:lang w:val="en-GB" w:eastAsia="zh-CN"/>
        </w:rPr>
      </w:pPr>
      <w:r>
        <w:rPr>
          <w:b/>
          <w:bCs/>
          <w:lang w:val="en-GB" w:eastAsia="zh-CN"/>
        </w:rPr>
        <w:t>Question 8:</w:t>
      </w:r>
      <w:r>
        <w:rPr>
          <w:lang w:val="en-GB" w:eastAsia="zh-CN"/>
        </w:rPr>
        <w:t xml:space="preserve"> Do companies agree with the following proposal [4]?: </w:t>
      </w:r>
    </w:p>
    <w:p w14:paraId="5016EAE0"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lastRenderedPageBreak/>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E4" w14:textId="77777777">
        <w:tc>
          <w:tcPr>
            <w:tcW w:w="1447" w:type="dxa"/>
            <w:shd w:val="clear" w:color="auto" w:fill="BFBFBF"/>
            <w:vAlign w:val="center"/>
          </w:tcPr>
          <w:p w14:paraId="5016EA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E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E9" w14:textId="77777777">
        <w:tc>
          <w:tcPr>
            <w:tcW w:w="1447" w:type="dxa"/>
            <w:vAlign w:val="center"/>
          </w:tcPr>
          <w:p w14:paraId="5016EA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E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5016EAE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NW vendor just wants to limit PEI transmissions. But it is a fact that if the majority of false paging alarms is caused by mobility, then it is beneficial for the UE to not receive paging due to mobility and limit PEI to the last used cell! Please inform yourself and make a decision based on that. </w:t>
            </w:r>
          </w:p>
        </w:tc>
      </w:tr>
      <w:tr w:rsidR="00097342" w14:paraId="5016EAEE" w14:textId="77777777">
        <w:tc>
          <w:tcPr>
            <w:tcW w:w="1447" w:type="dxa"/>
            <w:vAlign w:val="center"/>
          </w:tcPr>
          <w:p w14:paraId="5016EAE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AE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5016EA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14:paraId="5016EAF2" w14:textId="77777777">
        <w:tc>
          <w:tcPr>
            <w:tcW w:w="1447" w:type="dxa"/>
            <w:vAlign w:val="center"/>
          </w:tcPr>
          <w:p w14:paraId="5016EAE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5016EAF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F6" w14:textId="77777777">
        <w:tc>
          <w:tcPr>
            <w:tcW w:w="1447" w:type="dxa"/>
            <w:vAlign w:val="center"/>
          </w:tcPr>
          <w:p w14:paraId="5016EAF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F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F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14:paraId="5016EAFA" w14:textId="77777777">
        <w:tc>
          <w:tcPr>
            <w:tcW w:w="1447" w:type="dxa"/>
            <w:vAlign w:val="center"/>
          </w:tcPr>
          <w:p w14:paraId="5016EAF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14:paraId="5016EAFE" w14:textId="77777777">
        <w:tc>
          <w:tcPr>
            <w:tcW w:w="1447" w:type="dxa"/>
            <w:vAlign w:val="center"/>
          </w:tcPr>
          <w:p w14:paraId="5016EAF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F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AF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only for stationary UE such as IoT. It will seriously reduce the power saving gain.</w:t>
            </w:r>
          </w:p>
        </w:tc>
      </w:tr>
      <w:tr w:rsidR="00097342" w14:paraId="5016EB02" w14:textId="77777777">
        <w:tc>
          <w:tcPr>
            <w:tcW w:w="1447" w:type="dxa"/>
            <w:vAlign w:val="center"/>
          </w:tcPr>
          <w:p w14:paraId="5016EA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rsidR="00097342" w14:paraId="5016EB06" w14:textId="77777777">
        <w:tc>
          <w:tcPr>
            <w:tcW w:w="1447" w:type="dxa"/>
            <w:vAlign w:val="center"/>
          </w:tcPr>
          <w:p w14:paraId="5016EB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B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0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14:paraId="5016EB0A" w14:textId="77777777">
        <w:tc>
          <w:tcPr>
            <w:tcW w:w="1447" w:type="dxa"/>
            <w:vAlign w:val="center"/>
          </w:tcPr>
          <w:p w14:paraId="5016EB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0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0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scenario is a bit different with </w:t>
            </w:r>
            <w:proofErr w:type="spellStart"/>
            <w:r>
              <w:rPr>
                <w:rFonts w:ascii="Times New Roman" w:eastAsia="Times New Roman" w:hAnsi="Times New Roman"/>
                <w:sz w:val="18"/>
                <w:szCs w:val="18"/>
                <w:lang w:val="en-GB" w:eastAsia="zh-CN"/>
              </w:rPr>
              <w:t>eMTC</w:t>
            </w:r>
            <w:proofErr w:type="spellEnd"/>
            <w:r>
              <w:rPr>
                <w:rFonts w:ascii="Times New Roman" w:eastAsia="Times New Roman" w:hAnsi="Times New Roman"/>
                <w:sz w:val="18"/>
                <w:szCs w:val="18"/>
                <w:lang w:val="en-GB" w:eastAsia="zh-CN"/>
              </w:rPr>
              <w:t>/</w:t>
            </w:r>
            <w:proofErr w:type="spellStart"/>
            <w:r>
              <w:rPr>
                <w:rFonts w:ascii="Times New Roman" w:eastAsia="Times New Roman" w:hAnsi="Times New Roman"/>
                <w:sz w:val="18"/>
                <w:szCs w:val="18"/>
                <w:lang w:val="en-GB" w:eastAsia="zh-CN"/>
              </w:rPr>
              <w:t>NBIoT</w:t>
            </w:r>
            <w:proofErr w:type="spellEnd"/>
            <w:r>
              <w:rPr>
                <w:rFonts w:ascii="Times New Roman" w:eastAsia="Times New Roman" w:hAnsi="Times New Roman"/>
                <w:sz w:val="18"/>
                <w:szCs w:val="18"/>
                <w:lang w:val="en-GB" w:eastAsia="zh-CN"/>
              </w:rPr>
              <w:t xml:space="preserve"> where the UEs are mainly stationary. In this case where UE power saving also applies to </w:t>
            </w:r>
            <w:proofErr w:type="spellStart"/>
            <w:r>
              <w:rPr>
                <w:rFonts w:ascii="Times New Roman" w:eastAsia="Times New Roman" w:hAnsi="Times New Roman"/>
                <w:sz w:val="18"/>
                <w:szCs w:val="18"/>
                <w:lang w:val="en-GB" w:eastAsia="zh-CN"/>
              </w:rPr>
              <w:t>eMBB</w:t>
            </w:r>
            <w:proofErr w:type="spellEnd"/>
            <w:r>
              <w:rPr>
                <w:rFonts w:ascii="Times New Roman" w:eastAsia="Times New Roman" w:hAnsi="Times New Roman"/>
                <w:sz w:val="18"/>
                <w:szCs w:val="18"/>
                <w:lang w:val="en-GB" w:eastAsia="zh-CN"/>
              </w:rPr>
              <w:t>,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14:paraId="5016EB0E" w14:textId="77777777">
        <w:tc>
          <w:tcPr>
            <w:tcW w:w="1447" w:type="dxa"/>
            <w:vAlign w:val="center"/>
          </w:tcPr>
          <w:p w14:paraId="5016EB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0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0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14:paraId="5016EB12" w14:textId="77777777">
        <w:tc>
          <w:tcPr>
            <w:tcW w:w="1447" w:type="dxa"/>
            <w:vAlign w:val="center"/>
          </w:tcPr>
          <w:p w14:paraId="5016EB0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1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1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14:paraId="5016EB16" w14:textId="77777777">
        <w:tc>
          <w:tcPr>
            <w:tcW w:w="1447" w:type="dxa"/>
            <w:vAlign w:val="center"/>
          </w:tcPr>
          <w:p w14:paraId="5016EB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1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1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14:paraId="5016EB1C" w14:textId="77777777">
        <w:tc>
          <w:tcPr>
            <w:tcW w:w="1447" w:type="dxa"/>
            <w:vAlign w:val="center"/>
          </w:tcPr>
          <w:p w14:paraId="5016EB17" w14:textId="77777777" w:rsidR="00561E58" w:rsidRDefault="00E503D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92" w:type="dxa"/>
            <w:shd w:val="clear" w:color="auto" w:fill="auto"/>
            <w:vAlign w:val="center"/>
          </w:tcPr>
          <w:p w14:paraId="5016EB18" w14:textId="77777777" w:rsidR="00561E58"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Yes</w:t>
            </w:r>
          </w:p>
        </w:tc>
        <w:tc>
          <w:tcPr>
            <w:tcW w:w="6804" w:type="dxa"/>
            <w:shd w:val="clear" w:color="auto" w:fill="auto"/>
            <w:vAlign w:val="center"/>
          </w:tcPr>
          <w:p w14:paraId="5016EB19" w14:textId="77777777" w:rsidR="00561E58"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 xml:space="preserve">Do </w:t>
            </w:r>
            <w:r>
              <w:rPr>
                <w:rFonts w:ascii="Times New Roman" w:eastAsia="DengXian" w:hAnsi="Times New Roman"/>
                <w:sz w:val="18"/>
                <w:szCs w:val="18"/>
                <w:lang w:eastAsia="zh-CN"/>
              </w:rPr>
              <w:t>not have a strong view.</w:t>
            </w:r>
          </w:p>
          <w:p w14:paraId="5016EB1A" w14:textId="77777777" w:rsidR="00E503D4"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If using PEI out of the last cell, it would wake up other users support PEI</w:t>
            </w:r>
            <w:r w:rsidR="00216F83">
              <w:rPr>
                <w:rFonts w:ascii="Times New Roman" w:eastAsia="DengXian" w:hAnsi="Times New Roman"/>
                <w:sz w:val="18"/>
                <w:szCs w:val="18"/>
                <w:lang w:eastAsia="zh-CN"/>
              </w:rPr>
              <w:t xml:space="preserve"> and cause huge false alarm</w:t>
            </w:r>
            <w:r>
              <w:rPr>
                <w:rFonts w:ascii="Times New Roman" w:eastAsia="DengXian" w:hAnsi="Times New Roman"/>
                <w:sz w:val="18"/>
                <w:szCs w:val="18"/>
                <w:lang w:eastAsia="zh-CN"/>
              </w:rPr>
              <w:t xml:space="preserve">. If not, it would impact the UE’s power saving. Seems to choose what we want to sacrifice. </w:t>
            </w:r>
          </w:p>
          <w:p w14:paraId="5016EB1B" w14:textId="77777777" w:rsidR="00E503D4"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We can accept the </w:t>
            </w:r>
            <w:r w:rsidRPr="00216F83">
              <w:rPr>
                <w:rFonts w:ascii="Times New Roman" w:eastAsia="DengXian" w:hAnsi="Times New Roman"/>
                <w:sz w:val="18"/>
                <w:szCs w:val="18"/>
                <w:lang w:eastAsia="zh-CN"/>
              </w:rPr>
              <w:t>UE monitors PEI only in last used cell</w:t>
            </w:r>
            <w:r>
              <w:rPr>
                <w:rFonts w:ascii="Times New Roman" w:eastAsia="DengXian" w:hAnsi="Times New Roman"/>
                <w:sz w:val="18"/>
                <w:szCs w:val="18"/>
                <w:lang w:eastAsia="zh-CN"/>
              </w:rPr>
              <w:t>.</w:t>
            </w:r>
          </w:p>
        </w:tc>
      </w:tr>
      <w:tr w:rsidR="002E1D25" w14:paraId="5016EB20" w14:textId="77777777">
        <w:tc>
          <w:tcPr>
            <w:tcW w:w="1447" w:type="dxa"/>
            <w:vAlign w:val="center"/>
          </w:tcPr>
          <w:p w14:paraId="5016EB1D"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lastRenderedPageBreak/>
              <w:t>DENSO</w:t>
            </w:r>
          </w:p>
        </w:tc>
        <w:tc>
          <w:tcPr>
            <w:tcW w:w="992" w:type="dxa"/>
            <w:shd w:val="clear" w:color="auto" w:fill="auto"/>
            <w:vAlign w:val="center"/>
          </w:tcPr>
          <w:p w14:paraId="5016EB1E"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No strong view</w:t>
            </w:r>
          </w:p>
        </w:tc>
        <w:tc>
          <w:tcPr>
            <w:tcW w:w="6804" w:type="dxa"/>
            <w:shd w:val="clear" w:color="auto" w:fill="auto"/>
            <w:vAlign w:val="center"/>
          </w:tcPr>
          <w:p w14:paraId="5016EB1F"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652755" w14:paraId="194D1B87" w14:textId="77777777">
        <w:tc>
          <w:tcPr>
            <w:tcW w:w="1447" w:type="dxa"/>
            <w:vAlign w:val="center"/>
          </w:tcPr>
          <w:p w14:paraId="4388A96D" w14:textId="6412D093" w:rsidR="00652755" w:rsidRDefault="00652755" w:rsidP="00652755">
            <w:pPr>
              <w:overflowPunct w:val="0"/>
              <w:autoSpaceDE w:val="0"/>
              <w:autoSpaceDN w:val="0"/>
              <w:adjustRightInd w:val="0"/>
              <w:spacing w:before="60" w:after="60"/>
              <w:textAlignment w:val="baseline"/>
              <w:rPr>
                <w:rFonts w:ascii="Times New Roman" w:eastAsia="Yu Mincho" w:hAnsi="Times New Roman" w:hint="eastAsia"/>
                <w:sz w:val="18"/>
                <w:szCs w:val="18"/>
                <w:lang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6CD88E84" w14:textId="40D874FD" w:rsidR="00652755" w:rsidRDefault="00652755" w:rsidP="00652755">
            <w:pPr>
              <w:overflowPunct w:val="0"/>
              <w:autoSpaceDE w:val="0"/>
              <w:autoSpaceDN w:val="0"/>
              <w:adjustRightInd w:val="0"/>
              <w:spacing w:before="60" w:after="60"/>
              <w:textAlignment w:val="baseline"/>
              <w:rPr>
                <w:rFonts w:ascii="Times New Roman" w:eastAsia="Yu Mincho" w:hAnsi="Times New Roman" w:hint="eastAsia"/>
                <w:sz w:val="18"/>
                <w:szCs w:val="18"/>
                <w:lang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4AE04893" w14:textId="77777777" w:rsidR="00652755" w:rsidRDefault="00652755" w:rsidP="0065275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bl>
    <w:p w14:paraId="5016EB21" w14:textId="77777777" w:rsidR="00097342" w:rsidRDefault="00097342">
      <w:pPr>
        <w:rPr>
          <w:lang w:val="en-GB" w:eastAsia="zh-CN"/>
        </w:rPr>
      </w:pPr>
    </w:p>
    <w:p w14:paraId="5016EB22" w14:textId="77777777" w:rsidR="00097342" w:rsidRDefault="00B1532A">
      <w:pPr>
        <w:pStyle w:val="Heading2"/>
      </w:pPr>
      <w:proofErr w:type="spellStart"/>
      <w:r>
        <w:rPr>
          <w:i/>
          <w:iCs/>
        </w:rPr>
        <w:t>UERadioPagingInfo</w:t>
      </w:r>
      <w:proofErr w:type="spellEnd"/>
      <w:r>
        <w:t xml:space="preserve"> IE in </w:t>
      </w:r>
      <w:proofErr w:type="spellStart"/>
      <w:r>
        <w:rPr>
          <w:i/>
          <w:iCs/>
        </w:rPr>
        <w:t>UECapabilityInformation</w:t>
      </w:r>
      <w:proofErr w:type="spellEnd"/>
      <w:r>
        <w:t xml:space="preserve"> message</w:t>
      </w:r>
    </w:p>
    <w:p w14:paraId="5016EB23" w14:textId="77777777" w:rsidR="00097342" w:rsidRDefault="00B1532A">
      <w:pPr>
        <w:rPr>
          <w:lang w:val="en-GB" w:eastAsia="zh-CN"/>
        </w:rPr>
      </w:pPr>
      <w:r>
        <w:rPr>
          <w:lang w:val="en-GB" w:eastAsia="zh-CN"/>
        </w:rPr>
        <w:t xml:space="preserve">In LTE there is a separate </w:t>
      </w:r>
      <w:proofErr w:type="spellStart"/>
      <w:r>
        <w:rPr>
          <w:i/>
          <w:iCs/>
          <w:lang w:val="en-GB" w:eastAsia="zh-CN"/>
        </w:rPr>
        <w:t>ue-RadioPagingInfo</w:t>
      </w:r>
      <w:proofErr w:type="spellEnd"/>
      <w:r>
        <w:rPr>
          <w:lang w:val="en-GB" w:eastAsia="zh-CN"/>
        </w:rPr>
        <w:t xml:space="preserve"> IE in the </w:t>
      </w:r>
      <w:proofErr w:type="spellStart"/>
      <w:r>
        <w:rPr>
          <w:i/>
          <w:iCs/>
          <w:lang w:val="en-GB" w:eastAsia="zh-CN"/>
        </w:rPr>
        <w:t>UECapabilityInformation</w:t>
      </w:r>
      <w:proofErr w:type="spellEnd"/>
      <w:r>
        <w:rPr>
          <w:lang w:val="en-GB" w:eastAsia="zh-CN"/>
        </w:rPr>
        <w:t xml:space="preserve"> message [4]:</w:t>
      </w:r>
    </w:p>
    <w:p w14:paraId="5016EB24" w14:textId="77777777" w:rsidR="00097342" w:rsidRDefault="00B1532A">
      <w:pPr>
        <w:pStyle w:val="PL"/>
        <w:shd w:val="clear" w:color="auto" w:fill="E6E6E6"/>
      </w:pPr>
      <w:proofErr w:type="spellStart"/>
      <w:r>
        <w:t>UECapabilityInformation</w:t>
      </w:r>
      <w:proofErr w:type="spellEnd"/>
      <w:r>
        <w:t xml:space="preserve"> ::=</w:t>
      </w:r>
      <w:r>
        <w:tab/>
      </w:r>
      <w:r>
        <w:tab/>
      </w:r>
      <w:r>
        <w:tab/>
        <w:t>SEQUENCE {</w:t>
      </w:r>
    </w:p>
    <w:p w14:paraId="5016EB25" w14:textId="77777777" w:rsidR="00097342" w:rsidRDefault="00B1532A">
      <w:pPr>
        <w:pStyle w:val="PL"/>
        <w:shd w:val="clear" w:color="auto" w:fill="E6E6E6"/>
      </w:pPr>
      <w:r>
        <w:rPr>
          <w:snapToGrid w:val="0"/>
        </w:rPr>
        <w:t>…</w:t>
      </w:r>
    </w:p>
    <w:p w14:paraId="5016EB26" w14:textId="77777777" w:rsidR="00097342" w:rsidRDefault="00B1532A">
      <w:pPr>
        <w:pStyle w:val="PL"/>
        <w:shd w:val="clear" w:color="auto" w:fill="E6E6E6"/>
      </w:pPr>
      <w:r>
        <w:t>UECapabilityInformation-v1250-IEs ::= SEQUENCE {</w:t>
      </w:r>
    </w:p>
    <w:p w14:paraId="5016EB27" w14:textId="77777777" w:rsidR="00097342" w:rsidRDefault="00B1532A">
      <w:pPr>
        <w:pStyle w:val="PL"/>
        <w:shd w:val="clear" w:color="auto" w:fill="E6E6E6"/>
      </w:pPr>
      <w:r>
        <w:tab/>
        <w:t>ue-RadioPagingInfo-r12</w:t>
      </w:r>
      <w:r>
        <w:tab/>
      </w:r>
      <w:r>
        <w:tab/>
      </w:r>
      <w:r>
        <w:tab/>
      </w:r>
      <w:r>
        <w:tab/>
      </w:r>
      <w:proofErr w:type="spellStart"/>
      <w:r>
        <w:t>UE-RadioPagingInfo-r12</w:t>
      </w:r>
      <w:proofErr w:type="spellEnd"/>
      <w:r>
        <w:tab/>
      </w:r>
      <w:r>
        <w:tab/>
      </w:r>
      <w:r>
        <w:tab/>
      </w:r>
      <w:r>
        <w:tab/>
        <w:t>OPTIONAL,</w:t>
      </w:r>
    </w:p>
    <w:p w14:paraId="5016EB28" w14:textId="77777777" w:rsidR="00097342" w:rsidRDefault="00B1532A">
      <w:pPr>
        <w:pStyle w:val="PL"/>
        <w:shd w:val="clear" w:color="auto" w:fill="E6E6E6"/>
        <w:spacing w:after="200"/>
      </w:pPr>
      <w:r>
        <w:t>…</w:t>
      </w:r>
    </w:p>
    <w:p w14:paraId="5016EB29" w14:textId="77777777" w:rsidR="00097342" w:rsidRDefault="00B1532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the IE in signalling message towards the RAN when forwarding the capabilities to the CN. </w:t>
      </w:r>
    </w:p>
    <w:p w14:paraId="5016EB2A" w14:textId="77777777" w:rsidR="00097342" w:rsidRDefault="00B1532A">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14:paraId="5016EB2B" w14:textId="77777777" w:rsidR="00097342" w:rsidRDefault="00B1532A">
      <w:pPr>
        <w:rPr>
          <w:lang w:val="en-GB" w:eastAsia="zh-CN"/>
        </w:rPr>
      </w:pPr>
      <w:r>
        <w:rPr>
          <w:b/>
          <w:bCs/>
          <w:lang w:val="en-GB" w:eastAsia="zh-CN"/>
        </w:rPr>
        <w:t>Question 9:</w:t>
      </w:r>
      <w:r>
        <w:rPr>
          <w:lang w:val="en-GB" w:eastAsia="zh-CN"/>
        </w:rPr>
        <w:t xml:space="preserve"> Do companies agree with the following proposal [4]?: </w:t>
      </w:r>
    </w:p>
    <w:p w14:paraId="5016EB2C"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xml:space="preserve">: Introduce a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 xml:space="preserve">IE in the </w:t>
      </w:r>
      <w:proofErr w:type="spellStart"/>
      <w:r>
        <w:rPr>
          <w:rFonts w:ascii="Times New Roman" w:hAnsi="Times New Roman"/>
          <w:i/>
        </w:rPr>
        <w:t>UECapabilityInformation</w:t>
      </w:r>
      <w:proofErr w:type="spellEnd"/>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30" w14:textId="77777777">
        <w:tc>
          <w:tcPr>
            <w:tcW w:w="1447" w:type="dxa"/>
            <w:shd w:val="clear" w:color="auto" w:fill="BFBFBF"/>
            <w:vAlign w:val="center"/>
          </w:tcPr>
          <w:p w14:paraId="5016EB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34" w14:textId="77777777">
        <w:tc>
          <w:tcPr>
            <w:tcW w:w="1447" w:type="dxa"/>
            <w:vAlign w:val="center"/>
          </w:tcPr>
          <w:p w14:paraId="5016EB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B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14:paraId="5016EB38" w14:textId="77777777">
        <w:tc>
          <w:tcPr>
            <w:tcW w:w="1447" w:type="dxa"/>
            <w:vAlign w:val="center"/>
          </w:tcPr>
          <w:p w14:paraId="5016EB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B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is derived “only” in the gNB where the UE does its Initial Registration and this gNB could be hundreds of miles from the UE’s current gNB.)</w:t>
            </w:r>
          </w:p>
        </w:tc>
      </w:tr>
      <w:tr w:rsidR="00097342" w14:paraId="5016EB3C" w14:textId="77777777">
        <w:tc>
          <w:tcPr>
            <w:tcW w:w="1447" w:type="dxa"/>
            <w:vAlign w:val="center"/>
          </w:tcPr>
          <w:p w14:paraId="5016EB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B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0" w14:textId="77777777">
        <w:tc>
          <w:tcPr>
            <w:tcW w:w="1447" w:type="dxa"/>
            <w:vAlign w:val="center"/>
          </w:tcPr>
          <w:p w14:paraId="5016EB3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B3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B3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4" w14:textId="77777777">
        <w:tc>
          <w:tcPr>
            <w:tcW w:w="1447" w:type="dxa"/>
            <w:vAlign w:val="center"/>
          </w:tcPr>
          <w:p w14:paraId="5016EB4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B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B4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8" w14:textId="77777777">
        <w:tc>
          <w:tcPr>
            <w:tcW w:w="1447" w:type="dxa"/>
            <w:vAlign w:val="center"/>
          </w:tcPr>
          <w:p w14:paraId="5016EB4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B4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B4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C" w14:textId="77777777">
        <w:tc>
          <w:tcPr>
            <w:tcW w:w="1447" w:type="dxa"/>
            <w:vAlign w:val="center"/>
          </w:tcPr>
          <w:p w14:paraId="5016EB4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0" w14:textId="77777777">
        <w:tc>
          <w:tcPr>
            <w:tcW w:w="1447" w:type="dxa"/>
            <w:vAlign w:val="center"/>
          </w:tcPr>
          <w:p w14:paraId="5016EB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B4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4" w14:textId="77777777">
        <w:tc>
          <w:tcPr>
            <w:tcW w:w="1447" w:type="dxa"/>
            <w:vAlign w:val="center"/>
          </w:tcPr>
          <w:p w14:paraId="5016EB5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5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14:paraId="5016EB58" w14:textId="77777777">
        <w:tc>
          <w:tcPr>
            <w:tcW w:w="1447" w:type="dxa"/>
            <w:vAlign w:val="center"/>
          </w:tcPr>
          <w:p w14:paraId="5016EB5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5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C" w14:textId="77777777">
        <w:tc>
          <w:tcPr>
            <w:tcW w:w="1447" w:type="dxa"/>
            <w:vAlign w:val="center"/>
          </w:tcPr>
          <w:p w14:paraId="5016EB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5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60" w14:textId="77777777">
        <w:tc>
          <w:tcPr>
            <w:tcW w:w="1447" w:type="dxa"/>
            <w:vAlign w:val="center"/>
          </w:tcPr>
          <w:p w14:paraId="5016EB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lastRenderedPageBreak/>
              <w:t>ZTE</w:t>
            </w:r>
          </w:p>
        </w:tc>
        <w:tc>
          <w:tcPr>
            <w:tcW w:w="992" w:type="dxa"/>
            <w:shd w:val="clear" w:color="auto" w:fill="auto"/>
            <w:vAlign w:val="center"/>
          </w:tcPr>
          <w:p w14:paraId="5016EB5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5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14:paraId="5016EB64" w14:textId="77777777">
        <w:tc>
          <w:tcPr>
            <w:tcW w:w="1447" w:type="dxa"/>
            <w:vAlign w:val="center"/>
          </w:tcPr>
          <w:p w14:paraId="5016EB61"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992" w:type="dxa"/>
            <w:shd w:val="clear" w:color="auto" w:fill="auto"/>
            <w:vAlign w:val="center"/>
          </w:tcPr>
          <w:p w14:paraId="5016EB62"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B63"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I</w:t>
            </w:r>
            <w:r>
              <w:rPr>
                <w:rFonts w:ascii="Times New Roman" w:eastAsia="DengXian" w:hAnsi="Times New Roman"/>
                <w:sz w:val="18"/>
                <w:szCs w:val="18"/>
                <w:lang w:val="en-GB" w:eastAsia="zh-CN"/>
              </w:rPr>
              <w:t>f  this is used for transferring UE’s AS capability of supporting PEI</w:t>
            </w:r>
            <w:r w:rsidR="00406C77">
              <w:rPr>
                <w:rFonts w:ascii="Times New Roman" w:eastAsia="DengXian" w:hAnsi="Times New Roman"/>
                <w:sz w:val="18"/>
                <w:szCs w:val="18"/>
                <w:lang w:val="en-GB" w:eastAsia="zh-CN"/>
              </w:rPr>
              <w:t xml:space="preserve"> to CN</w:t>
            </w:r>
            <w:r>
              <w:rPr>
                <w:rFonts w:ascii="Times New Roman" w:eastAsia="DengXian" w:hAnsi="Times New Roman"/>
                <w:sz w:val="18"/>
                <w:szCs w:val="18"/>
                <w:lang w:val="en-GB" w:eastAsia="zh-CN"/>
              </w:rPr>
              <w:t>, the answer is yes.</w:t>
            </w:r>
          </w:p>
        </w:tc>
      </w:tr>
      <w:tr w:rsidR="002E1D25" w14:paraId="5016EB68" w14:textId="77777777">
        <w:tc>
          <w:tcPr>
            <w:tcW w:w="1447" w:type="dxa"/>
            <w:vAlign w:val="center"/>
          </w:tcPr>
          <w:p w14:paraId="5016EB65"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B66"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B6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5FF7" w14:paraId="533D32FF" w14:textId="77777777">
        <w:tc>
          <w:tcPr>
            <w:tcW w:w="1447" w:type="dxa"/>
            <w:vAlign w:val="center"/>
          </w:tcPr>
          <w:p w14:paraId="761B43DD" w14:textId="6DD0D9A8" w:rsidR="00585FF7" w:rsidRDefault="00585FF7" w:rsidP="00585FF7">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F077AD0" w14:textId="003AF546" w:rsidR="00585FF7" w:rsidRDefault="00585FF7" w:rsidP="00585FF7">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2CFF250D" w14:textId="77777777" w:rsidR="00585FF7" w:rsidRPr="00706C48" w:rsidRDefault="00585FF7" w:rsidP="00585FF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69" w14:textId="77777777" w:rsidR="00097342" w:rsidRDefault="00097342">
      <w:pPr>
        <w:rPr>
          <w:lang w:val="en-GB" w:eastAsia="zh-CN"/>
        </w:rPr>
      </w:pPr>
    </w:p>
    <w:p w14:paraId="5016EB6A" w14:textId="77777777" w:rsidR="00097342" w:rsidRDefault="00B1532A">
      <w:pPr>
        <w:pStyle w:val="Heading2"/>
      </w:pPr>
      <w:r>
        <w:t>Missed PEI</w:t>
      </w:r>
    </w:p>
    <w:p w14:paraId="5016EB6B" w14:textId="77777777"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14:paraId="5016EB6C" w14:textId="77777777" w:rsidR="00097342" w:rsidRDefault="00B1532A">
      <w:pPr>
        <w:rPr>
          <w:lang w:val="en-GB" w:eastAsia="zh-CN"/>
        </w:rPr>
      </w:pPr>
      <w:r>
        <w:rPr>
          <w:lang w:val="en-GB" w:eastAsia="zh-CN"/>
        </w:rPr>
        <w:t>The rapporteur wondered if this should be captured the other way around, i.e. when the UE is allowed to skip PO monitoring?</w:t>
      </w:r>
    </w:p>
    <w:p w14:paraId="5016EB6D" w14:textId="77777777"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14:paraId="5016EB6E"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14:paraId="5016EB72" w14:textId="77777777">
        <w:tc>
          <w:tcPr>
            <w:tcW w:w="1447" w:type="dxa"/>
            <w:shd w:val="clear" w:color="auto" w:fill="BFBFBF"/>
            <w:vAlign w:val="center"/>
          </w:tcPr>
          <w:p w14:paraId="5016EB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14:paraId="5016EB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14:paraId="5016EB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78" w14:textId="77777777">
        <w:tc>
          <w:tcPr>
            <w:tcW w:w="1447" w:type="dxa"/>
            <w:vAlign w:val="center"/>
          </w:tcPr>
          <w:p w14:paraId="5016EB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14:paraId="5016EB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14:paraId="5016EB7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14:paraId="5016EB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14:paraId="5016EB7E" w14:textId="77777777">
        <w:tc>
          <w:tcPr>
            <w:tcW w:w="1447" w:type="dxa"/>
            <w:vAlign w:val="center"/>
          </w:tcPr>
          <w:p w14:paraId="5016EB7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6" w:type="dxa"/>
            <w:shd w:val="clear" w:color="auto" w:fill="auto"/>
            <w:vAlign w:val="center"/>
          </w:tcPr>
          <w:p w14:paraId="5016EB7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5016EB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14:paraId="5016EB82" w14:textId="77777777">
        <w:tc>
          <w:tcPr>
            <w:tcW w:w="1447" w:type="dxa"/>
            <w:vAlign w:val="center"/>
          </w:tcPr>
          <w:p w14:paraId="5016EB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14:paraId="5016EB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8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6" w14:textId="77777777">
        <w:tc>
          <w:tcPr>
            <w:tcW w:w="1447" w:type="dxa"/>
            <w:vAlign w:val="center"/>
          </w:tcPr>
          <w:p w14:paraId="5016EB8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6" w:type="dxa"/>
            <w:shd w:val="clear" w:color="auto" w:fill="auto"/>
            <w:vAlign w:val="center"/>
          </w:tcPr>
          <w:p w14:paraId="5016EB8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14:paraId="5016EB8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14:paraId="5016EB8A" w14:textId="77777777">
        <w:tc>
          <w:tcPr>
            <w:tcW w:w="1447" w:type="dxa"/>
            <w:vAlign w:val="center"/>
          </w:tcPr>
          <w:p w14:paraId="5016EB8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14:paraId="5016EB8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14:paraId="5016EB8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E" w14:textId="77777777">
        <w:tc>
          <w:tcPr>
            <w:tcW w:w="1447" w:type="dxa"/>
            <w:vAlign w:val="center"/>
          </w:tcPr>
          <w:p w14:paraId="5016EB8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14:paraId="5016EB8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14:paraId="5016EB8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14:paraId="5016EB92" w14:textId="77777777">
        <w:tc>
          <w:tcPr>
            <w:tcW w:w="1447" w:type="dxa"/>
            <w:vAlign w:val="center"/>
          </w:tcPr>
          <w:p w14:paraId="5016EB8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14:paraId="5016EB9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14:paraId="5016EB9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14:paraId="5016EB96" w14:textId="77777777">
        <w:tc>
          <w:tcPr>
            <w:tcW w:w="1447" w:type="dxa"/>
            <w:vAlign w:val="center"/>
          </w:tcPr>
          <w:p w14:paraId="5016EB9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6" w:type="dxa"/>
            <w:shd w:val="clear" w:color="auto" w:fill="auto"/>
            <w:vAlign w:val="center"/>
          </w:tcPr>
          <w:p w14:paraId="5016EB9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14:paraId="5016EB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14:paraId="5016EB9A" w14:textId="77777777">
        <w:tc>
          <w:tcPr>
            <w:tcW w:w="1447" w:type="dxa"/>
            <w:vAlign w:val="center"/>
          </w:tcPr>
          <w:p w14:paraId="5016EB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14:paraId="5016EB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at least for </w:t>
            </w:r>
            <w:r>
              <w:rPr>
                <w:rFonts w:ascii="Times New Roman" w:eastAsia="Times New Roman" w:hAnsi="Times New Roman"/>
                <w:sz w:val="18"/>
                <w:szCs w:val="18"/>
                <w:lang w:val="en-GB" w:eastAsia="zh-CN"/>
              </w:rPr>
              <w:lastRenderedPageBreak/>
              <w:t>cell reselection</w:t>
            </w:r>
          </w:p>
        </w:tc>
        <w:tc>
          <w:tcPr>
            <w:tcW w:w="6800" w:type="dxa"/>
            <w:shd w:val="clear" w:color="auto" w:fill="auto"/>
            <w:vAlign w:val="center"/>
          </w:tcPr>
          <w:p w14:paraId="5016EB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it is unclear to us the context of the proposal. We agree that it will be needed for at least after cell reselection.</w:t>
            </w:r>
          </w:p>
        </w:tc>
      </w:tr>
      <w:tr w:rsidR="00097342" w14:paraId="5016EB9E" w14:textId="77777777">
        <w:tc>
          <w:tcPr>
            <w:tcW w:w="1447" w:type="dxa"/>
            <w:vAlign w:val="center"/>
          </w:tcPr>
          <w:p w14:paraId="5016EB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14:paraId="5016EB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14:paraId="5016EBA2" w14:textId="77777777">
        <w:tc>
          <w:tcPr>
            <w:tcW w:w="1447" w:type="dxa"/>
            <w:vAlign w:val="center"/>
          </w:tcPr>
          <w:p w14:paraId="5016EB9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14:paraId="5016EBA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14:paraId="5016EB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14:paraId="5016EBA6" w14:textId="77777777">
        <w:tc>
          <w:tcPr>
            <w:tcW w:w="1447" w:type="dxa"/>
            <w:vAlign w:val="center"/>
          </w:tcPr>
          <w:p w14:paraId="5016EBA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14:paraId="5016EBA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14:paraId="5016EBA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14:paraId="5016EBAF" w14:textId="77777777">
        <w:tc>
          <w:tcPr>
            <w:tcW w:w="1447" w:type="dxa"/>
            <w:vAlign w:val="center"/>
          </w:tcPr>
          <w:p w14:paraId="5016EBA7"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6" w:type="dxa"/>
            <w:shd w:val="clear" w:color="auto" w:fill="auto"/>
            <w:vAlign w:val="center"/>
          </w:tcPr>
          <w:p w14:paraId="5016EBA8"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0" w:type="dxa"/>
            <w:shd w:val="clear" w:color="auto" w:fill="auto"/>
            <w:vAlign w:val="center"/>
          </w:tcPr>
          <w:p w14:paraId="5016EBA9" w14:textId="77777777" w:rsidR="00A33547"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To clarify:</w:t>
            </w:r>
          </w:p>
          <w:p w14:paraId="5016EBAA" w14:textId="77777777" w:rsid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Our intention is for the </w:t>
            </w:r>
            <w:r w:rsidRPr="00216F83">
              <w:rPr>
                <w:rFonts w:ascii="Times New Roman" w:eastAsia="DengXian" w:hAnsi="Times New Roman"/>
                <w:sz w:val="18"/>
                <w:szCs w:val="18"/>
                <w:lang w:eastAsia="zh-CN"/>
              </w:rPr>
              <w:t>cell re-selection</w:t>
            </w:r>
            <w:r>
              <w:rPr>
                <w:rFonts w:ascii="Times New Roman" w:eastAsia="DengXian" w:hAnsi="Times New Roman"/>
                <w:sz w:val="18"/>
                <w:szCs w:val="18"/>
                <w:lang w:eastAsia="zh-CN"/>
              </w:rPr>
              <w:t xml:space="preserve"> case.</w:t>
            </w:r>
          </w:p>
          <w:p w14:paraId="5016EBAB" w14:textId="77777777"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eastAsia="zh-CN"/>
              </w:rPr>
              <w:t>A</w:t>
            </w:r>
            <w:r>
              <w:rPr>
                <w:rFonts w:ascii="Times New Roman" w:eastAsia="DengXian"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14:paraId="5016EBAC" w14:textId="77777777"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5016EBAD" w14:textId="77777777"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AE" w14:textId="77777777" w:rsidR="00406C77" w:rsidRPr="00216F83" w:rsidRDefault="00406C77" w:rsidP="00406C7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the UE missed the PEI</w:t>
            </w:r>
            <w:r w:rsidRPr="00406C77">
              <w:rPr>
                <w:rFonts w:ascii="Times New Roman" w:eastAsia="DengXian" w:hAnsi="Times New Roman"/>
                <w:sz w:val="18"/>
                <w:szCs w:val="18"/>
                <w:lang w:eastAsia="zh-CN"/>
              </w:rPr>
              <w:t xml:space="preserve"> occasion</w:t>
            </w:r>
            <w:r>
              <w:rPr>
                <w:rFonts w:ascii="Times New Roman" w:eastAsia="DengXian" w:hAnsi="Times New Roman"/>
                <w:sz w:val="18"/>
                <w:szCs w:val="18"/>
                <w:lang w:eastAsia="zh-CN"/>
              </w:rPr>
              <w:t>s</w:t>
            </w:r>
            <w:r w:rsidRPr="00406C77">
              <w:rPr>
                <w:rFonts w:ascii="Times New Roman" w:eastAsia="DengXian" w:hAnsi="Times New Roman"/>
                <w:sz w:val="18"/>
                <w:szCs w:val="18"/>
                <w:lang w:eastAsia="zh-CN"/>
              </w:rPr>
              <w:t xml:space="preserve"> (e.g. due to cell reselection), it shall monitor the following PO(s) until the next PEI occasion.</w:t>
            </w:r>
          </w:p>
        </w:tc>
      </w:tr>
      <w:tr w:rsidR="002E1D25" w14:paraId="5016EBB3" w14:textId="77777777">
        <w:tc>
          <w:tcPr>
            <w:tcW w:w="1447" w:type="dxa"/>
            <w:vAlign w:val="center"/>
          </w:tcPr>
          <w:p w14:paraId="5016EBB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6" w:type="dxa"/>
            <w:shd w:val="clear" w:color="auto" w:fill="auto"/>
            <w:vAlign w:val="center"/>
          </w:tcPr>
          <w:p w14:paraId="5016EBB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0" w:type="dxa"/>
            <w:shd w:val="clear" w:color="auto" w:fill="auto"/>
            <w:vAlign w:val="center"/>
          </w:tcPr>
          <w:p w14:paraId="5016EBB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7C05" w14:paraId="75301468" w14:textId="77777777">
        <w:tc>
          <w:tcPr>
            <w:tcW w:w="1447" w:type="dxa"/>
            <w:vAlign w:val="center"/>
          </w:tcPr>
          <w:p w14:paraId="7EA7E6AC" w14:textId="2786F5E5" w:rsidR="00347C05" w:rsidRDefault="00347C05" w:rsidP="00347C05">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Sony</w:t>
            </w:r>
          </w:p>
        </w:tc>
        <w:tc>
          <w:tcPr>
            <w:tcW w:w="996" w:type="dxa"/>
            <w:shd w:val="clear" w:color="auto" w:fill="auto"/>
            <w:vAlign w:val="center"/>
          </w:tcPr>
          <w:p w14:paraId="0A495238" w14:textId="7F9418FF" w:rsidR="00347C05" w:rsidRDefault="00347C05" w:rsidP="00347C05">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ja-JP"/>
              </w:rPr>
            </w:pPr>
            <w:r>
              <w:rPr>
                <w:rFonts w:ascii="Times New Roman" w:eastAsia="Times New Roman" w:hAnsi="Times New Roman"/>
                <w:sz w:val="18"/>
                <w:szCs w:val="18"/>
                <w:lang w:val="en-GB" w:eastAsia="zh-CN"/>
              </w:rPr>
              <w:t>Yes</w:t>
            </w:r>
          </w:p>
        </w:tc>
        <w:tc>
          <w:tcPr>
            <w:tcW w:w="6800" w:type="dxa"/>
            <w:shd w:val="clear" w:color="auto" w:fill="auto"/>
            <w:vAlign w:val="center"/>
          </w:tcPr>
          <w:p w14:paraId="39E3DA07" w14:textId="77777777" w:rsidR="00347C05" w:rsidRPr="00706C48" w:rsidRDefault="00347C05" w:rsidP="00347C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B4" w14:textId="77777777" w:rsidR="00097342" w:rsidRPr="00406C77" w:rsidRDefault="00097342">
      <w:pPr>
        <w:rPr>
          <w:lang w:eastAsia="zh-CN"/>
        </w:rPr>
      </w:pPr>
    </w:p>
    <w:p w14:paraId="5016EBB5" w14:textId="77777777" w:rsidR="00097342" w:rsidRDefault="00B1532A">
      <w:pPr>
        <w:pStyle w:val="Heading2"/>
      </w:pPr>
      <w:r>
        <w:t>Any other urgent PEI issue</w:t>
      </w:r>
    </w:p>
    <w:p w14:paraId="5016EBB6" w14:textId="77777777" w:rsidR="00097342" w:rsidRDefault="00B1532A">
      <w:pPr>
        <w:rPr>
          <w:lang w:val="en-GB" w:eastAsia="zh-CN"/>
        </w:rPr>
      </w:pPr>
      <w:r>
        <w:rPr>
          <w:lang w:val="en-GB" w:eastAsia="zh-CN"/>
        </w:rPr>
        <w:t xml:space="preserve">This section gives companies the possibility to add an urgent PEI topic that should also be treated. </w:t>
      </w:r>
    </w:p>
    <w:p w14:paraId="5016EBB7" w14:textId="77777777" w:rsidR="00097342" w:rsidRDefault="00B1532A">
      <w:pPr>
        <w:rPr>
          <w:lang w:val="en-GB" w:eastAsia="zh-CN"/>
        </w:rPr>
      </w:pPr>
      <w:r>
        <w:rPr>
          <w:b/>
          <w:bCs/>
          <w:lang w:val="en-GB" w:eastAsia="zh-CN"/>
        </w:rPr>
        <w:t>Question x:</w:t>
      </w:r>
      <w:r>
        <w:rPr>
          <w:lang w:val="en-GB" w:eastAsia="zh-CN"/>
        </w:rPr>
        <w:t xml:space="preserve"> Do companies agree with the following proposal?: </w:t>
      </w:r>
    </w:p>
    <w:p w14:paraId="5016EBB8"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TBD.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BC" w14:textId="77777777">
        <w:tc>
          <w:tcPr>
            <w:tcW w:w="1447" w:type="dxa"/>
            <w:shd w:val="clear" w:color="auto" w:fill="BFBFBF"/>
            <w:vAlign w:val="center"/>
          </w:tcPr>
          <w:p w14:paraId="5016EB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C0" w14:textId="77777777">
        <w:tc>
          <w:tcPr>
            <w:tcW w:w="1447" w:type="dxa"/>
            <w:vAlign w:val="center"/>
          </w:tcPr>
          <w:p w14:paraId="5016EB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B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97342" w14:paraId="5016EBC4" w14:textId="77777777">
        <w:tc>
          <w:tcPr>
            <w:tcW w:w="1447" w:type="dxa"/>
            <w:vAlign w:val="center"/>
          </w:tcPr>
          <w:p w14:paraId="5016EB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8" w14:textId="77777777">
        <w:tc>
          <w:tcPr>
            <w:tcW w:w="1447" w:type="dxa"/>
            <w:vAlign w:val="center"/>
          </w:tcPr>
          <w:p w14:paraId="5016EB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C" w14:textId="77777777">
        <w:tc>
          <w:tcPr>
            <w:tcW w:w="1447" w:type="dxa"/>
            <w:vAlign w:val="center"/>
          </w:tcPr>
          <w:p w14:paraId="5016EB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0" w14:textId="77777777">
        <w:tc>
          <w:tcPr>
            <w:tcW w:w="1447" w:type="dxa"/>
            <w:vAlign w:val="center"/>
          </w:tcPr>
          <w:p w14:paraId="5016EB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4" w14:textId="77777777">
        <w:tc>
          <w:tcPr>
            <w:tcW w:w="1447" w:type="dxa"/>
            <w:vAlign w:val="center"/>
          </w:tcPr>
          <w:p w14:paraId="5016EBD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8" w14:textId="77777777">
        <w:tc>
          <w:tcPr>
            <w:tcW w:w="1447" w:type="dxa"/>
            <w:vAlign w:val="center"/>
          </w:tcPr>
          <w:p w14:paraId="5016EBD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C" w14:textId="77777777">
        <w:tc>
          <w:tcPr>
            <w:tcW w:w="1447" w:type="dxa"/>
            <w:vAlign w:val="center"/>
          </w:tcPr>
          <w:p w14:paraId="5016EBD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0" w14:textId="77777777">
        <w:tc>
          <w:tcPr>
            <w:tcW w:w="1447" w:type="dxa"/>
            <w:vAlign w:val="center"/>
          </w:tcPr>
          <w:p w14:paraId="5016EBD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4" w14:textId="77777777">
        <w:tc>
          <w:tcPr>
            <w:tcW w:w="1447" w:type="dxa"/>
            <w:vAlign w:val="center"/>
          </w:tcPr>
          <w:p w14:paraId="5016EBE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E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E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E5" w14:textId="77777777" w:rsidR="00097342" w:rsidRDefault="00097342">
      <w:pPr>
        <w:rPr>
          <w:lang w:val="en-GB" w:eastAsia="zh-CN"/>
        </w:rPr>
      </w:pPr>
    </w:p>
    <w:p w14:paraId="5016EBE6" w14:textId="77777777" w:rsidR="00097342" w:rsidRDefault="00B1532A">
      <w:pPr>
        <w:pStyle w:val="Heading1"/>
        <w:jc w:val="both"/>
      </w:pPr>
      <w:r>
        <w:t>Summary</w:t>
      </w:r>
      <w:bookmarkEnd w:id="6"/>
      <w:r>
        <w:t xml:space="preserve"> of email discussion</w:t>
      </w:r>
    </w:p>
    <w:p w14:paraId="5016EBE7" w14:textId="77777777" w:rsidR="00097342" w:rsidRDefault="00B1532A">
      <w:bookmarkStart w:id="7" w:name="_Toc242573361"/>
      <w:r>
        <w:t>TBD</w:t>
      </w:r>
    </w:p>
    <w:p w14:paraId="5016EBE8" w14:textId="77777777" w:rsidR="00097342" w:rsidRDefault="00B1532A">
      <w:pPr>
        <w:pStyle w:val="Heading1"/>
      </w:pPr>
      <w:r>
        <w:lastRenderedPageBreak/>
        <w:t>Conclusions</w:t>
      </w:r>
    </w:p>
    <w:p w14:paraId="5016EBE9" w14:textId="77777777" w:rsidR="00097342" w:rsidRDefault="00B1532A">
      <w:pPr>
        <w:rPr>
          <w:lang w:val="en-GB" w:eastAsia="zh-CN"/>
        </w:rPr>
      </w:pPr>
      <w:r>
        <w:rPr>
          <w:lang w:val="en-GB" w:eastAsia="zh-CN"/>
        </w:rPr>
        <w:t>TBD</w:t>
      </w:r>
    </w:p>
    <w:p w14:paraId="5016EBEA" w14:textId="77777777" w:rsidR="00097342" w:rsidRDefault="00B1532A">
      <w:pPr>
        <w:pStyle w:val="Heading1"/>
      </w:pPr>
      <w:r>
        <w:t>References</w:t>
      </w:r>
      <w:bookmarkEnd w:id="7"/>
    </w:p>
    <w:p w14:paraId="5016EBEB" w14:textId="77777777" w:rsidR="00097342" w:rsidRDefault="009C1660">
      <w:pPr>
        <w:pStyle w:val="Doc-title"/>
        <w:numPr>
          <w:ilvl w:val="0"/>
          <w:numId w:val="10"/>
        </w:numPr>
        <w:rPr>
          <w:rFonts w:ascii="Times New Roman" w:hAnsi="Times New Roman"/>
        </w:rPr>
      </w:pPr>
      <w:hyperlink r:id="rId15"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BEC" w14:textId="77777777" w:rsidR="00097342" w:rsidRDefault="009C1660">
      <w:pPr>
        <w:pStyle w:val="Doc-title"/>
        <w:numPr>
          <w:ilvl w:val="0"/>
          <w:numId w:val="10"/>
        </w:numPr>
        <w:rPr>
          <w:rFonts w:ascii="Times New Roman" w:hAnsi="Times New Roman"/>
        </w:rPr>
      </w:pPr>
      <w:hyperlink r:id="rId16"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BED" w14:textId="77777777" w:rsidR="00097342" w:rsidRDefault="009C1660">
      <w:pPr>
        <w:pStyle w:val="Doc-title"/>
        <w:numPr>
          <w:ilvl w:val="0"/>
          <w:numId w:val="10"/>
        </w:numPr>
        <w:rPr>
          <w:rFonts w:ascii="Times New Roman" w:hAnsi="Times New Roman"/>
        </w:rPr>
      </w:pPr>
      <w:hyperlink r:id="rId17" w:history="1">
        <w:r w:rsidR="00B1532A">
          <w:rPr>
            <w:rStyle w:val="Hyperlink"/>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BEE" w14:textId="77777777" w:rsidR="00097342" w:rsidRDefault="009C1660">
      <w:pPr>
        <w:pStyle w:val="Doc-title"/>
        <w:numPr>
          <w:ilvl w:val="0"/>
          <w:numId w:val="10"/>
        </w:numPr>
        <w:rPr>
          <w:rFonts w:ascii="Times New Roman" w:hAnsi="Times New Roman"/>
        </w:rPr>
      </w:pPr>
      <w:hyperlink r:id="rId18"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BEF" w14:textId="77777777" w:rsidR="00097342" w:rsidRDefault="009C1660">
      <w:pPr>
        <w:pStyle w:val="Doc-title"/>
        <w:numPr>
          <w:ilvl w:val="0"/>
          <w:numId w:val="10"/>
        </w:numPr>
        <w:spacing w:after="200"/>
        <w:rPr>
          <w:rFonts w:ascii="Times New Roman" w:hAnsi="Times New Roman"/>
        </w:rPr>
      </w:pPr>
      <w:hyperlink r:id="rId19"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BF0" w14:textId="77777777"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9A597" w14:textId="77777777" w:rsidR="009C1660" w:rsidRDefault="009C1660">
      <w:pPr>
        <w:spacing w:after="0" w:line="240" w:lineRule="auto"/>
      </w:pPr>
      <w:r>
        <w:separator/>
      </w:r>
    </w:p>
  </w:endnote>
  <w:endnote w:type="continuationSeparator" w:id="0">
    <w:p w14:paraId="5C117742" w14:textId="77777777" w:rsidR="009C1660" w:rsidRDefault="009C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6EBF5" w14:textId="77777777" w:rsidR="00B1532A" w:rsidRDefault="00B1532A">
    <w:pPr>
      <w:pStyle w:val="Footer"/>
      <w:jc w:val="center"/>
    </w:pPr>
    <w:r>
      <w:rPr>
        <w:rStyle w:val="PageNumber"/>
      </w:rPr>
      <w:fldChar w:fldCharType="begin"/>
    </w:r>
    <w:r>
      <w:rPr>
        <w:rStyle w:val="PageNumber"/>
      </w:rPr>
      <w:instrText xml:space="preserve"> PAGE </w:instrText>
    </w:r>
    <w:r>
      <w:rPr>
        <w:rStyle w:val="PageNumber"/>
      </w:rPr>
      <w:fldChar w:fldCharType="separate"/>
    </w:r>
    <w:r w:rsidR="002E1D25">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39816" w14:textId="77777777" w:rsidR="009C1660" w:rsidRDefault="009C1660">
      <w:pPr>
        <w:spacing w:after="0" w:line="240" w:lineRule="auto"/>
      </w:pPr>
      <w:r>
        <w:separator/>
      </w:r>
    </w:p>
  </w:footnote>
  <w:footnote w:type="continuationSeparator" w:id="0">
    <w:p w14:paraId="73DB10DB" w14:textId="77777777" w:rsidR="009C1660" w:rsidRDefault="009C1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2"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6"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8"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4"/>
  </w:num>
  <w:num w:numId="3">
    <w:abstractNumId w:val="1"/>
  </w:num>
  <w:num w:numId="4">
    <w:abstractNumId w:val="0"/>
  </w:num>
  <w:num w:numId="5">
    <w:abstractNumId w:val="7"/>
  </w:num>
  <w:num w:numId="6">
    <w:abstractNumId w:val="9"/>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7BEA"/>
    <w:rsid w:val="000336C3"/>
    <w:rsid w:val="000343D3"/>
    <w:rsid w:val="000362CF"/>
    <w:rsid w:val="0004162A"/>
    <w:rsid w:val="00043A29"/>
    <w:rsid w:val="000464BA"/>
    <w:rsid w:val="0004760F"/>
    <w:rsid w:val="0005088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C78E4"/>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3FBD"/>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502E"/>
    <w:rsid w:val="001E6A9C"/>
    <w:rsid w:val="001F13E9"/>
    <w:rsid w:val="001F3D29"/>
    <w:rsid w:val="001F5CA1"/>
    <w:rsid w:val="001F7D2D"/>
    <w:rsid w:val="002013B3"/>
    <w:rsid w:val="002114D0"/>
    <w:rsid w:val="00211629"/>
    <w:rsid w:val="00212767"/>
    <w:rsid w:val="002129BC"/>
    <w:rsid w:val="002145A5"/>
    <w:rsid w:val="0021634B"/>
    <w:rsid w:val="00216F83"/>
    <w:rsid w:val="00217ECC"/>
    <w:rsid w:val="00225E2B"/>
    <w:rsid w:val="00226C55"/>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35BA"/>
    <w:rsid w:val="002B41FC"/>
    <w:rsid w:val="002B4E7F"/>
    <w:rsid w:val="002C1EF6"/>
    <w:rsid w:val="002C4082"/>
    <w:rsid w:val="002C64D1"/>
    <w:rsid w:val="002C6AEE"/>
    <w:rsid w:val="002D7890"/>
    <w:rsid w:val="002E0414"/>
    <w:rsid w:val="002E17EC"/>
    <w:rsid w:val="002E1A79"/>
    <w:rsid w:val="002E1D25"/>
    <w:rsid w:val="002E319E"/>
    <w:rsid w:val="002E4760"/>
    <w:rsid w:val="002F3825"/>
    <w:rsid w:val="002F4578"/>
    <w:rsid w:val="002F6914"/>
    <w:rsid w:val="002F703D"/>
    <w:rsid w:val="0030538B"/>
    <w:rsid w:val="00306D5D"/>
    <w:rsid w:val="00310765"/>
    <w:rsid w:val="003110FE"/>
    <w:rsid w:val="00311B82"/>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526D"/>
    <w:rsid w:val="003463F7"/>
    <w:rsid w:val="00347C05"/>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27E"/>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433F"/>
    <w:rsid w:val="003F697E"/>
    <w:rsid w:val="003F7F9E"/>
    <w:rsid w:val="00400713"/>
    <w:rsid w:val="00403769"/>
    <w:rsid w:val="004046D3"/>
    <w:rsid w:val="00406447"/>
    <w:rsid w:val="00406C7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1E58"/>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85FF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138"/>
    <w:rsid w:val="005D6EA6"/>
    <w:rsid w:val="005E0137"/>
    <w:rsid w:val="005E02ED"/>
    <w:rsid w:val="005E2992"/>
    <w:rsid w:val="005E42AD"/>
    <w:rsid w:val="005E6CA0"/>
    <w:rsid w:val="005E6F22"/>
    <w:rsid w:val="005F2971"/>
    <w:rsid w:val="005F6205"/>
    <w:rsid w:val="005F7274"/>
    <w:rsid w:val="005F75FD"/>
    <w:rsid w:val="005F7968"/>
    <w:rsid w:val="0060026E"/>
    <w:rsid w:val="00602B94"/>
    <w:rsid w:val="00602F9F"/>
    <w:rsid w:val="006037FD"/>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2755"/>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6739"/>
    <w:rsid w:val="00747C7D"/>
    <w:rsid w:val="00750D3B"/>
    <w:rsid w:val="007528AA"/>
    <w:rsid w:val="00753AD0"/>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400A"/>
    <w:rsid w:val="00797CEE"/>
    <w:rsid w:val="00797E14"/>
    <w:rsid w:val="007A183B"/>
    <w:rsid w:val="007A225E"/>
    <w:rsid w:val="007A3E82"/>
    <w:rsid w:val="007A4CB4"/>
    <w:rsid w:val="007A51D9"/>
    <w:rsid w:val="007A5DCB"/>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53"/>
    <w:rsid w:val="008703ED"/>
    <w:rsid w:val="008713F8"/>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250D"/>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1660"/>
    <w:rsid w:val="009C38E7"/>
    <w:rsid w:val="009C398E"/>
    <w:rsid w:val="009C6C82"/>
    <w:rsid w:val="009C6E39"/>
    <w:rsid w:val="009D0BC1"/>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06FD5"/>
    <w:rsid w:val="00A10972"/>
    <w:rsid w:val="00A10B08"/>
    <w:rsid w:val="00A11091"/>
    <w:rsid w:val="00A128F5"/>
    <w:rsid w:val="00A172D8"/>
    <w:rsid w:val="00A22EF1"/>
    <w:rsid w:val="00A24190"/>
    <w:rsid w:val="00A2634C"/>
    <w:rsid w:val="00A270E5"/>
    <w:rsid w:val="00A27224"/>
    <w:rsid w:val="00A30FC1"/>
    <w:rsid w:val="00A313BD"/>
    <w:rsid w:val="00A32754"/>
    <w:rsid w:val="00A3289E"/>
    <w:rsid w:val="00A33547"/>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13CCC"/>
    <w:rsid w:val="00B1532A"/>
    <w:rsid w:val="00B21530"/>
    <w:rsid w:val="00B23051"/>
    <w:rsid w:val="00B239DC"/>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1972"/>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05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18B9"/>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16E89B"/>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line="240" w:lineRule="auto"/>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line="240" w:lineRule="auto"/>
      <w:outlineLvl w:val="8"/>
    </w:pPr>
    <w:rPr>
      <w:rFonts w:eastAsia="MS Mincho"/>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ListParagraphChar">
    <w:name w:val="List Paragraph Char"/>
    <w:link w:val="ListParagraph"/>
    <w:uiPriority w:val="34"/>
    <w:qFormat/>
    <w:rPr>
      <w:rFonts w:ascii="Arial" w:hAnsi="Arial"/>
      <w:szCs w:val="22"/>
      <w:lang w:val="en-US"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Pr>
      <w:rFonts w:ascii="Arial" w:eastAsia="DengXian"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List3"/>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1135.zip" TargetMode="External"/><Relationship Id="rId18" Type="http://schemas.openxmlformats.org/officeDocument/2006/relationships/hyperlink" Target="https://www.3gpp.org/ftp/tsg_ran/WG2_RL2//TSGR2_116-e/Docs/R2-2110415.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6-e/Docs/R2-2110415.zip" TargetMode="External"/><Relationship Id="rId17" Type="http://schemas.openxmlformats.org/officeDocument/2006/relationships/hyperlink" Target="https://www.3gpp.org/ftp/tsg_ran/WG2_RL2//TSGR2_116-e/Docs/R2-210952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49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521.zip" TargetMode="External"/><Relationship Id="rId5" Type="http://schemas.openxmlformats.org/officeDocument/2006/relationships/settings" Target="settings.xml"/><Relationship Id="rId15" Type="http://schemas.openxmlformats.org/officeDocument/2006/relationships/hyperlink" Target="https://www.3gpp.org/ftp/tsg_ran/WG2_RL2//TSGR2_116-e/Docs/R2-2109453.zip" TargetMode="External"/><Relationship Id="rId10" Type="http://schemas.openxmlformats.org/officeDocument/2006/relationships/hyperlink" Target="https://www.3gpp.org/ftp/tsg_ran/WG2_RL2//TSGR2_116-e/Docs/R2-2109491.zip" TargetMode="External"/><Relationship Id="rId19" Type="http://schemas.openxmlformats.org/officeDocument/2006/relationships/hyperlink" Target="https://www.3gpp.org/ftp/tsg_ran/WG2_RL2//TSGR2_116-e/Docs/R2-2111135.zip" TargetMode="External"/><Relationship Id="rId4" Type="http://schemas.openxmlformats.org/officeDocument/2006/relationships/styles" Target="styles.xml"/><Relationship Id="rId9" Type="http://schemas.openxmlformats.org/officeDocument/2006/relationships/hyperlink" Target="https://www.3gpp.org/ftp/tsg_ran/WG2_RL2//TSGR2_116-e/Docs/R2-2109453.zip" TargetMode="External"/><Relationship Id="rId14" Type="http://schemas.openxmlformats.org/officeDocument/2006/relationships/hyperlink" Target="https://www.3gpp.org/ftp/tsg_ran/WG2_RL2//TSGR2_116-e/Docs/R2-210964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BEDAC-28C2-4084-961E-C19EBACA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4644</Words>
  <Characters>24616</Characters>
  <Application>Microsoft Office Word</Application>
  <DocSecurity>0</DocSecurity>
  <Lines>205</Lines>
  <Paragraphs>58</Paragraphs>
  <ScaleCrop>false</ScaleCrop>
  <Company>Ericsson</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Berggren, Anders</cp:lastModifiedBy>
  <cp:revision>13</cp:revision>
  <cp:lastPrinted>2009-10-21T14:47:00Z</cp:lastPrinted>
  <dcterms:created xsi:type="dcterms:W3CDTF">2021-11-08T09:58:00Z</dcterms:created>
  <dcterms:modified xsi:type="dcterms:W3CDTF">2021-11-08T10:01:00Z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