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Abhishek Roy (Abhishek.Roy@mediatek.com)</w:t>
            </w:r>
            <w:bookmarkStart w:id="5" w:name="_GoBack"/>
            <w:bookmarkEnd w:id="5"/>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6F464B"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6F464B"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6F464B"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K_mac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6"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6"/>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satelitte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lastRenderedPageBreak/>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beneficial to have separate timers if the ephemeris is also used in RRC_IDLE (up to UE implementation), e,g,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6F464B"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6F464B"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6F464B"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6F464B"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lastRenderedPageBreak/>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6F464B"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6F464B"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lastRenderedPageBreak/>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467DC8">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467DC8">
        <w:tc>
          <w:tcPr>
            <w:tcW w:w="1838"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467DC8">
        <w:tc>
          <w:tcPr>
            <w:tcW w:w="1838"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467DC8">
        <w:tc>
          <w:tcPr>
            <w:tcW w:w="1838"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6F464B" w:rsidP="00541623">
            <w:hyperlink r:id="rId17"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lastRenderedPageBreak/>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UE-eNB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6F464B"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lastRenderedPageBreak/>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r w:rsidRPr="00310ABD">
              <w:t>cellBarred parameter provided in SIB1</w:t>
            </w: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467DC8">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467DC8">
        <w:tc>
          <w:tcPr>
            <w:tcW w:w="1838"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The legacy cellBarred parameter is sufficient and no need to introduce new one.</w:t>
            </w:r>
          </w:p>
        </w:tc>
      </w:tr>
      <w:tr w:rsidR="00FE27CE" w:rsidRPr="00A93AB3" w14:paraId="44DA3C1D" w14:textId="77777777" w:rsidTr="00467DC8">
        <w:tc>
          <w:tcPr>
            <w:tcW w:w="1838"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467DC8">
        <w:tc>
          <w:tcPr>
            <w:tcW w:w="1838"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6F464B"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467DC8">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467DC8">
        <w:tc>
          <w:tcPr>
            <w:tcW w:w="1838"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467DC8">
        <w:tc>
          <w:tcPr>
            <w:tcW w:w="1838"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467DC8">
        <w:tc>
          <w:tcPr>
            <w:tcW w:w="1838"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7"/>
      <w:r>
        <w:t xml:space="preserve">Other Enhancements </w:t>
      </w:r>
      <w:commentRangeEnd w:id="7"/>
      <w:r w:rsidR="00AC6676">
        <w:rPr>
          <w:rStyle w:val="CommentReference"/>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CommentReference"/>
        </w:rPr>
        <w:commentReference w:id="16"/>
      </w:r>
    </w:p>
    <w:sectPr w:rsidR="00542DCF" w:rsidRPr="003A5E05" w:rsidSect="008E6E88">
      <w:headerReference w:type="default" r:id="rId22"/>
      <w:foot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apporteur" w:date="2021-11-03T09:10:00Z" w:initials="HW">
    <w:p w14:paraId="7E00871A" w14:textId="5A1CACA2" w:rsidR="00F51810" w:rsidRDefault="00F51810">
      <w:pPr>
        <w:pStyle w:val="CommentText"/>
      </w:pPr>
      <w:r>
        <w:rPr>
          <w:rStyle w:val="CommentReference"/>
        </w:rPr>
        <w:annotationRef/>
      </w:r>
      <w:r>
        <w:t>Discussed in offline-029. Please do not comment on this here</w:t>
      </w:r>
    </w:p>
  </w:comment>
  <w:comment w:id="16" w:author="Rapporteur" w:date="2021-11-03T09:10:00Z" w:initials="HW">
    <w:p w14:paraId="75F99007" w14:textId="3E3CDE3D" w:rsidR="00F51810" w:rsidRDefault="00F51810">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79AC9" w14:textId="77777777" w:rsidR="006F464B" w:rsidRDefault="006F464B">
      <w:pPr>
        <w:pStyle w:val="TAL"/>
      </w:pPr>
      <w:r>
        <w:separator/>
      </w:r>
    </w:p>
  </w:endnote>
  <w:endnote w:type="continuationSeparator" w:id="0">
    <w:p w14:paraId="3CF5AE75" w14:textId="77777777" w:rsidR="006F464B" w:rsidRDefault="006F464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F51810" w:rsidRDefault="00F5181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46EA0" w14:textId="77777777" w:rsidR="006F464B" w:rsidRDefault="006F464B">
      <w:pPr>
        <w:pStyle w:val="TAL"/>
      </w:pPr>
      <w:r>
        <w:separator/>
      </w:r>
    </w:p>
  </w:footnote>
  <w:footnote w:type="continuationSeparator" w:id="0">
    <w:p w14:paraId="565855EF" w14:textId="77777777" w:rsidR="006F464B" w:rsidRDefault="006F464B">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F51810" w:rsidRDefault="00F51810">
    <w:pPr>
      <w:pStyle w:val="Header"/>
      <w:framePr w:wrap="auto" w:vAnchor="text" w:hAnchor="margin" w:xAlign="center" w:y="1"/>
      <w:widowControl/>
    </w:pPr>
    <w:r>
      <w:fldChar w:fldCharType="begin"/>
    </w:r>
    <w:r>
      <w:instrText xml:space="preserve"> PAGE </w:instrText>
    </w:r>
    <w:r>
      <w:fldChar w:fldCharType="separate"/>
    </w:r>
    <w:r w:rsidR="007368F0">
      <w:t>11</w:t>
    </w:r>
    <w:r>
      <w:fldChar w:fldCharType="end"/>
    </w:r>
  </w:p>
  <w:p w14:paraId="7E7576F4" w14:textId="77777777" w:rsidR="00F51810" w:rsidRDefault="00F51810">
    <w:pPr>
      <w:pStyle w:val="Header"/>
    </w:pPr>
  </w:p>
  <w:p w14:paraId="7B616B78" w14:textId="77777777" w:rsidR="00F51810" w:rsidRDefault="00F518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6B68"/>
    <w:rsid w:val="001201BE"/>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91152"/>
    <w:rsid w:val="00B92B34"/>
    <w:rsid w:val="00B93F04"/>
    <w:rsid w:val="00B95C14"/>
    <w:rsid w:val="00BA0B10"/>
    <w:rsid w:val="00BA1ECE"/>
    <w:rsid w:val="00BA225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2472"/>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450C"/>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footer" Target="foot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openxmlformats.org/officeDocument/2006/relationships/header" Target="head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9F4D1-4360-4524-8CC5-EA671B9B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25806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Abhishek Roy</cp:lastModifiedBy>
  <cp:revision>3</cp:revision>
  <cp:lastPrinted>2007-12-21T11:58:00Z</cp:lastPrinted>
  <dcterms:created xsi:type="dcterms:W3CDTF">2021-11-04T17:27:00Z</dcterms:created>
  <dcterms:modified xsi:type="dcterms:W3CDTF">2021-11-04T17:41:00Z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ies>
</file>