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030][</w:t>
      </w:r>
      <w:proofErr w:type="gramEnd"/>
      <w:r w:rsidR="002B4BBF" w:rsidRPr="002B4BBF">
        <w:rPr>
          <w:rFonts w:ascii="Arial" w:hAnsi="Arial" w:cs="Arial"/>
          <w:b/>
          <w:sz w:val="24"/>
        </w:rPr>
        <w:t>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w:t>
      </w:r>
      <w:proofErr w:type="gramStart"/>
      <w:r>
        <w:t>i.e.</w:t>
      </w:r>
      <w:proofErr w:type="gramEnd"/>
      <w:r>
        <w:t xml:space="preserv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xml:space="preserve">,  related </w:t>
      </w:r>
      <w:proofErr w:type="gramStart"/>
      <w:r>
        <w:t>e.g.</w:t>
      </w:r>
      <w:proofErr w:type="gramEnd"/>
      <w:r>
        <w:t xml:space="preserve">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BF72A9" w:rsidRDefault="00526A35" w:rsidP="00526A35">
            <w:pPr>
              <w:overflowPunct w:val="0"/>
              <w:autoSpaceDE w:val="0"/>
              <w:autoSpaceDN w:val="0"/>
              <w:adjustRightInd w:val="0"/>
              <w:spacing w:after="0"/>
              <w:jc w:val="both"/>
              <w:textAlignment w:val="baseline"/>
              <w:rPr>
                <w:rFonts w:ascii="Arial" w:eastAsia="SimSun" w:hAnsi="Arial"/>
                <w:lang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656CE1" w:rsidRDefault="007368F0" w:rsidP="00526A35">
            <w:pPr>
              <w:overflowPunct w:val="0"/>
              <w:autoSpaceDE w:val="0"/>
              <w:autoSpaceDN w:val="0"/>
              <w:adjustRightInd w:val="0"/>
              <w:spacing w:after="0"/>
              <w:jc w:val="both"/>
              <w:textAlignment w:val="baseline"/>
              <w:rPr>
                <w:rFonts w:ascii="Arial" w:eastAsia="SimSun" w:hAnsi="Arial"/>
                <w:lang w:eastAsia="zh-CN"/>
              </w:rPr>
            </w:pPr>
            <w:r w:rsidRPr="00656CE1">
              <w:rPr>
                <w:rFonts w:ascii="Arial" w:eastAsia="SimSun" w:hAnsi="Arial"/>
                <w:lang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656CE1" w:rsidRDefault="00126DE1"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lang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656CE1" w:rsidRDefault="00DC368E"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hint="eastAsia"/>
                <w:lang w:eastAsia="ko-KR"/>
              </w:rPr>
              <w:t>Ting</w:t>
            </w:r>
            <w:r w:rsidRPr="00656CE1">
              <w:rPr>
                <w:rFonts w:ascii="Arial" w:eastAsia="Malgun Gothic" w:hAnsi="Arial"/>
                <w:lang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1A964FAB" w:rsidR="00526A35" w:rsidRPr="00526A35" w:rsidRDefault="00152309"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Ericsson</w:t>
            </w:r>
          </w:p>
        </w:tc>
        <w:tc>
          <w:tcPr>
            <w:tcW w:w="3531" w:type="pct"/>
            <w:tcBorders>
              <w:top w:val="single" w:sz="4" w:space="0" w:color="auto"/>
              <w:left w:val="single" w:sz="4" w:space="0" w:color="auto"/>
              <w:bottom w:val="single" w:sz="4" w:space="0" w:color="auto"/>
              <w:right w:val="single" w:sz="4" w:space="0" w:color="auto"/>
            </w:tcBorders>
          </w:tcPr>
          <w:p w14:paraId="2F5ACD7A" w14:textId="323BD10C" w:rsidR="00526A35" w:rsidRPr="00656CE1" w:rsidRDefault="00152309" w:rsidP="00526A35">
            <w:pPr>
              <w:overflowPunct w:val="0"/>
              <w:autoSpaceDE w:val="0"/>
              <w:autoSpaceDN w:val="0"/>
              <w:adjustRightInd w:val="0"/>
              <w:spacing w:after="0"/>
              <w:jc w:val="both"/>
              <w:textAlignment w:val="baseline"/>
              <w:rPr>
                <w:rFonts w:ascii="Arial" w:eastAsiaTheme="minorEastAsia" w:hAnsi="Arial"/>
                <w:lang w:eastAsia="zh-CN"/>
              </w:rPr>
            </w:pPr>
            <w:r w:rsidRPr="00656CE1">
              <w:rPr>
                <w:rFonts w:ascii="Arial" w:eastAsiaTheme="minorEastAsia" w:hAnsi="Arial"/>
                <w:lang w:eastAsia="zh-CN"/>
              </w:rPr>
              <w:t>Jonas Sedin (jonas.sedin@ericsson.com)</w:t>
            </w:r>
          </w:p>
        </w:tc>
      </w:tr>
      <w:tr w:rsidR="00656CE1" w:rsidRPr="00526A35" w14:paraId="74E5295F" w14:textId="77777777" w:rsidTr="00526A35">
        <w:trPr>
          <w:trHeight w:val="144"/>
        </w:trPr>
        <w:tc>
          <w:tcPr>
            <w:tcW w:w="1469" w:type="pct"/>
          </w:tcPr>
          <w:p w14:paraId="3EF586DC" w14:textId="61A37ACF" w:rsidR="00656CE1" w:rsidRPr="00656CE1" w:rsidRDefault="00656CE1" w:rsidP="00656CE1">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val="fr-FR" w:eastAsia="zh-CN"/>
              </w:rPr>
              <w:t>InterDigital</w:t>
            </w:r>
          </w:p>
        </w:tc>
        <w:tc>
          <w:tcPr>
            <w:tcW w:w="3531" w:type="pct"/>
          </w:tcPr>
          <w:p w14:paraId="6C438228" w14:textId="57AB37C8" w:rsidR="00656CE1" w:rsidRPr="00656CE1" w:rsidRDefault="00656CE1" w:rsidP="00656CE1">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val="fr-FR" w:eastAsia="zh-CN"/>
              </w:rPr>
              <w:t>Brian Martin (</w:t>
            </w:r>
            <w:hyperlink r:id="rId8" w:history="1">
              <w:r w:rsidRPr="00967965">
                <w:rPr>
                  <w:rStyle w:val="Hyperlink"/>
                  <w:rFonts w:ascii="Arial" w:eastAsiaTheme="minorEastAsia" w:hAnsi="Arial"/>
                  <w:lang w:val="fr-FR" w:eastAsia="zh-CN"/>
                </w:rPr>
                <w:t>brian.martin@interdigital.com</w:t>
              </w:r>
            </w:hyperlink>
            <w:r>
              <w:rPr>
                <w:rFonts w:ascii="Arial" w:eastAsiaTheme="minorEastAsia" w:hAnsi="Arial"/>
                <w:lang w:val="fr-FR" w:eastAsia="zh-CN"/>
              </w:rPr>
              <w:t>)</w:t>
            </w:r>
          </w:p>
        </w:tc>
      </w:tr>
      <w:tr w:rsidR="00526A35" w:rsidRPr="00526A35" w14:paraId="7E61B15A" w14:textId="77777777" w:rsidTr="00526A35">
        <w:trPr>
          <w:trHeight w:val="144"/>
        </w:trPr>
        <w:tc>
          <w:tcPr>
            <w:tcW w:w="1469" w:type="pct"/>
          </w:tcPr>
          <w:p w14:paraId="167110A2" w14:textId="7C6C7072" w:rsidR="00526A35" w:rsidRPr="00656CE1" w:rsidRDefault="008A57F9" w:rsidP="00526A35">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eastAsia="zh-CN"/>
              </w:rPr>
              <w:t>Nokia</w:t>
            </w:r>
          </w:p>
        </w:tc>
        <w:tc>
          <w:tcPr>
            <w:tcW w:w="3531" w:type="pct"/>
          </w:tcPr>
          <w:p w14:paraId="0A97D8B8" w14:textId="61775846" w:rsidR="00526A35" w:rsidRPr="00656CE1" w:rsidRDefault="008A57F9" w:rsidP="00526A35">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eastAsia="zh-CN"/>
              </w:rPr>
              <w:t>Srinivasan Selvaganapathy(srinivasan.selvaganapathy@nokia.com)</w:t>
            </w:r>
          </w:p>
        </w:tc>
      </w:tr>
      <w:tr w:rsidR="00526A35" w:rsidRPr="00526A35" w14:paraId="25CCAFFF" w14:textId="77777777" w:rsidTr="00526A35">
        <w:trPr>
          <w:trHeight w:val="144"/>
        </w:trPr>
        <w:tc>
          <w:tcPr>
            <w:tcW w:w="1469" w:type="pct"/>
          </w:tcPr>
          <w:p w14:paraId="04DDD7D7"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4DADF63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00363AE8" w14:textId="77777777" w:rsidTr="00526A35">
        <w:trPr>
          <w:trHeight w:val="144"/>
        </w:trPr>
        <w:tc>
          <w:tcPr>
            <w:tcW w:w="1469" w:type="pct"/>
          </w:tcPr>
          <w:p w14:paraId="38888CB3"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698A784E"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9657FC8" w14:textId="77777777" w:rsidTr="00526A35">
        <w:trPr>
          <w:trHeight w:val="144"/>
        </w:trPr>
        <w:tc>
          <w:tcPr>
            <w:tcW w:w="1469" w:type="pct"/>
          </w:tcPr>
          <w:p w14:paraId="3B7E7F58"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7EE81B1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CA9C53" w14:textId="77777777" w:rsidTr="00526A35">
        <w:trPr>
          <w:trHeight w:val="144"/>
        </w:trPr>
        <w:tc>
          <w:tcPr>
            <w:tcW w:w="1469" w:type="pct"/>
          </w:tcPr>
          <w:p w14:paraId="35E3D786"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00D00E8B"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6F0C138" w14:textId="77777777" w:rsidTr="00526A35">
        <w:trPr>
          <w:trHeight w:val="144"/>
        </w:trPr>
        <w:tc>
          <w:tcPr>
            <w:tcW w:w="1469" w:type="pct"/>
          </w:tcPr>
          <w:p w14:paraId="1FDBEDFA"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53455C3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ABF9B2" w14:textId="77777777" w:rsidTr="00526A35">
        <w:trPr>
          <w:trHeight w:val="144"/>
        </w:trPr>
        <w:tc>
          <w:tcPr>
            <w:tcW w:w="1469" w:type="pct"/>
          </w:tcPr>
          <w:p w14:paraId="7D313D22"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65033F9B"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713663D" w14:textId="77777777" w:rsidTr="00526A35">
        <w:trPr>
          <w:trHeight w:val="144"/>
        </w:trPr>
        <w:tc>
          <w:tcPr>
            <w:tcW w:w="1469" w:type="pct"/>
          </w:tcPr>
          <w:p w14:paraId="0896FA1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304B7FF"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4EC9036" w14:textId="77777777" w:rsidTr="00526A35">
        <w:trPr>
          <w:trHeight w:val="144"/>
        </w:trPr>
        <w:tc>
          <w:tcPr>
            <w:tcW w:w="1469" w:type="pct"/>
          </w:tcPr>
          <w:p w14:paraId="0E45F94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D788E01"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8A57F9" w:rsidP="006448C1">
            <w:hyperlink r:id="rId9"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8A57F9" w:rsidP="006448C1">
            <w:hyperlink r:id="rId10"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Proposal 1: NAS mechanisms be used for slowly changing ephemeris, and RRC signaling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8A57F9" w:rsidP="006448C1">
            <w:pPr>
              <w:rPr>
                <w:rStyle w:val="Hyperlink"/>
              </w:rPr>
            </w:pPr>
            <w:hyperlink r:id="rId11"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w:t>
            </w:r>
            <w:proofErr w:type="spellStart"/>
            <w:r>
              <w:rPr>
                <w:rFonts w:eastAsia="SimSun"/>
                <w:lang w:eastAsia="zh-CN"/>
              </w:rPr>
              <w:t>K_mac</w:t>
            </w:r>
            <w:proofErr w:type="spellEnd"/>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976E2F" w:rsidRPr="00A93AB3" w14:paraId="6CAC5F33" w14:textId="77777777" w:rsidTr="00467DC8">
        <w:tc>
          <w:tcPr>
            <w:tcW w:w="1838" w:type="dxa"/>
            <w:shd w:val="clear" w:color="auto" w:fill="auto"/>
          </w:tcPr>
          <w:p w14:paraId="578A8B3E" w14:textId="21A46BFA"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790CA3E2" w14:textId="3BCF1CEE" w:rsidR="00976E2F" w:rsidRDefault="00976E2F" w:rsidP="00976E2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8178C" w14:textId="13959867"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 follow what is NR NTN unless technically it does not work. </w:t>
            </w:r>
          </w:p>
        </w:tc>
      </w:tr>
      <w:tr w:rsidR="00212521" w:rsidRPr="00A93AB3" w14:paraId="6F543E43" w14:textId="77777777" w:rsidTr="00467DC8">
        <w:tc>
          <w:tcPr>
            <w:tcW w:w="1838" w:type="dxa"/>
            <w:shd w:val="clear" w:color="auto" w:fill="auto"/>
          </w:tcPr>
          <w:p w14:paraId="2A230D59" w14:textId="612FB03D"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DC3CB21" w14:textId="7D88FC62" w:rsidR="00212521" w:rsidRDefault="00212521" w:rsidP="0021252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B546283" w14:textId="0B472ED8"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noProof/>
                <w:lang w:eastAsia="zh-CN"/>
              </w:rPr>
              <w:t>This is necessary particularly if new SIB can be updated at any time without SI update notification.</w:t>
            </w:r>
          </w:p>
        </w:tc>
      </w:tr>
      <w:tr w:rsidR="008A57F9" w:rsidRPr="00A93AB3" w14:paraId="4630EE4F" w14:textId="77777777" w:rsidTr="00467DC8">
        <w:tc>
          <w:tcPr>
            <w:tcW w:w="1838" w:type="dxa"/>
            <w:shd w:val="clear" w:color="auto" w:fill="auto"/>
          </w:tcPr>
          <w:p w14:paraId="7B68D920" w14:textId="4117A231"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05EAAF2" w14:textId="42B613A8"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AD0C561" w14:textId="5E1CF669" w:rsidR="008A57F9" w:rsidRDefault="008A57F9" w:rsidP="008A57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nature of contents </w:t>
            </w:r>
            <w:proofErr w:type="gramStart"/>
            <w:r>
              <w:rPr>
                <w:rFonts w:eastAsia="SimSun"/>
                <w:lang w:eastAsia="zh-CN"/>
              </w:rPr>
              <w:t>and also</w:t>
            </w:r>
            <w:proofErr w:type="gramEnd"/>
            <w:r>
              <w:rPr>
                <w:rFonts w:eastAsia="SimSun"/>
                <w:lang w:eastAsia="zh-CN"/>
              </w:rPr>
              <w:t xml:space="preserve"> the possibility of updates is different from other SIB. To enable different approach for reading this system information related changes, new SIB is preferred. </w:t>
            </w: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lastRenderedPageBreak/>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Q</w:t>
      </w:r>
      <w:proofErr w:type="gramStart"/>
      <w:r>
        <w:rPr>
          <w:b/>
        </w:rPr>
        <w:t xml:space="preserve">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5"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5"/>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C744A4" w14:paraId="03684EB9" w14:textId="77777777" w:rsidTr="00467DC8">
        <w:tc>
          <w:tcPr>
            <w:tcW w:w="1838" w:type="dxa"/>
            <w:tcBorders>
              <w:top w:val="single" w:sz="4" w:space="0" w:color="auto"/>
              <w:left w:val="single" w:sz="4" w:space="0" w:color="auto"/>
              <w:bottom w:val="single" w:sz="4" w:space="0" w:color="auto"/>
              <w:right w:val="single" w:sz="4" w:space="0" w:color="auto"/>
            </w:tcBorders>
          </w:tcPr>
          <w:p w14:paraId="7D319997" w14:textId="35DA4305"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72DE2D10" w14:textId="5D88245B"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5073BEB7" w14:textId="4AE7A008"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Depends on the outcome of Q1</w:t>
            </w:r>
          </w:p>
        </w:tc>
      </w:tr>
      <w:tr w:rsidR="00CD1D1D" w14:paraId="7E015BAB" w14:textId="77777777" w:rsidTr="00467DC8">
        <w:tc>
          <w:tcPr>
            <w:tcW w:w="1838" w:type="dxa"/>
            <w:tcBorders>
              <w:top w:val="single" w:sz="4" w:space="0" w:color="auto"/>
              <w:left w:val="single" w:sz="4" w:space="0" w:color="auto"/>
              <w:bottom w:val="single" w:sz="4" w:space="0" w:color="auto"/>
              <w:right w:val="single" w:sz="4" w:space="0" w:color="auto"/>
            </w:tcBorders>
          </w:tcPr>
          <w:p w14:paraId="168A8774" w14:textId="36F81A47" w:rsidR="00CD1D1D" w:rsidRDefault="00CD1D1D" w:rsidP="00CD1D1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5B7B31EC" w14:textId="6714DBEC" w:rsidR="00CD1D1D" w:rsidRDefault="00CD1D1D" w:rsidP="00CD1D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0372133" w14:textId="77777777" w:rsidR="00CD1D1D" w:rsidRDefault="00CD1D1D" w:rsidP="00CD1D1D">
            <w:pPr>
              <w:overflowPunct w:val="0"/>
              <w:autoSpaceDE w:val="0"/>
              <w:autoSpaceDN w:val="0"/>
              <w:adjustRightInd w:val="0"/>
              <w:spacing w:after="120"/>
              <w:jc w:val="both"/>
              <w:textAlignment w:val="baseline"/>
              <w:rPr>
                <w:rFonts w:eastAsia="SimSun"/>
                <w:lang w:eastAsia="zh-CN"/>
              </w:rPr>
            </w:pPr>
          </w:p>
        </w:tc>
      </w:tr>
      <w:tr w:rsidR="008A57F9" w14:paraId="23A0D68D" w14:textId="77777777" w:rsidTr="00467DC8">
        <w:tc>
          <w:tcPr>
            <w:tcW w:w="1838" w:type="dxa"/>
            <w:tcBorders>
              <w:top w:val="single" w:sz="4" w:space="0" w:color="auto"/>
              <w:left w:val="single" w:sz="4" w:space="0" w:color="auto"/>
              <w:bottom w:val="single" w:sz="4" w:space="0" w:color="auto"/>
              <w:right w:val="single" w:sz="4" w:space="0" w:color="auto"/>
            </w:tcBorders>
          </w:tcPr>
          <w:p w14:paraId="7D6F653E" w14:textId="0E36B081"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358BF5CF" w14:textId="631DFEC8"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61CA75"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 xml:space="preserve">can take place at any time, </w:t>
      </w:r>
      <w:proofErr w:type="gramStart"/>
      <w:r>
        <w:t>i.e.</w:t>
      </w:r>
      <w:proofErr w:type="gramEnd"/>
      <w:r>
        <w:t xml:space="preserv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C744A4" w14:paraId="5B5EFD56" w14:textId="77777777" w:rsidTr="00467DC8">
        <w:tc>
          <w:tcPr>
            <w:tcW w:w="1838" w:type="dxa"/>
            <w:tcBorders>
              <w:top w:val="single" w:sz="4" w:space="0" w:color="auto"/>
              <w:left w:val="single" w:sz="4" w:space="0" w:color="auto"/>
              <w:bottom w:val="single" w:sz="4" w:space="0" w:color="auto"/>
              <w:right w:val="single" w:sz="4" w:space="0" w:color="auto"/>
            </w:tcBorders>
          </w:tcPr>
          <w:p w14:paraId="07219564" w14:textId="22AC8A93"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tcPr>
          <w:p w14:paraId="2E6CD30E" w14:textId="31DBFD3A"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FE97CA1" w14:textId="176B43BB" w:rsidR="00C744A4" w:rsidRDefault="00C744A4" w:rsidP="00C744A4">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See comment on Q1 and Q2. We can wait for NR NTN on these details. </w:t>
            </w:r>
          </w:p>
        </w:tc>
      </w:tr>
      <w:tr w:rsidR="008010A2" w14:paraId="089CF991" w14:textId="77777777" w:rsidTr="00467DC8">
        <w:tc>
          <w:tcPr>
            <w:tcW w:w="1838" w:type="dxa"/>
            <w:tcBorders>
              <w:top w:val="single" w:sz="4" w:space="0" w:color="auto"/>
              <w:left w:val="single" w:sz="4" w:space="0" w:color="auto"/>
              <w:bottom w:val="single" w:sz="4" w:space="0" w:color="auto"/>
              <w:right w:val="single" w:sz="4" w:space="0" w:color="auto"/>
            </w:tcBorders>
          </w:tcPr>
          <w:p w14:paraId="2D8F50FF" w14:textId="597F0C7C" w:rsidR="008010A2" w:rsidRDefault="008010A2" w:rsidP="008010A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E232412" w14:textId="7A0EE58F" w:rsidR="008010A2" w:rsidRDefault="008010A2" w:rsidP="008010A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2BB3C9" w14:textId="77777777" w:rsidR="008010A2" w:rsidRDefault="008010A2" w:rsidP="008010A2">
            <w:pPr>
              <w:overflowPunct w:val="0"/>
              <w:autoSpaceDE w:val="0"/>
              <w:autoSpaceDN w:val="0"/>
              <w:adjustRightInd w:val="0"/>
              <w:spacing w:after="120"/>
              <w:jc w:val="both"/>
              <w:textAlignment w:val="baseline"/>
              <w:rPr>
                <w:rFonts w:eastAsia="SimSun"/>
                <w:lang w:val="en-US" w:eastAsia="zh-CN"/>
              </w:rPr>
            </w:pPr>
          </w:p>
        </w:tc>
      </w:tr>
      <w:tr w:rsidR="008A57F9" w14:paraId="35A58E36" w14:textId="77777777" w:rsidTr="00467DC8">
        <w:tc>
          <w:tcPr>
            <w:tcW w:w="1838" w:type="dxa"/>
            <w:tcBorders>
              <w:top w:val="single" w:sz="4" w:space="0" w:color="auto"/>
              <w:left w:val="single" w:sz="4" w:space="0" w:color="auto"/>
              <w:bottom w:val="single" w:sz="4" w:space="0" w:color="auto"/>
              <w:right w:val="single" w:sz="4" w:space="0" w:color="auto"/>
            </w:tcBorders>
          </w:tcPr>
          <w:p w14:paraId="1BE18DC1" w14:textId="0A15F7BA"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3707F00B" w14:textId="07CD5A1D"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90A20C" w14:textId="77777777" w:rsidR="008A57F9" w:rsidRDefault="008A57F9" w:rsidP="008A57F9">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2"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C744A4" w14:paraId="094906BB" w14:textId="77777777" w:rsidTr="00467DC8">
        <w:tc>
          <w:tcPr>
            <w:tcW w:w="1838" w:type="dxa"/>
            <w:tcBorders>
              <w:top w:val="single" w:sz="4" w:space="0" w:color="auto"/>
              <w:left w:val="single" w:sz="4" w:space="0" w:color="auto"/>
              <w:bottom w:val="single" w:sz="4" w:space="0" w:color="auto"/>
              <w:right w:val="single" w:sz="4" w:space="0" w:color="auto"/>
            </w:tcBorders>
          </w:tcPr>
          <w:p w14:paraId="227F257A" w14:textId="5CD6E4DA"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2CD88C0" w14:textId="3B166699"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203DD2F" w14:textId="656AC888" w:rsidR="00C744A4" w:rsidRDefault="00C744A4" w:rsidP="00C744A4">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 xml:space="preserve">We have not agreed to introduce an “ephemeris validity timer”. RAN1 has agreed to introduce a general timer for UL synchronization, not specifically for satellite ephemeris but also for common TA parameters. We should first discuss whether we need this timer or not. </w:t>
            </w:r>
          </w:p>
        </w:tc>
      </w:tr>
      <w:tr w:rsidR="000F75C8" w14:paraId="2481034C" w14:textId="77777777" w:rsidTr="00467DC8">
        <w:tc>
          <w:tcPr>
            <w:tcW w:w="1838" w:type="dxa"/>
            <w:tcBorders>
              <w:top w:val="single" w:sz="4" w:space="0" w:color="auto"/>
              <w:left w:val="single" w:sz="4" w:space="0" w:color="auto"/>
              <w:bottom w:val="single" w:sz="4" w:space="0" w:color="auto"/>
              <w:right w:val="single" w:sz="4" w:space="0" w:color="auto"/>
            </w:tcBorders>
          </w:tcPr>
          <w:p w14:paraId="52F2BBC1" w14:textId="02157B27" w:rsidR="000F75C8" w:rsidRDefault="000F75C8" w:rsidP="000F75C8">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4519B301" w14:textId="0D222CA3" w:rsidR="000F75C8" w:rsidRDefault="000F75C8" w:rsidP="000F75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5F509AE" w14:textId="77777777" w:rsidR="000F75C8" w:rsidRDefault="000F75C8" w:rsidP="000F75C8">
            <w:pPr>
              <w:numPr>
                <w:ilvl w:val="0"/>
                <w:numId w:val="12"/>
              </w:numPr>
              <w:shd w:val="clear" w:color="auto" w:fill="FFFFFF"/>
              <w:spacing w:afterLines="50" w:after="120"/>
              <w:ind w:left="0" w:hanging="357"/>
              <w:textAlignment w:val="top"/>
              <w:rPr>
                <w:rFonts w:eastAsia="SimSun"/>
                <w:lang w:eastAsia="zh-CN"/>
              </w:rPr>
            </w:pPr>
          </w:p>
        </w:tc>
      </w:tr>
      <w:tr w:rsidR="008A57F9" w14:paraId="165500D0" w14:textId="77777777" w:rsidTr="00467DC8">
        <w:tc>
          <w:tcPr>
            <w:tcW w:w="1838" w:type="dxa"/>
            <w:tcBorders>
              <w:top w:val="single" w:sz="4" w:space="0" w:color="auto"/>
              <w:left w:val="single" w:sz="4" w:space="0" w:color="auto"/>
              <w:bottom w:val="single" w:sz="4" w:space="0" w:color="auto"/>
              <w:right w:val="single" w:sz="4" w:space="0" w:color="auto"/>
            </w:tcBorders>
          </w:tcPr>
          <w:p w14:paraId="769DA962" w14:textId="5EC754EA"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19780599" w14:textId="20117106"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2C7B6EC3" w14:textId="5829A8C1" w:rsidR="008A57F9" w:rsidRDefault="008A57F9" w:rsidP="008A57F9">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Need for the timer needs to be agreed. Can it be UE implementation or can it be linked to the timer related to uplink synchronisation also to be checked before this point. If common validity timer needed for the SIB content, including the validity timer in the same SIB may lead to UE using old validity timer value until it knows the change of validity timer. Eventhough the impact is not major it is clear to consider other SIB for this purpose.</w:t>
            </w: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lastRenderedPageBreak/>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19667F" w:rsidRPr="00A93AB3" w14:paraId="4B550F60" w14:textId="77777777" w:rsidTr="006448C1">
        <w:tc>
          <w:tcPr>
            <w:tcW w:w="1838" w:type="dxa"/>
            <w:shd w:val="clear" w:color="auto" w:fill="auto"/>
          </w:tcPr>
          <w:p w14:paraId="217F8128" w14:textId="57B0D824"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38AA39D" w14:textId="3660C2FB"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68B38DD5" w14:textId="3924F239"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Agree with QC. We are not sure if the update frequency of the common TA and ephemeris can be assumed to be the same. </w:t>
            </w:r>
          </w:p>
        </w:tc>
      </w:tr>
      <w:tr w:rsidR="00F011E7" w:rsidRPr="00A93AB3" w14:paraId="21577188" w14:textId="77777777" w:rsidTr="006448C1">
        <w:tc>
          <w:tcPr>
            <w:tcW w:w="1838" w:type="dxa"/>
            <w:shd w:val="clear" w:color="auto" w:fill="auto"/>
          </w:tcPr>
          <w:p w14:paraId="79FD5649" w14:textId="3B03BA25" w:rsidR="00F011E7" w:rsidRDefault="00F011E7" w:rsidP="00F011E7">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06E416F9" w14:textId="1908DF15" w:rsidR="00F011E7" w:rsidRDefault="00F011E7" w:rsidP="00F011E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7520A06" w14:textId="77777777" w:rsidR="00F011E7" w:rsidRDefault="00F011E7" w:rsidP="00F011E7">
            <w:pPr>
              <w:overflowPunct w:val="0"/>
              <w:autoSpaceDE w:val="0"/>
              <w:autoSpaceDN w:val="0"/>
              <w:adjustRightInd w:val="0"/>
              <w:spacing w:after="120"/>
              <w:jc w:val="both"/>
              <w:textAlignment w:val="baseline"/>
              <w:rPr>
                <w:rFonts w:eastAsia="SimSun"/>
                <w:lang w:eastAsia="zh-CN"/>
              </w:rPr>
            </w:pPr>
          </w:p>
        </w:tc>
      </w:tr>
      <w:tr w:rsidR="008A57F9" w:rsidRPr="00A93AB3" w14:paraId="07FD666A" w14:textId="77777777" w:rsidTr="006448C1">
        <w:tc>
          <w:tcPr>
            <w:tcW w:w="1838" w:type="dxa"/>
            <w:shd w:val="clear" w:color="auto" w:fill="auto"/>
          </w:tcPr>
          <w:p w14:paraId="1EE21DA5" w14:textId="6589DC50"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639807E0" w14:textId="74D5D8DA"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72FA69"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w:t>
      </w:r>
      <w:proofErr w:type="gramStart"/>
      <w:r>
        <w:t xml:space="preserve">mode </w:t>
      </w:r>
      <w:r w:rsidRPr="0048246B">
        <w:t>,</w:t>
      </w:r>
      <w:proofErr w:type="gramEnd"/>
      <w:r w:rsidRPr="0048246B">
        <w:t xml:space="preserve">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beneficial to have separate timers if the ephemeris is also used in RRC_IDLE (up to UE implementation), </w:t>
            </w:r>
            <w:proofErr w:type="spellStart"/>
            <w:proofErr w:type="gramStart"/>
            <w:r>
              <w:rPr>
                <w:rFonts w:eastAsia="SimSun"/>
                <w:lang w:eastAsia="zh-CN"/>
              </w:rPr>
              <w:t>e,g</w:t>
            </w:r>
            <w:proofErr w:type="spellEnd"/>
            <w:proofErr w:type="gramEnd"/>
            <w:r>
              <w:rPr>
                <w:rFonts w:eastAsia="SimSun"/>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lastRenderedPageBreak/>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19667F" w:rsidRPr="00A93AB3" w14:paraId="733D7487" w14:textId="77777777" w:rsidTr="00467DC8">
        <w:tc>
          <w:tcPr>
            <w:tcW w:w="1838" w:type="dxa"/>
            <w:shd w:val="clear" w:color="auto" w:fill="auto"/>
          </w:tcPr>
          <w:p w14:paraId="391CE49B" w14:textId="0592648B"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247ADBF0" w14:textId="5C27DA52"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1854408F" w14:textId="669D2FDA"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there needs to be more discussions on this. Our understanding is that the timer that RAN1 introduced is for the UL synchronization only. We are not sure if a validity timer for neighbouring cells is needed. It could be up to UE implementation to acquire the neighbouring ephemeris</w:t>
            </w:r>
            <w:r w:rsidR="007E3A01">
              <w:rPr>
                <w:rFonts w:eastAsia="SimSun"/>
                <w:lang w:eastAsia="zh-CN"/>
              </w:rPr>
              <w:t xml:space="preserve"> for instance. </w:t>
            </w:r>
          </w:p>
        </w:tc>
      </w:tr>
      <w:tr w:rsidR="005B43A1" w:rsidRPr="00A93AB3" w14:paraId="778D50A4" w14:textId="77777777" w:rsidTr="00467DC8">
        <w:tc>
          <w:tcPr>
            <w:tcW w:w="1838" w:type="dxa"/>
            <w:shd w:val="clear" w:color="auto" w:fill="auto"/>
          </w:tcPr>
          <w:p w14:paraId="0C40A4AD" w14:textId="110437E4" w:rsidR="005B43A1" w:rsidRDefault="005B43A1" w:rsidP="005B43A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6FA2843" w14:textId="69E0E07F" w:rsidR="005B43A1" w:rsidRDefault="005B43A1" w:rsidP="005B43A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E75AA5" w14:textId="77777777" w:rsidR="005B43A1" w:rsidRDefault="005B43A1" w:rsidP="005B43A1">
            <w:pPr>
              <w:overflowPunct w:val="0"/>
              <w:autoSpaceDE w:val="0"/>
              <w:autoSpaceDN w:val="0"/>
              <w:adjustRightInd w:val="0"/>
              <w:spacing w:after="120"/>
              <w:jc w:val="both"/>
              <w:textAlignment w:val="baseline"/>
              <w:rPr>
                <w:rFonts w:eastAsia="SimSun"/>
                <w:lang w:eastAsia="zh-CN"/>
              </w:rPr>
            </w:pPr>
          </w:p>
        </w:tc>
      </w:tr>
      <w:tr w:rsidR="008A57F9" w:rsidRPr="00A93AB3" w14:paraId="7720DC47" w14:textId="77777777" w:rsidTr="00467DC8">
        <w:tc>
          <w:tcPr>
            <w:tcW w:w="1838" w:type="dxa"/>
            <w:shd w:val="clear" w:color="auto" w:fill="auto"/>
          </w:tcPr>
          <w:p w14:paraId="13CFB16A" w14:textId="7EC81E07"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21D5FEB6" w14:textId="5E34F4D7"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29993F5F" w14:textId="30A1D783"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Require further discussion. In our view the purpose seems to be different. We can wait for RAN1 inputs</w:t>
            </w: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3D221B" w14:paraId="4C51FB82" w14:textId="77777777" w:rsidTr="00467DC8">
        <w:tc>
          <w:tcPr>
            <w:tcW w:w="1838" w:type="dxa"/>
            <w:tcBorders>
              <w:top w:val="single" w:sz="4" w:space="0" w:color="auto"/>
              <w:left w:val="single" w:sz="4" w:space="0" w:color="auto"/>
              <w:bottom w:val="single" w:sz="4" w:space="0" w:color="auto"/>
              <w:right w:val="single" w:sz="4" w:space="0" w:color="auto"/>
            </w:tcBorders>
          </w:tcPr>
          <w:p w14:paraId="3F6CD765" w14:textId="7463ADAC"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4D9007DF" w14:textId="2F0A8A1C"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8AC91C" w14:textId="77777777" w:rsidR="003D221B" w:rsidRDefault="003D221B" w:rsidP="003D221B">
            <w:pPr>
              <w:overflowPunct w:val="0"/>
              <w:autoSpaceDE w:val="0"/>
              <w:autoSpaceDN w:val="0"/>
              <w:adjustRightInd w:val="0"/>
              <w:spacing w:after="120"/>
              <w:jc w:val="both"/>
              <w:textAlignment w:val="baseline"/>
              <w:rPr>
                <w:rFonts w:eastAsia="SimSun"/>
                <w:lang w:eastAsia="zh-CN"/>
              </w:rPr>
            </w:pPr>
          </w:p>
        </w:tc>
      </w:tr>
      <w:tr w:rsidR="005047D3" w14:paraId="7764A393" w14:textId="77777777" w:rsidTr="00467DC8">
        <w:tc>
          <w:tcPr>
            <w:tcW w:w="1838" w:type="dxa"/>
            <w:tcBorders>
              <w:top w:val="single" w:sz="4" w:space="0" w:color="auto"/>
              <w:left w:val="single" w:sz="4" w:space="0" w:color="auto"/>
              <w:bottom w:val="single" w:sz="4" w:space="0" w:color="auto"/>
              <w:right w:val="single" w:sz="4" w:space="0" w:color="auto"/>
            </w:tcBorders>
          </w:tcPr>
          <w:p w14:paraId="44544464" w14:textId="27E3EA96" w:rsidR="005047D3" w:rsidRDefault="005047D3" w:rsidP="005047D3">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FD09C13" w14:textId="6DAB3BA7" w:rsidR="005047D3" w:rsidRDefault="005047D3" w:rsidP="005047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1006663" w14:textId="77777777" w:rsidR="005047D3" w:rsidRDefault="005047D3" w:rsidP="005047D3">
            <w:pPr>
              <w:overflowPunct w:val="0"/>
              <w:autoSpaceDE w:val="0"/>
              <w:autoSpaceDN w:val="0"/>
              <w:adjustRightInd w:val="0"/>
              <w:spacing w:after="120"/>
              <w:jc w:val="both"/>
              <w:textAlignment w:val="baseline"/>
              <w:rPr>
                <w:rFonts w:eastAsia="SimSun"/>
                <w:lang w:eastAsia="zh-CN"/>
              </w:rPr>
            </w:pPr>
          </w:p>
        </w:tc>
      </w:tr>
      <w:tr w:rsidR="008A57F9" w14:paraId="649F1AD5" w14:textId="77777777" w:rsidTr="00467DC8">
        <w:tc>
          <w:tcPr>
            <w:tcW w:w="1838" w:type="dxa"/>
            <w:tcBorders>
              <w:top w:val="single" w:sz="4" w:space="0" w:color="auto"/>
              <w:left w:val="single" w:sz="4" w:space="0" w:color="auto"/>
              <w:bottom w:val="single" w:sz="4" w:space="0" w:color="auto"/>
              <w:right w:val="single" w:sz="4" w:space="0" w:color="auto"/>
            </w:tcBorders>
          </w:tcPr>
          <w:p w14:paraId="26F966EB" w14:textId="011196B1"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48EE1AB7" w14:textId="1ACEC651"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83B40C"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lastRenderedPageBreak/>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3D221B" w:rsidRPr="00A93AB3" w14:paraId="39D33920" w14:textId="77777777" w:rsidTr="00467DC8">
        <w:tc>
          <w:tcPr>
            <w:tcW w:w="1838" w:type="dxa"/>
            <w:shd w:val="clear" w:color="auto" w:fill="auto"/>
          </w:tcPr>
          <w:p w14:paraId="06C88A5E" w14:textId="62A63037"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670EE9F" w14:textId="7FDA54D1" w:rsidR="003D221B" w:rsidRDefault="003D221B" w:rsidP="003D221B">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with comment</w:t>
            </w:r>
          </w:p>
        </w:tc>
        <w:tc>
          <w:tcPr>
            <w:tcW w:w="6945" w:type="dxa"/>
            <w:shd w:val="clear" w:color="auto" w:fill="auto"/>
          </w:tcPr>
          <w:p w14:paraId="457F25A0" w14:textId="0B4D9365"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cell stop time in principle it should be used for quasi earth fixed cell only, but maybe there is no need to specify restrictions. </w:t>
            </w:r>
          </w:p>
        </w:tc>
      </w:tr>
      <w:tr w:rsidR="002F1E65" w:rsidRPr="00A93AB3" w14:paraId="7348D94C" w14:textId="77777777" w:rsidTr="00467DC8">
        <w:tc>
          <w:tcPr>
            <w:tcW w:w="1838" w:type="dxa"/>
            <w:shd w:val="clear" w:color="auto" w:fill="auto"/>
          </w:tcPr>
          <w:p w14:paraId="0125EFCF" w14:textId="6F74C019"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76D8AED" w14:textId="6CFA8294" w:rsidR="002F1E65" w:rsidRDefault="002F1E65" w:rsidP="002F1E6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777ED1" w14:textId="61705F93"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It is needed for both the continuous and discontinuous coverage case for quasi-earth fixed only.</w:t>
            </w:r>
          </w:p>
        </w:tc>
      </w:tr>
      <w:tr w:rsidR="008A57F9" w:rsidRPr="00A93AB3" w14:paraId="59E0D12F" w14:textId="77777777" w:rsidTr="00467DC8">
        <w:tc>
          <w:tcPr>
            <w:tcW w:w="1838" w:type="dxa"/>
            <w:shd w:val="clear" w:color="auto" w:fill="auto"/>
          </w:tcPr>
          <w:p w14:paraId="3E7F681F" w14:textId="0468DD76"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38CA34AB" w14:textId="460499A9"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05361EE"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8A57F9" w:rsidP="006448C1">
            <w:hyperlink r:id="rId13"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lastRenderedPageBreak/>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6A52CFE8" w14:textId="77777777" w:rsidTr="00467DC8">
        <w:tc>
          <w:tcPr>
            <w:tcW w:w="1838" w:type="dxa"/>
            <w:shd w:val="clear" w:color="auto" w:fill="auto"/>
          </w:tcPr>
          <w:p w14:paraId="7AFEA037" w14:textId="1FCF40E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15555113" w14:textId="6CF9F280"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BD8F9C2" w14:textId="77777777"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There is currently an on-going e-mail discussion in NR NTN on just this issue that has been treated online which was triggered based on an LS from CT1. I propose that we wait for the outcome of that and discuss this issue in IoT NTN. We would also need to consult with CT1 regarding the solution as the feasibility is very much up to CT1. </w:t>
            </w:r>
          </w:p>
          <w:p w14:paraId="0513F962" w14:textId="5DF2589F"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In R2-2110388 the issue is </w:t>
            </w:r>
            <w:proofErr w:type="spellStart"/>
            <w:r>
              <w:rPr>
                <w:rFonts w:eastAsia="SimSun"/>
                <w:lang w:eastAsia="zh-CN"/>
              </w:rPr>
              <w:t>analyzed</w:t>
            </w:r>
            <w:proofErr w:type="spellEnd"/>
            <w:r>
              <w:rPr>
                <w:rFonts w:eastAsia="SimSun"/>
                <w:lang w:eastAsia="zh-CN"/>
              </w:rPr>
              <w:t xml:space="preserve"> and </w:t>
            </w:r>
            <w:proofErr w:type="gramStart"/>
            <w:r>
              <w:rPr>
                <w:rFonts w:eastAsia="SimSun"/>
                <w:lang w:eastAsia="zh-CN"/>
              </w:rPr>
              <w:t>a number of</w:t>
            </w:r>
            <w:proofErr w:type="gramEnd"/>
            <w:r>
              <w:rPr>
                <w:rFonts w:eastAsia="SimSun"/>
                <w:lang w:eastAsia="zh-CN"/>
              </w:rPr>
              <w:t xml:space="preserve"> solutions are listed that I think that IoT NTN should consider along with the IoT use case. We do not think that there necessarily need to be the same solution for NR NTN and IoT NTN. </w:t>
            </w:r>
          </w:p>
        </w:tc>
      </w:tr>
      <w:tr w:rsidR="001941F2" w:rsidRPr="00A93AB3" w14:paraId="6BBD726D" w14:textId="77777777" w:rsidTr="00467DC8">
        <w:tc>
          <w:tcPr>
            <w:tcW w:w="1838" w:type="dxa"/>
            <w:shd w:val="clear" w:color="auto" w:fill="auto"/>
          </w:tcPr>
          <w:p w14:paraId="5CEB0FCE" w14:textId="703C6696"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0CA32B8" w14:textId="58388313" w:rsidR="001941F2" w:rsidRDefault="001941F2" w:rsidP="001941F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w:t>
            </w:r>
          </w:p>
        </w:tc>
        <w:tc>
          <w:tcPr>
            <w:tcW w:w="6945" w:type="dxa"/>
            <w:shd w:val="clear" w:color="auto" w:fill="auto"/>
          </w:tcPr>
          <w:p w14:paraId="2808915D" w14:textId="0B09500A"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noProof/>
                <w:lang w:eastAsia="zh-CN"/>
              </w:rPr>
              <w:t>Not a RAN2 decision.</w:t>
            </w:r>
          </w:p>
        </w:tc>
      </w:tr>
      <w:tr w:rsidR="008A57F9" w:rsidRPr="00A93AB3" w14:paraId="40E772F2" w14:textId="77777777" w:rsidTr="00467DC8">
        <w:tc>
          <w:tcPr>
            <w:tcW w:w="1838" w:type="dxa"/>
            <w:shd w:val="clear" w:color="auto" w:fill="auto"/>
          </w:tcPr>
          <w:p w14:paraId="5E1A3E70" w14:textId="126282FF"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2FDA44C7" w14:textId="68482F20"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8D5AF6" w14:textId="3444CB32"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GNSS operation is outside 3GPP PS operation. </w:t>
            </w:r>
            <w:proofErr w:type="gramStart"/>
            <w:r>
              <w:rPr>
                <w:rFonts w:eastAsia="SimSun"/>
                <w:lang w:eastAsia="zh-CN"/>
              </w:rPr>
              <w:t>So</w:t>
            </w:r>
            <w:proofErr w:type="gramEnd"/>
            <w:r>
              <w:rPr>
                <w:rFonts w:eastAsia="SimSun"/>
                <w:lang w:eastAsia="zh-CN"/>
              </w:rPr>
              <w:t xml:space="preserve"> any dependent operation based on the same need not be specified.</w:t>
            </w: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xml:space="preserve">, it is proposed that whether the UE requires a delay between paging reception and paging response </w:t>
      </w:r>
      <w:proofErr w:type="gramStart"/>
      <w:r>
        <w:t>in order to</w:t>
      </w:r>
      <w:proofErr w:type="gramEnd"/>
      <w:r>
        <w:t xml:space="preserve">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793FCCF8" w14:textId="77777777" w:rsidTr="00467DC8">
        <w:tc>
          <w:tcPr>
            <w:tcW w:w="1838" w:type="dxa"/>
            <w:shd w:val="clear" w:color="auto" w:fill="auto"/>
          </w:tcPr>
          <w:p w14:paraId="421BC206" w14:textId="56A2835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DEF37D9" w14:textId="5DC96586"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3E473E" w14:textId="6EF733FD"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see the need for this, but I think we need to take the considerations from the discussions in NR NTN on this and then discuss this more in IoT NTN.  </w:t>
            </w:r>
          </w:p>
        </w:tc>
      </w:tr>
      <w:tr w:rsidR="0061189D" w:rsidRPr="00A93AB3" w14:paraId="54705AA4" w14:textId="77777777" w:rsidTr="00467DC8">
        <w:tc>
          <w:tcPr>
            <w:tcW w:w="1838" w:type="dxa"/>
            <w:shd w:val="clear" w:color="auto" w:fill="auto"/>
          </w:tcPr>
          <w:p w14:paraId="34D9684C" w14:textId="2330104C" w:rsidR="0061189D" w:rsidRDefault="0061189D" w:rsidP="0061189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382F3FE" w14:textId="05EDF10E" w:rsidR="0061189D" w:rsidRDefault="0061189D" w:rsidP="0061189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1D71C96" w14:textId="77777777" w:rsidR="0061189D" w:rsidRDefault="0061189D" w:rsidP="0061189D">
            <w:pPr>
              <w:overflowPunct w:val="0"/>
              <w:autoSpaceDE w:val="0"/>
              <w:autoSpaceDN w:val="0"/>
              <w:adjustRightInd w:val="0"/>
              <w:spacing w:after="120"/>
              <w:jc w:val="both"/>
              <w:textAlignment w:val="baseline"/>
              <w:rPr>
                <w:rFonts w:eastAsia="SimSun"/>
                <w:lang w:eastAsia="zh-CN"/>
              </w:rPr>
            </w:pPr>
          </w:p>
        </w:tc>
      </w:tr>
      <w:tr w:rsidR="008A57F9" w:rsidRPr="00A93AB3" w14:paraId="01F17D7C" w14:textId="77777777" w:rsidTr="00467DC8">
        <w:tc>
          <w:tcPr>
            <w:tcW w:w="1838" w:type="dxa"/>
            <w:shd w:val="clear" w:color="auto" w:fill="auto"/>
          </w:tcPr>
          <w:p w14:paraId="4B3B7D73" w14:textId="3EEE6458"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444887D5" w14:textId="5A8C4D2C"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D8FD52A" w14:textId="53797C95"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Specification changes not needed.</w:t>
            </w: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8A57F9" w:rsidP="006448C1">
            <w:hyperlink r:id="rId14"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8A57F9" w:rsidP="008063CF">
            <w:pPr>
              <w:rPr>
                <w:rStyle w:val="Hyperlink"/>
              </w:rPr>
            </w:pPr>
            <w:hyperlink r:id="rId15"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8A57F9" w:rsidP="008063CF">
            <w:hyperlink r:id="rId16"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8A57F9" w:rsidP="008063CF">
            <w:hyperlink r:id="rId17"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lastRenderedPageBreak/>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8A57F9" w:rsidP="008063CF">
            <w:hyperlink r:id="rId18"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w:t>
      </w:r>
      <w:proofErr w:type="gramStart"/>
      <w:r>
        <w:t>17 .</w:t>
      </w:r>
      <w:proofErr w:type="gramEnd"/>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The use of location based triggering event in CHO would increase UE power consumption, which is against the low cost and low complexity requirement for eMTC 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DC7820" w:rsidRPr="00A93AB3" w14:paraId="24CBEEFD" w14:textId="77777777" w:rsidTr="00467DC8">
        <w:tc>
          <w:tcPr>
            <w:tcW w:w="1838" w:type="dxa"/>
            <w:shd w:val="clear" w:color="auto" w:fill="auto"/>
          </w:tcPr>
          <w:p w14:paraId="6113D270" w14:textId="422F68B7" w:rsidR="00DC7820" w:rsidRDefault="00DC7820" w:rsidP="00DC782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07CFAD6" w14:textId="2FD10421" w:rsidR="00DC7820" w:rsidRDefault="00DC7820" w:rsidP="00DC78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AFD00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r w:rsidR="0030136E" w:rsidRPr="00A93AB3" w14:paraId="06988967" w14:textId="77777777" w:rsidTr="00467DC8">
        <w:tc>
          <w:tcPr>
            <w:tcW w:w="1838" w:type="dxa"/>
            <w:shd w:val="clear" w:color="auto" w:fill="auto"/>
          </w:tcPr>
          <w:p w14:paraId="52D22EEE" w14:textId="1C683C93"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5F41CA" w14:textId="65E894E3" w:rsidR="0030136E" w:rsidRDefault="0030136E" w:rsidP="0030136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56BE0B6" w14:textId="26A4BF3A"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noProof/>
                <w:lang w:eastAsia="zh-CN"/>
              </w:rPr>
              <w:t>At least for the discontinuous coverage case, CHO would have to take into account the coverage gap otherwise will just get RLF.</w:t>
            </w:r>
          </w:p>
        </w:tc>
      </w:tr>
      <w:tr w:rsidR="008A57F9" w:rsidRPr="00A93AB3" w14:paraId="1D2663D1" w14:textId="77777777" w:rsidTr="00467DC8">
        <w:tc>
          <w:tcPr>
            <w:tcW w:w="1838" w:type="dxa"/>
            <w:shd w:val="clear" w:color="auto" w:fill="auto"/>
          </w:tcPr>
          <w:p w14:paraId="129A5937" w14:textId="77DEC4B4"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465D4508" w14:textId="382D2773"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32E2AA3" w14:textId="374F3C92"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Mobility is not important criteria for IoT-NTN. Eventhough the enhancements to LTE spec </w:t>
            </w:r>
            <w:proofErr w:type="gramStart"/>
            <w:r>
              <w:rPr>
                <w:rFonts w:eastAsia="SimSun"/>
                <w:lang w:eastAsia="zh-CN"/>
              </w:rPr>
              <w:t>is</w:t>
            </w:r>
            <w:proofErr w:type="gramEnd"/>
            <w:r>
              <w:rPr>
                <w:rFonts w:eastAsia="SimSun"/>
                <w:lang w:eastAsia="zh-CN"/>
              </w:rPr>
              <w:t xml:space="preserve"> porting of NR changes, there is spec change and CR review involved. In Rel-17 it is not essential. Timer based option can be implemented using other configuration parameters of handover such as Time to Trigger..</w:t>
            </w: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lastRenderedPageBreak/>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w:t>
      </w:r>
      <w:proofErr w:type="gramStart"/>
      <w:r>
        <w:t>location-based</w:t>
      </w:r>
      <w:proofErr w:type="gramEnd"/>
      <w:r>
        <w:t xml:space="preserve">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69530D" w:rsidRPr="00A93AB3" w14:paraId="32B28506" w14:textId="77777777" w:rsidTr="00A63BB4">
        <w:tc>
          <w:tcPr>
            <w:tcW w:w="1838" w:type="dxa"/>
            <w:shd w:val="clear" w:color="auto" w:fill="auto"/>
          </w:tcPr>
          <w:p w14:paraId="09356AD9" w14:textId="72E035F6"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6150B151" w14:textId="1E8314AE"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FAF49E3"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0134BC" w:rsidRPr="00A93AB3" w14:paraId="7D66F022" w14:textId="77777777" w:rsidTr="00A63BB4">
        <w:tc>
          <w:tcPr>
            <w:tcW w:w="1838" w:type="dxa"/>
            <w:shd w:val="clear" w:color="auto" w:fill="auto"/>
          </w:tcPr>
          <w:p w14:paraId="54B2A7A1" w14:textId="48996FAA"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D59FA1" w14:textId="415D99EF" w:rsidR="000134BC" w:rsidRDefault="000134BC" w:rsidP="000134B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9E303" w14:textId="3EE7431C"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It would be better to </w:t>
            </w:r>
            <w:proofErr w:type="gramStart"/>
            <w:r>
              <w:rPr>
                <w:rFonts w:eastAsia="SimSun"/>
                <w:lang w:eastAsia="zh-CN"/>
              </w:rPr>
              <w:t>take into account</w:t>
            </w:r>
            <w:proofErr w:type="gramEnd"/>
            <w:r>
              <w:rPr>
                <w:rFonts w:eastAsia="SimSun"/>
                <w:lang w:eastAsia="zh-CN"/>
              </w:rPr>
              <w:t xml:space="preserve"> the coverage gap when performing re-establishment, however we are also fine to discuss in R18, existing RLF would still work but in a non-optimal way.</w:t>
            </w:r>
          </w:p>
        </w:tc>
      </w:tr>
      <w:tr w:rsidR="008A57F9" w:rsidRPr="00A93AB3" w14:paraId="371114FE" w14:textId="77777777" w:rsidTr="00A63BB4">
        <w:tc>
          <w:tcPr>
            <w:tcW w:w="1838" w:type="dxa"/>
            <w:shd w:val="clear" w:color="auto" w:fill="auto"/>
          </w:tcPr>
          <w:p w14:paraId="5714FBAC" w14:textId="14B93DB3"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5B07E49A" w14:textId="2180AD55"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8D9D018" w14:textId="60865D4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Applicability of Rel-17 enhancements for IoT-NTN if really required can be considered when finalising the Rel-17 spec work for these enhancements. In our view this comes under ‘</w:t>
            </w:r>
            <w:proofErr w:type="spellStart"/>
            <w:proofErr w:type="gramStart"/>
            <w:r>
              <w:rPr>
                <w:rFonts w:eastAsia="SimSun"/>
                <w:lang w:eastAsia="zh-CN"/>
              </w:rPr>
              <w:t>non essential</w:t>
            </w:r>
            <w:proofErr w:type="spellEnd"/>
            <w:proofErr w:type="gramEnd"/>
            <w:r>
              <w:rPr>
                <w:rFonts w:eastAsia="SimSun"/>
                <w:lang w:eastAsia="zh-CN"/>
              </w:rPr>
              <w:t>’ category for IoT-NTN use-cases.</w:t>
            </w: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69530D" w:rsidRPr="00A93AB3" w14:paraId="432053D6" w14:textId="77777777" w:rsidTr="00DC368E">
        <w:tc>
          <w:tcPr>
            <w:tcW w:w="1839" w:type="dxa"/>
            <w:shd w:val="clear" w:color="auto" w:fill="auto"/>
          </w:tcPr>
          <w:p w14:paraId="2E4A4564" w14:textId="6E6BE963"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7254D1E3" w14:textId="3CE55D6C"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B04D30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517039" w:rsidRPr="00A93AB3" w14:paraId="1B363F81" w14:textId="77777777" w:rsidTr="00DC368E">
        <w:tc>
          <w:tcPr>
            <w:tcW w:w="1839" w:type="dxa"/>
            <w:shd w:val="clear" w:color="auto" w:fill="auto"/>
          </w:tcPr>
          <w:p w14:paraId="31840E51" w14:textId="218CB40A"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32261896" w14:textId="2DE3B60E" w:rsidR="00517039" w:rsidRDefault="00517039" w:rsidP="0051703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A8A0031" w14:textId="13CC096F"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Timers may be paused/stopped when there is a coverage gap. </w:t>
            </w:r>
          </w:p>
        </w:tc>
      </w:tr>
      <w:tr w:rsidR="008A57F9" w:rsidRPr="00A93AB3" w14:paraId="2307D2A3" w14:textId="77777777" w:rsidTr="00DC368E">
        <w:tc>
          <w:tcPr>
            <w:tcW w:w="1839" w:type="dxa"/>
            <w:shd w:val="clear" w:color="auto" w:fill="auto"/>
          </w:tcPr>
          <w:p w14:paraId="564774DA" w14:textId="3BC9A4A5"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E5AB387" w14:textId="41BE1DAA"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8A5FDD6"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8A57F9" w:rsidP="00541623">
            <w:hyperlink r:id="rId19"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NB-IOT/eMTC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NB-IOT/eMTC case, if </w:t>
            </w:r>
            <w:proofErr w:type="spellStart"/>
            <w:r>
              <w:t>eNB</w:t>
            </w:r>
            <w:proofErr w:type="spellEnd"/>
            <w:r>
              <w:t xml:space="preserve"> polls for RLC status report.</w:t>
            </w:r>
          </w:p>
          <w:p w14:paraId="739271A4" w14:textId="77777777" w:rsidR="00541623" w:rsidRDefault="00541623" w:rsidP="00541623">
            <w:pPr>
              <w:spacing w:after="0"/>
            </w:pPr>
            <w:r>
              <w:t>a)</w:t>
            </w:r>
            <w:r>
              <w:tab/>
              <w:t>Note: with asynchronous UL HARQ operation in NB-IoT, eMTC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w:t>
            </w:r>
            <w:proofErr w:type="spellStart"/>
            <w:r>
              <w:rPr>
                <w:rFonts w:eastAsia="SimSun"/>
                <w:lang w:eastAsia="zh-CN"/>
              </w:rPr>
              <w:t>eNB</w:t>
            </w:r>
            <w:proofErr w:type="spellEnd"/>
            <w:r>
              <w:rPr>
                <w:rFonts w:eastAsia="SimSun"/>
                <w:lang w:eastAsia="zh-CN"/>
              </w:rPr>
              <w:t xml:space="preserve">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69530D" w14:paraId="003A1CBA" w14:textId="77777777" w:rsidTr="00467DC8">
        <w:tc>
          <w:tcPr>
            <w:tcW w:w="1839" w:type="dxa"/>
            <w:tcBorders>
              <w:top w:val="single" w:sz="4" w:space="0" w:color="auto"/>
              <w:left w:val="single" w:sz="4" w:space="0" w:color="auto"/>
              <w:bottom w:val="single" w:sz="4" w:space="0" w:color="auto"/>
              <w:right w:val="single" w:sz="4" w:space="0" w:color="auto"/>
            </w:tcBorders>
          </w:tcPr>
          <w:p w14:paraId="019003BD" w14:textId="18A6FB0F"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CEC095C" w14:textId="20F909A3"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9" w:type="dxa"/>
            <w:tcBorders>
              <w:top w:val="single" w:sz="4" w:space="0" w:color="auto"/>
              <w:left w:val="single" w:sz="4" w:space="0" w:color="auto"/>
              <w:bottom w:val="single" w:sz="4" w:space="0" w:color="auto"/>
              <w:right w:val="single" w:sz="4" w:space="0" w:color="auto"/>
            </w:tcBorders>
          </w:tcPr>
          <w:p w14:paraId="562FBB87" w14:textId="7A6ED65A" w:rsidR="0069530D" w:rsidRPr="001D4CB4"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also agree that there may always be issue of state mismatch. If UE can receive the RRC </w:t>
            </w:r>
            <w:proofErr w:type="gramStart"/>
            <w:r>
              <w:rPr>
                <w:rFonts w:eastAsia="SimSun"/>
                <w:lang w:eastAsia="zh-CN"/>
              </w:rPr>
              <w:t>release</w:t>
            </w:r>
            <w:proofErr w:type="gramEnd"/>
            <w:r>
              <w:rPr>
                <w:rFonts w:eastAsia="SimSun"/>
                <w:lang w:eastAsia="zh-CN"/>
              </w:rPr>
              <w:t xml:space="preserve"> then it should hopefully be in good coverage enough to complete it enough time. But I think we need some more analysis and the analysis in the contributions have some flaws. </w:t>
            </w:r>
          </w:p>
        </w:tc>
      </w:tr>
      <w:tr w:rsidR="00236F94" w14:paraId="18763049" w14:textId="77777777" w:rsidTr="00467DC8">
        <w:tc>
          <w:tcPr>
            <w:tcW w:w="1839" w:type="dxa"/>
            <w:tcBorders>
              <w:top w:val="single" w:sz="4" w:space="0" w:color="auto"/>
              <w:left w:val="single" w:sz="4" w:space="0" w:color="auto"/>
              <w:bottom w:val="single" w:sz="4" w:space="0" w:color="auto"/>
              <w:right w:val="single" w:sz="4" w:space="0" w:color="auto"/>
            </w:tcBorders>
          </w:tcPr>
          <w:p w14:paraId="1D965A73" w14:textId="4B452F8D" w:rsidR="00236F9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2C18BF27" w14:textId="383E1807" w:rsidR="00236F94" w:rsidRDefault="00236F94" w:rsidP="00236F94">
            <w:pPr>
              <w:overflowPunct w:val="0"/>
              <w:autoSpaceDE w:val="0"/>
              <w:autoSpaceDN w:val="0"/>
              <w:adjustRightInd w:val="0"/>
              <w:spacing w:after="120"/>
              <w:jc w:val="both"/>
              <w:textAlignment w:val="baseline"/>
              <w:rPr>
                <w:rFonts w:eastAsia="SimSun"/>
                <w:b/>
                <w:bCs/>
                <w:lang w:eastAsia="zh-CN"/>
              </w:rPr>
            </w:pPr>
            <w:r>
              <w:rPr>
                <w:rFonts w:eastAsia="SimSun"/>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C69F8AF" w14:textId="412C9C49" w:rsidR="00236F94" w:rsidRPr="001D4CB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8A57F9" w14:paraId="737073C4" w14:textId="77777777" w:rsidTr="00467DC8">
        <w:tc>
          <w:tcPr>
            <w:tcW w:w="1839" w:type="dxa"/>
            <w:tcBorders>
              <w:top w:val="single" w:sz="4" w:space="0" w:color="auto"/>
              <w:left w:val="single" w:sz="4" w:space="0" w:color="auto"/>
              <w:bottom w:val="single" w:sz="4" w:space="0" w:color="auto"/>
              <w:right w:val="single" w:sz="4" w:space="0" w:color="auto"/>
            </w:tcBorders>
          </w:tcPr>
          <w:p w14:paraId="5D91FD5A" w14:textId="775CF20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44B15B68" w14:textId="43BE3E60" w:rsidR="008A57F9" w:rsidRDefault="008A57F9" w:rsidP="008A57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630C8C55" w14:textId="746BD37F"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Can be considered in next release</w:t>
            </w: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69530D" w:rsidRPr="00A93AB3" w14:paraId="113FEEB4" w14:textId="77777777" w:rsidTr="00373A1C">
        <w:tc>
          <w:tcPr>
            <w:tcW w:w="1838" w:type="dxa"/>
            <w:shd w:val="clear" w:color="auto" w:fill="auto"/>
          </w:tcPr>
          <w:p w14:paraId="61747F91" w14:textId="4885CCB9"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4D4ED21D" w14:textId="500BA395"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DF86B6" w14:textId="77777777" w:rsidR="0069530D" w:rsidRPr="00A93AB3" w:rsidRDefault="0069530D" w:rsidP="0069530D">
            <w:pPr>
              <w:overflowPunct w:val="0"/>
              <w:autoSpaceDE w:val="0"/>
              <w:autoSpaceDN w:val="0"/>
              <w:adjustRightInd w:val="0"/>
              <w:spacing w:after="120"/>
              <w:jc w:val="both"/>
              <w:textAlignment w:val="baseline"/>
              <w:rPr>
                <w:rFonts w:eastAsia="SimSun"/>
                <w:noProof/>
                <w:lang w:eastAsia="zh-CN"/>
              </w:rPr>
            </w:pPr>
          </w:p>
        </w:tc>
      </w:tr>
      <w:tr w:rsidR="00AF140C" w:rsidRPr="00A93AB3" w14:paraId="4DFCDD0D" w14:textId="77777777" w:rsidTr="00373A1C">
        <w:tc>
          <w:tcPr>
            <w:tcW w:w="1838" w:type="dxa"/>
            <w:shd w:val="clear" w:color="auto" w:fill="auto"/>
          </w:tcPr>
          <w:p w14:paraId="62F8AAF7" w14:textId="305AF786" w:rsidR="00AF140C" w:rsidRDefault="00AF140C" w:rsidP="00AF140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8C3C2EF" w14:textId="2CD6A433" w:rsidR="00AF140C" w:rsidRDefault="00AF140C" w:rsidP="00AF14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91A38AC" w14:textId="77777777" w:rsidR="00AF140C" w:rsidRPr="00A93AB3" w:rsidRDefault="00AF140C" w:rsidP="00AF140C">
            <w:pPr>
              <w:overflowPunct w:val="0"/>
              <w:autoSpaceDE w:val="0"/>
              <w:autoSpaceDN w:val="0"/>
              <w:adjustRightInd w:val="0"/>
              <w:spacing w:after="120"/>
              <w:jc w:val="both"/>
              <w:textAlignment w:val="baseline"/>
              <w:rPr>
                <w:rFonts w:eastAsia="SimSun"/>
                <w:noProof/>
                <w:lang w:eastAsia="zh-CN"/>
              </w:rPr>
            </w:pPr>
          </w:p>
        </w:tc>
      </w:tr>
      <w:tr w:rsidR="008A57F9" w:rsidRPr="00A93AB3" w14:paraId="73CBB42F" w14:textId="77777777" w:rsidTr="00373A1C">
        <w:tc>
          <w:tcPr>
            <w:tcW w:w="1838" w:type="dxa"/>
            <w:shd w:val="clear" w:color="auto" w:fill="auto"/>
          </w:tcPr>
          <w:p w14:paraId="342F1469" w14:textId="47FD8603"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D2EBE43" w14:textId="640AE952"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545DA11" w14:textId="77777777" w:rsidR="008A57F9" w:rsidRPr="00A93AB3" w:rsidRDefault="008A57F9" w:rsidP="008A57F9">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8A57F9" w:rsidP="006448C1">
            <w:hyperlink r:id="rId20"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IoT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3F3B85" w14:paraId="3BC10598" w14:textId="77777777" w:rsidTr="00467DC8">
        <w:tc>
          <w:tcPr>
            <w:tcW w:w="1839" w:type="dxa"/>
            <w:tcBorders>
              <w:top w:val="single" w:sz="4" w:space="0" w:color="auto"/>
              <w:left w:val="single" w:sz="4" w:space="0" w:color="auto"/>
              <w:bottom w:val="single" w:sz="4" w:space="0" w:color="auto"/>
              <w:right w:val="single" w:sz="4" w:space="0" w:color="auto"/>
            </w:tcBorders>
          </w:tcPr>
          <w:p w14:paraId="53E4A351" w14:textId="0E813D5B"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55A38D7" w14:textId="0F1B9112" w:rsidR="003F3B85" w:rsidRDefault="003F3B85" w:rsidP="003F3B8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1433E7C" w14:textId="2F991E2E"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is needed to prevent non-NTN UEs from mistakenly accessing an NTN cell and is needed for operators to ensure that when attempting to deploy NTN and TN on same frequencies there are no problems. </w:t>
            </w:r>
          </w:p>
        </w:tc>
      </w:tr>
      <w:tr w:rsidR="00983759" w14:paraId="5B75F5DB" w14:textId="77777777" w:rsidTr="00467DC8">
        <w:tc>
          <w:tcPr>
            <w:tcW w:w="1839" w:type="dxa"/>
            <w:tcBorders>
              <w:top w:val="single" w:sz="4" w:space="0" w:color="auto"/>
              <w:left w:val="single" w:sz="4" w:space="0" w:color="auto"/>
              <w:bottom w:val="single" w:sz="4" w:space="0" w:color="auto"/>
              <w:right w:val="single" w:sz="4" w:space="0" w:color="auto"/>
            </w:tcBorders>
          </w:tcPr>
          <w:p w14:paraId="2DFD8C75" w14:textId="3743F982" w:rsidR="00983759" w:rsidRDefault="00983759" w:rsidP="0098375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730229F6" w14:textId="45C7BFBA" w:rsidR="00983759" w:rsidRDefault="00983759" w:rsidP="0098375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3510AAD1" w14:textId="77777777" w:rsidR="00983759" w:rsidRDefault="00983759" w:rsidP="00983759">
            <w:pPr>
              <w:overflowPunct w:val="0"/>
              <w:autoSpaceDE w:val="0"/>
              <w:autoSpaceDN w:val="0"/>
              <w:adjustRightInd w:val="0"/>
              <w:spacing w:after="120"/>
              <w:jc w:val="both"/>
              <w:textAlignment w:val="baseline"/>
              <w:rPr>
                <w:rFonts w:eastAsia="SimSun"/>
                <w:lang w:eastAsia="zh-CN"/>
              </w:rPr>
            </w:pPr>
          </w:p>
        </w:tc>
      </w:tr>
      <w:tr w:rsidR="008A57F9" w14:paraId="24197C31" w14:textId="77777777" w:rsidTr="00467DC8">
        <w:tc>
          <w:tcPr>
            <w:tcW w:w="1839" w:type="dxa"/>
            <w:tcBorders>
              <w:top w:val="single" w:sz="4" w:space="0" w:color="auto"/>
              <w:left w:val="single" w:sz="4" w:space="0" w:color="auto"/>
              <w:bottom w:val="single" w:sz="4" w:space="0" w:color="auto"/>
              <w:right w:val="single" w:sz="4" w:space="0" w:color="auto"/>
            </w:tcBorders>
          </w:tcPr>
          <w:p w14:paraId="4E22719D" w14:textId="7DC426B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1A6D772B" w14:textId="690E7E6A"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4816C02"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w:t>
            </w:r>
            <w:r w:rsidRPr="00DC368E">
              <w:rPr>
                <w:rFonts w:eastAsia="SimSun"/>
                <w:noProof/>
                <w:lang w:eastAsia="zh-CN"/>
              </w:rPr>
              <w:lastRenderedPageBreak/>
              <w:t>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also can be used to bar the IoT NTN UEs.</w:t>
            </w:r>
          </w:p>
        </w:tc>
      </w:tr>
      <w:tr w:rsidR="008A60DC" w:rsidRPr="00A93AB3" w14:paraId="686F3A94" w14:textId="77777777" w:rsidTr="00DC368E">
        <w:tc>
          <w:tcPr>
            <w:tcW w:w="1839" w:type="dxa"/>
            <w:shd w:val="clear" w:color="auto" w:fill="auto"/>
          </w:tcPr>
          <w:p w14:paraId="2D7B2DA9" w14:textId="3B6772B2" w:rsidR="008A60DC" w:rsidRDefault="008A60DC" w:rsidP="008A60D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69936BC8" w14:textId="0AA7EC29" w:rsidR="008A60DC" w:rsidRDefault="008A60DC" w:rsidP="008A60D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79ACB1F" w14:textId="0D9E0E95" w:rsidR="008A60DC" w:rsidRDefault="008A60DC" w:rsidP="008A60DC">
            <w:pPr>
              <w:overflowPunct w:val="0"/>
              <w:autoSpaceDE w:val="0"/>
              <w:autoSpaceDN w:val="0"/>
              <w:adjustRightInd w:val="0"/>
              <w:spacing w:after="120" w:line="264" w:lineRule="auto"/>
              <w:jc w:val="both"/>
              <w:textAlignment w:val="baseline"/>
              <w:rPr>
                <w:rFonts w:eastAsia="SimSun"/>
                <w:lang w:eastAsia="zh-CN"/>
              </w:rPr>
            </w:pPr>
          </w:p>
        </w:tc>
      </w:tr>
      <w:tr w:rsidR="00672FE5" w:rsidRPr="00A93AB3" w14:paraId="2E598C27" w14:textId="77777777" w:rsidTr="00DC368E">
        <w:tc>
          <w:tcPr>
            <w:tcW w:w="1839" w:type="dxa"/>
            <w:shd w:val="clear" w:color="auto" w:fill="auto"/>
          </w:tcPr>
          <w:p w14:paraId="2DDAED95" w14:textId="2A7A8787" w:rsidR="00672FE5" w:rsidRDefault="00672FE5" w:rsidP="00672FE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2D94279" w14:textId="39AE2068" w:rsidR="00672FE5" w:rsidRDefault="00672FE5" w:rsidP="00672FE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81E11DE"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Agree with QC that we cannot assume all current and future bands have no overlapping frequency.</w:t>
            </w:r>
          </w:p>
          <w:p w14:paraId="64A0548D"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It is then obviously needed otherwise NTN cell cannot bar legacy UEs while allowing NTN UEs.</w:t>
            </w:r>
          </w:p>
          <w:p w14:paraId="23D7F187"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p>
        </w:tc>
      </w:tr>
      <w:tr w:rsidR="008A57F9" w:rsidRPr="00A93AB3" w14:paraId="6401D40A" w14:textId="77777777" w:rsidTr="00DC368E">
        <w:tc>
          <w:tcPr>
            <w:tcW w:w="1839" w:type="dxa"/>
            <w:shd w:val="clear" w:color="auto" w:fill="auto"/>
          </w:tcPr>
          <w:p w14:paraId="520B04CD" w14:textId="250C0DA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BC3FDD9" w14:textId="5A74CD95"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shd w:val="clear" w:color="auto" w:fill="auto"/>
          </w:tcPr>
          <w:p w14:paraId="78EE2B58" w14:textId="4DFFA804" w:rsidR="008A57F9" w:rsidRDefault="008A57F9" w:rsidP="008A57F9">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Validity of scenario where NTN and TN UE operate in same frequency band to be confirmed. If possible, differentiation of the cell for TN UE is preferred.</w:t>
            </w: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8A57F9" w:rsidP="00373A1C">
            <w:hyperlink r:id="rId21"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487B67" w:rsidRPr="00A93AB3" w14:paraId="7FAAF186" w14:textId="77777777" w:rsidTr="00DC368E">
        <w:tc>
          <w:tcPr>
            <w:tcW w:w="1839" w:type="dxa"/>
            <w:shd w:val="clear" w:color="auto" w:fill="auto"/>
          </w:tcPr>
          <w:p w14:paraId="09F994C8" w14:textId="48CF0AF9" w:rsidR="00487B67" w:rsidRDefault="00487B67" w:rsidP="00487B6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46CD7C7F" w14:textId="49E4C0E8" w:rsidR="00487B67" w:rsidRDefault="00487B67" w:rsidP="00487B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42DE4AF" w14:textId="67C964F0" w:rsidR="00487B67" w:rsidRDefault="00487B67" w:rsidP="00487B6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In LEO scenario it is expected that the UE would constantly need to read new SIBs and </w:t>
            </w:r>
            <w:proofErr w:type="gramStart"/>
            <w:r>
              <w:rPr>
                <w:rFonts w:eastAsia="SimSun"/>
                <w:lang w:eastAsia="zh-CN"/>
              </w:rPr>
              <w:t>in order to</w:t>
            </w:r>
            <w:proofErr w:type="gramEnd"/>
            <w:r>
              <w:rPr>
                <w:rFonts w:eastAsia="SimSun"/>
                <w:lang w:eastAsia="zh-CN"/>
              </w:rPr>
              <w:t xml:space="preserve"> reduce that burden, some mechanism would be needed to prevent this. The need to constantly acquire system information would quickly drain battery in LEO NTN. </w:t>
            </w:r>
          </w:p>
        </w:tc>
      </w:tr>
      <w:tr w:rsidR="000B7A96" w:rsidRPr="00A93AB3" w14:paraId="1D0952B4" w14:textId="77777777" w:rsidTr="00DC368E">
        <w:tc>
          <w:tcPr>
            <w:tcW w:w="1839" w:type="dxa"/>
            <w:shd w:val="clear" w:color="auto" w:fill="auto"/>
          </w:tcPr>
          <w:p w14:paraId="1D4EDEF2" w14:textId="1E225CDB" w:rsidR="000B7A96" w:rsidRDefault="000B7A96" w:rsidP="000B7A9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Interdigital</w:t>
            </w:r>
          </w:p>
        </w:tc>
        <w:tc>
          <w:tcPr>
            <w:tcW w:w="851" w:type="dxa"/>
            <w:shd w:val="clear" w:color="auto" w:fill="auto"/>
          </w:tcPr>
          <w:p w14:paraId="75CBA2B5" w14:textId="2750FEE6" w:rsidR="000B7A96" w:rsidRDefault="000B7A96" w:rsidP="000B7A9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02DEDD2" w14:textId="77777777" w:rsidR="000B7A96" w:rsidRDefault="000B7A96" w:rsidP="000B7A96">
            <w:pPr>
              <w:overflowPunct w:val="0"/>
              <w:autoSpaceDE w:val="0"/>
              <w:autoSpaceDN w:val="0"/>
              <w:adjustRightInd w:val="0"/>
              <w:spacing w:after="120"/>
              <w:jc w:val="both"/>
              <w:textAlignment w:val="baseline"/>
              <w:rPr>
                <w:rFonts w:eastAsia="SimSun"/>
                <w:noProof/>
                <w:lang w:eastAsia="zh-CN"/>
              </w:rPr>
            </w:pPr>
          </w:p>
        </w:tc>
      </w:tr>
      <w:tr w:rsidR="008A57F9" w:rsidRPr="00A93AB3" w14:paraId="674EF12E" w14:textId="77777777" w:rsidTr="00DC368E">
        <w:tc>
          <w:tcPr>
            <w:tcW w:w="1839" w:type="dxa"/>
            <w:shd w:val="clear" w:color="auto" w:fill="auto"/>
          </w:tcPr>
          <w:p w14:paraId="3AECC959" w14:textId="08ED52ED"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28F52B0F" w14:textId="13930BEB"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0819C1D" w14:textId="0B3CE43B" w:rsidR="008A57F9" w:rsidRDefault="008A57F9" w:rsidP="008A57F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System information acquistion for stationary UE in moving cell scenario is one of the factor for increased power consumption. Some enhancements with minor spec change can still be considered in Rel-17.  </w:t>
            </w: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6"/>
      <w:r>
        <w:t xml:space="preserve">Other Enhancements </w:t>
      </w:r>
      <w:commentRangeEnd w:id="6"/>
      <w:r w:rsidR="00AC6676">
        <w:rPr>
          <w:rStyle w:val="CommentReference"/>
          <w:rFonts w:ascii="Times New Roman" w:hAnsi="Times New Roman"/>
        </w:rPr>
        <w:commentReference w:id="6"/>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7"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7"/>
      <w:r>
        <w:tab/>
      </w:r>
    </w:p>
    <w:bookmarkStart w:id="8"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8"/>
      <w:r>
        <w:tab/>
      </w:r>
    </w:p>
    <w:bookmarkStart w:id="9"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9"/>
      <w:r>
        <w:tab/>
      </w:r>
    </w:p>
    <w:bookmarkStart w:id="10"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0"/>
      <w:r>
        <w:tab/>
      </w:r>
      <w:r>
        <w:tab/>
      </w:r>
    </w:p>
    <w:bookmarkStart w:id="11"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1"/>
      <w:r>
        <w:tab/>
      </w:r>
      <w:r>
        <w:tab/>
      </w:r>
    </w:p>
    <w:bookmarkStart w:id="12"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2"/>
      <w:r>
        <w:tab/>
      </w:r>
    </w:p>
    <w:bookmarkStart w:id="13"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3"/>
      <w:r>
        <w:tab/>
      </w:r>
    </w:p>
    <w:bookmarkStart w:id="14"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4"/>
    </w:p>
    <w:p w14:paraId="2B41D8C7" w14:textId="6589BF43" w:rsidR="00542DCF" w:rsidRPr="003A5E05" w:rsidRDefault="00AC6676" w:rsidP="00076A60">
      <w:commentRangeStart w:id="15"/>
      <w:commentRangeEnd w:id="15"/>
      <w:r>
        <w:rPr>
          <w:rStyle w:val="CommentReference"/>
        </w:rPr>
        <w:commentReference w:id="15"/>
      </w:r>
    </w:p>
    <w:sectPr w:rsidR="00542DCF" w:rsidRPr="003A5E05" w:rsidSect="008E6E88">
      <w:headerReference w:type="default" r:id="rId26"/>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Rapporteur" w:date="2021-11-03T09:10:00Z" w:initials="HW">
    <w:p w14:paraId="7E00871A" w14:textId="5A1CACA2" w:rsidR="00DC368E" w:rsidRDefault="00DC368E">
      <w:pPr>
        <w:pStyle w:val="CommentText"/>
      </w:pPr>
      <w:r>
        <w:rPr>
          <w:rStyle w:val="CommentReference"/>
        </w:rPr>
        <w:annotationRef/>
      </w:r>
      <w:r>
        <w:t>Discussed in offline-029. Please do not comment on this here</w:t>
      </w:r>
    </w:p>
  </w:comment>
  <w:comment w:id="15" w:author="Rapporteur" w:date="2021-11-03T09:10:00Z" w:initials="HW">
    <w:p w14:paraId="75F99007" w14:textId="3E3CDE3D" w:rsidR="00DC368E" w:rsidRDefault="00DC368E">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00871A" w15:done="0"/>
  <w15:commentEx w15:paraId="75F9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2ACC" w16cex:dateUtc="2021-11-03T09:10:00Z"/>
  <w16cex:commentExtensible w16cex:durableId="252E765D" w16cex:dateUtc="2021-11-0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6B59B" w14:textId="77777777" w:rsidR="00514571" w:rsidRDefault="00514571">
      <w:pPr>
        <w:pStyle w:val="TAL"/>
      </w:pPr>
      <w:r>
        <w:separator/>
      </w:r>
    </w:p>
  </w:endnote>
  <w:endnote w:type="continuationSeparator" w:id="0">
    <w:p w14:paraId="08A0A88C" w14:textId="77777777" w:rsidR="00514571" w:rsidRDefault="0051457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DC368E" w:rsidRDefault="00DC36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5CED3" w14:textId="77777777" w:rsidR="00514571" w:rsidRDefault="00514571">
      <w:pPr>
        <w:pStyle w:val="TAL"/>
      </w:pPr>
      <w:r>
        <w:separator/>
      </w:r>
    </w:p>
  </w:footnote>
  <w:footnote w:type="continuationSeparator" w:id="0">
    <w:p w14:paraId="3756B147" w14:textId="77777777" w:rsidR="00514571" w:rsidRDefault="0051457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3A9DB6B5" w:rsidR="00DC368E" w:rsidRDefault="00DC368E">
    <w:pPr>
      <w:pStyle w:val="Header"/>
      <w:framePr w:wrap="auto" w:vAnchor="text" w:hAnchor="margin" w:xAlign="center" w:y="1"/>
      <w:widowControl/>
    </w:pPr>
    <w:r>
      <w:fldChar w:fldCharType="begin"/>
    </w:r>
    <w:r>
      <w:instrText xml:space="preserve"> PAGE </w:instrText>
    </w:r>
    <w:r>
      <w:fldChar w:fldCharType="separate"/>
    </w:r>
    <w:r w:rsidR="00DC5DAB">
      <w:t>14</w:t>
    </w:r>
    <w:r>
      <w:fldChar w:fldCharType="end"/>
    </w:r>
  </w:p>
  <w:p w14:paraId="7E7576F4" w14:textId="77777777" w:rsidR="00DC368E" w:rsidRDefault="00DC368E">
    <w:pPr>
      <w:pStyle w:val="Header"/>
    </w:pPr>
  </w:p>
  <w:p w14:paraId="7B616B78" w14:textId="77777777" w:rsidR="00DC368E" w:rsidRDefault="00DC3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1678"/>
    <w:rsid w:val="000134BC"/>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A96"/>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75C8"/>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2309"/>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41F2"/>
    <w:rsid w:val="001952C7"/>
    <w:rsid w:val="0019667F"/>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521"/>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36F94"/>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1E65"/>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136E"/>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21B"/>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3B8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87B67"/>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7D3"/>
    <w:rsid w:val="00504DF3"/>
    <w:rsid w:val="00505403"/>
    <w:rsid w:val="0050559B"/>
    <w:rsid w:val="005056B5"/>
    <w:rsid w:val="00506FDE"/>
    <w:rsid w:val="00507709"/>
    <w:rsid w:val="00507A91"/>
    <w:rsid w:val="00507D4D"/>
    <w:rsid w:val="00510070"/>
    <w:rsid w:val="00510701"/>
    <w:rsid w:val="00510AF1"/>
    <w:rsid w:val="0051293C"/>
    <w:rsid w:val="00514571"/>
    <w:rsid w:val="00515A69"/>
    <w:rsid w:val="0051703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43A1"/>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189D"/>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6CE1"/>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2FE5"/>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530D"/>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3A01"/>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10A2"/>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3A93"/>
    <w:rsid w:val="00875A78"/>
    <w:rsid w:val="008844F1"/>
    <w:rsid w:val="008875BC"/>
    <w:rsid w:val="00887E04"/>
    <w:rsid w:val="008901F4"/>
    <w:rsid w:val="00893458"/>
    <w:rsid w:val="00893B13"/>
    <w:rsid w:val="00895394"/>
    <w:rsid w:val="008957AF"/>
    <w:rsid w:val="00895AE6"/>
    <w:rsid w:val="00897852"/>
    <w:rsid w:val="00897FA5"/>
    <w:rsid w:val="008A2922"/>
    <w:rsid w:val="008A57F9"/>
    <w:rsid w:val="008A60DC"/>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6E2F"/>
    <w:rsid w:val="00980467"/>
    <w:rsid w:val="009818E1"/>
    <w:rsid w:val="00982A43"/>
    <w:rsid w:val="00983759"/>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40C"/>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2A9"/>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44A4"/>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1D1D"/>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C7820"/>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079D0"/>
    <w:rsid w:val="00E10A69"/>
    <w:rsid w:val="00E10DB6"/>
    <w:rsid w:val="00E11068"/>
    <w:rsid w:val="00E11CC0"/>
    <w:rsid w:val="00E11FEF"/>
    <w:rsid w:val="00E12472"/>
    <w:rsid w:val="00E14861"/>
    <w:rsid w:val="00E16112"/>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1E7"/>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091122284">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38158101">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artin@interdigital.com" TargetMode="External"/><Relationship Id="rId13" Type="http://schemas.openxmlformats.org/officeDocument/2006/relationships/hyperlink" Target="http://ftp.3gpp.org/tsg_ran/WG2_RL2/TSGR2_116-e/Docs/R2-2109967.zip" TargetMode="External"/><Relationship Id="rId18" Type="http://schemas.openxmlformats.org/officeDocument/2006/relationships/hyperlink" Target="http://ftp.3gpp.org/tsg_ran/WG2_RL2/TSGR2_116-e/Docs/R2-2111030.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ftp.3gpp.org/tsg_ran/WG2_RL2/TSGR2_116-e/Docs/R2-2110835.zip" TargetMode="External"/><Relationship Id="rId7" Type="http://schemas.openxmlformats.org/officeDocument/2006/relationships/endnotes" Target="endnotes.xml"/><Relationship Id="rId12" Type="http://schemas.openxmlformats.org/officeDocument/2006/relationships/hyperlink" Target="https://dict.cn/invalidation" TargetMode="External"/><Relationship Id="rId17" Type="http://schemas.openxmlformats.org/officeDocument/2006/relationships/hyperlink" Target="http://ftp.3gpp.org/tsg_ran/WG2_RL2/TSGR2_116-e/Docs/R2-2110835.zip"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ftp.3gpp.org/tsg_ran/WG2_RL2/TSGR2_116-e/Docs/R2-2110770.zip" TargetMode="External"/><Relationship Id="rId20" Type="http://schemas.openxmlformats.org/officeDocument/2006/relationships/hyperlink" Target="http://ftp.3gpp.org/tsg_ran/WG2_RL2/TSGR2_116-e/Docs/R2-211083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11030.zip"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ftp.3gpp.org/tsg_ran/WG2_RL2/TSGR2_116-e/Docs/R2-2110480.zip"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hyperlink" Target="http://ftp.3gpp.org/tsg_ran/WG2_RL2/TSGR2_116-e/Docs/R2-2110072.zip" TargetMode="External"/><Relationship Id="rId19" Type="http://schemas.openxmlformats.org/officeDocument/2006/relationships/hyperlink" Target="http://ftp.3gpp.org/tsg_ran/WG2_RL2/TSGR2_116-e/Docs/R2-2110020.zip" TargetMode="External"/><Relationship Id="rId4" Type="http://schemas.openxmlformats.org/officeDocument/2006/relationships/settings" Target="settings.xml"/><Relationship Id="rId9" Type="http://schemas.openxmlformats.org/officeDocument/2006/relationships/hyperlink" Target="http://ftp.3gpp.org/tsg_ran/WG2_RL2/TSGR2_116-e/Docs/R2-2110480.zip" TargetMode="External"/><Relationship Id="rId14" Type="http://schemas.openxmlformats.org/officeDocument/2006/relationships/hyperlink" Target="http://ftp.3gpp.org/tsg_ran/WG2_RL2/TSGR2_116-e/Docs/R2-2109506.zip"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83159-25F0-4EA4-A60E-64A587B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6053</Words>
  <Characters>34506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40479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Nokia</cp:lastModifiedBy>
  <cp:revision>2</cp:revision>
  <cp:lastPrinted>2007-12-21T11:58:00Z</cp:lastPrinted>
  <dcterms:created xsi:type="dcterms:W3CDTF">2021-11-05T13:08:00Z</dcterms:created>
  <dcterms:modified xsi:type="dcterms:W3CDTF">2021-11-05T13:08:00Z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y fmtid="{D5CDD505-2E9C-101B-9397-08002B2CF9AE}" pid="9" name="CWM1cf7ec5aca96401b8499dcd605d817e4">
    <vt:lpwstr>CWM2ABfPBtlS2g4vjWEnfEQcc42GYJi0dUtBHOtvPcvgHZrQH/no/fInv6AwaUqkkgItGvzhbV0kFXvfVZ2Zlvfkw==</vt:lpwstr>
  </property>
</Properties>
</file>