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AFB301" w14:textId="6FF31287" w:rsidR="00CB40E6" w:rsidRPr="00A304A0"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A304A0">
        <w:rPr>
          <w:rFonts w:ascii="Arial" w:hAnsi="Arial" w:cs="Arial"/>
          <w:b/>
          <w:sz w:val="28"/>
          <w:szCs w:val="28"/>
        </w:rPr>
        <w:t xml:space="preserve">3GPP </w:t>
      </w:r>
      <w:r w:rsidR="001C18EB" w:rsidRPr="00A304A0">
        <w:rPr>
          <w:rFonts w:ascii="Arial" w:hAnsi="Arial" w:cs="Arial"/>
          <w:b/>
          <w:sz w:val="28"/>
          <w:szCs w:val="28"/>
        </w:rPr>
        <w:t xml:space="preserve">TSG </w:t>
      </w:r>
      <w:r w:rsidR="004B3C92" w:rsidRPr="00A304A0">
        <w:rPr>
          <w:rFonts w:ascii="Arial" w:hAnsi="Arial" w:cs="Arial"/>
          <w:b/>
          <w:sz w:val="28"/>
          <w:szCs w:val="28"/>
        </w:rPr>
        <w:t>RAN</w:t>
      </w:r>
      <w:r w:rsidR="00267271">
        <w:rPr>
          <w:rFonts w:ascii="Arial" w:hAnsi="Arial" w:cs="Arial"/>
          <w:b/>
          <w:sz w:val="28"/>
          <w:szCs w:val="28"/>
        </w:rPr>
        <w:t xml:space="preserve"> WG2</w:t>
      </w:r>
      <w:r w:rsidR="00654A7F" w:rsidRPr="00A304A0">
        <w:rPr>
          <w:rFonts w:ascii="Arial" w:hAnsi="Arial" w:cs="Arial"/>
          <w:b/>
          <w:sz w:val="28"/>
          <w:szCs w:val="28"/>
        </w:rPr>
        <w:t xml:space="preserve"> Meeting #</w:t>
      </w:r>
      <w:r w:rsidR="00DA1DCB" w:rsidRPr="00A304A0">
        <w:rPr>
          <w:rFonts w:ascii="Arial" w:hAnsi="Arial" w:cs="Arial"/>
          <w:b/>
          <w:sz w:val="28"/>
          <w:szCs w:val="28"/>
        </w:rPr>
        <w:t>11</w:t>
      </w:r>
      <w:r w:rsidR="00F3668E">
        <w:rPr>
          <w:rFonts w:ascii="Arial" w:hAnsi="Arial" w:cs="Arial"/>
          <w:b/>
          <w:sz w:val="28"/>
          <w:szCs w:val="28"/>
        </w:rPr>
        <w:t>6</w:t>
      </w:r>
      <w:r w:rsidR="00DA1DCB" w:rsidRPr="00A304A0">
        <w:rPr>
          <w:rFonts w:ascii="Arial" w:hAnsi="Arial" w:cs="Arial"/>
          <w:b/>
          <w:sz w:val="28"/>
          <w:szCs w:val="28"/>
        </w:rPr>
        <w:t>-e</w:t>
      </w:r>
      <w:r w:rsidR="00F35990" w:rsidRPr="00A304A0">
        <w:rPr>
          <w:rFonts w:ascii="Arial" w:hAnsi="Arial" w:cs="Arial"/>
          <w:b/>
          <w:sz w:val="28"/>
          <w:szCs w:val="28"/>
        </w:rPr>
        <w:tab/>
      </w:r>
      <w:r w:rsidR="005B2698" w:rsidRPr="00A304A0">
        <w:rPr>
          <w:rFonts w:ascii="Arial" w:eastAsia="MS Mincho" w:hAnsi="Arial" w:cs="Arial"/>
          <w:b/>
          <w:sz w:val="28"/>
          <w:szCs w:val="28"/>
        </w:rPr>
        <w:tab/>
      </w:r>
      <w:r w:rsidR="00DA1DCB" w:rsidRPr="00A304A0">
        <w:rPr>
          <w:rFonts w:ascii="Arial" w:eastAsia="MS Mincho" w:hAnsi="Arial" w:cs="Arial"/>
          <w:b/>
          <w:sz w:val="28"/>
          <w:szCs w:val="28"/>
        </w:rPr>
        <w:tab/>
      </w:r>
      <w:r w:rsidR="00DA1DCB" w:rsidRPr="00A304A0">
        <w:rPr>
          <w:rFonts w:ascii="Arial" w:eastAsia="MS Mincho" w:hAnsi="Arial" w:cs="Arial"/>
          <w:b/>
          <w:sz w:val="28"/>
          <w:szCs w:val="28"/>
        </w:rPr>
        <w:tab/>
      </w:r>
      <w:r w:rsidR="00A478DD">
        <w:rPr>
          <w:rFonts w:ascii="Arial" w:eastAsia="MS Mincho" w:hAnsi="Arial" w:cs="Arial"/>
          <w:b/>
          <w:sz w:val="28"/>
          <w:szCs w:val="28"/>
        </w:rPr>
        <w:tab/>
      </w:r>
      <w:r w:rsidR="00A478DD">
        <w:rPr>
          <w:rFonts w:ascii="Arial" w:eastAsia="MS Mincho" w:hAnsi="Arial" w:cs="Arial"/>
          <w:b/>
          <w:sz w:val="28"/>
          <w:szCs w:val="28"/>
        </w:rPr>
        <w:tab/>
      </w:r>
      <w:r w:rsidR="00287663" w:rsidRPr="00287663">
        <w:rPr>
          <w:rFonts w:ascii="Arial" w:hAnsi="Arial" w:cs="Arial"/>
          <w:b/>
          <w:sz w:val="28"/>
          <w:szCs w:val="28"/>
        </w:rPr>
        <w:t>R2-2110606</w:t>
      </w:r>
      <w:bookmarkStart w:id="0" w:name="_GoBack"/>
      <w:bookmarkEnd w:id="0"/>
    </w:p>
    <w:p w14:paraId="6B7305C7" w14:textId="2B360E4C" w:rsidR="00CB40E6" w:rsidRPr="00A304A0" w:rsidRDefault="00F3668E" w:rsidP="008B0082">
      <w:pPr>
        <w:tabs>
          <w:tab w:val="left" w:pos="567"/>
        </w:tabs>
        <w:rPr>
          <w:rFonts w:ascii="Arial" w:hAnsi="Arial" w:cs="Arial"/>
          <w:b/>
          <w:sz w:val="28"/>
          <w:szCs w:val="28"/>
        </w:rPr>
      </w:pPr>
      <w:r>
        <w:rPr>
          <w:rFonts w:ascii="Arial" w:hAnsi="Arial" w:cs="Arial"/>
          <w:b/>
          <w:sz w:val="28"/>
          <w:szCs w:val="28"/>
        </w:rPr>
        <w:t>Online, 1 – 12</w:t>
      </w:r>
      <w:r w:rsidR="00A52E0B">
        <w:rPr>
          <w:rFonts w:ascii="Arial" w:hAnsi="Arial" w:cs="Arial"/>
          <w:b/>
          <w:sz w:val="28"/>
          <w:szCs w:val="28"/>
        </w:rPr>
        <w:t xml:space="preserve"> </w:t>
      </w:r>
      <w:r>
        <w:rPr>
          <w:rFonts w:ascii="Arial" w:hAnsi="Arial" w:cs="Arial"/>
          <w:b/>
          <w:sz w:val="28"/>
          <w:szCs w:val="28"/>
        </w:rPr>
        <w:t>November</w:t>
      </w:r>
      <w:r w:rsidR="00DA1DCB" w:rsidRPr="00A304A0">
        <w:rPr>
          <w:rFonts w:ascii="Arial" w:hAnsi="Arial" w:cs="Arial"/>
          <w:b/>
          <w:sz w:val="28"/>
          <w:szCs w:val="28"/>
        </w:rPr>
        <w:t>, 2021</w:t>
      </w:r>
    </w:p>
    <w:p w14:paraId="36B18A05" w14:textId="77777777" w:rsidR="00D0155D" w:rsidRDefault="00D0155D" w:rsidP="0019460F">
      <w:pPr>
        <w:tabs>
          <w:tab w:val="left" w:pos="567"/>
        </w:tabs>
        <w:spacing w:after="60"/>
        <w:rPr>
          <w:rFonts w:ascii="Arial" w:hAnsi="Arial"/>
          <w:b/>
          <w:lang w:val="en-US"/>
        </w:rPr>
      </w:pPr>
    </w:p>
    <w:p w14:paraId="5408BCDA" w14:textId="69A91EEA" w:rsidR="00A67875" w:rsidRPr="00A304A0" w:rsidRDefault="00CB40E6" w:rsidP="0019460F">
      <w:pPr>
        <w:tabs>
          <w:tab w:val="left" w:pos="567"/>
        </w:tabs>
        <w:spacing w:after="60"/>
        <w:rPr>
          <w:rFonts w:ascii="Arial" w:hAnsi="Arial"/>
          <w:b/>
          <w:lang w:val="en-US"/>
        </w:rPr>
      </w:pPr>
      <w:r w:rsidRPr="00A304A0">
        <w:rPr>
          <w:rFonts w:ascii="Arial" w:hAnsi="Arial"/>
          <w:b/>
          <w:lang w:val="en-US"/>
        </w:rPr>
        <w:t>Agenda Item:</w:t>
      </w:r>
      <w:r w:rsidRPr="00A304A0">
        <w:rPr>
          <w:rFonts w:ascii="Arial" w:hAnsi="Arial"/>
          <w:lang w:val="en-US"/>
        </w:rPr>
        <w:tab/>
      </w:r>
      <w:bookmarkStart w:id="1" w:name="Source"/>
      <w:bookmarkEnd w:id="1"/>
      <w:r w:rsidR="00F35990" w:rsidRPr="00A304A0">
        <w:rPr>
          <w:rFonts w:ascii="Arial" w:hAnsi="Arial"/>
          <w:b/>
          <w:lang w:val="en-US"/>
        </w:rPr>
        <w:tab/>
      </w:r>
      <w:r w:rsidR="007A4AAE" w:rsidRPr="00287663">
        <w:rPr>
          <w:rFonts w:ascii="Arial" w:hAnsi="Arial"/>
          <w:b/>
          <w:lang w:val="en-US"/>
        </w:rPr>
        <w:t>8.14</w:t>
      </w:r>
      <w:r w:rsidR="00287663" w:rsidRPr="00287663">
        <w:rPr>
          <w:rFonts w:ascii="Arial" w:hAnsi="Arial"/>
          <w:b/>
          <w:lang w:val="en-US"/>
        </w:rPr>
        <w:t>.3</w:t>
      </w:r>
    </w:p>
    <w:p w14:paraId="6E41EBA2" w14:textId="77777777" w:rsidR="00CB40E6" w:rsidRPr="00A304A0" w:rsidRDefault="00F35990" w:rsidP="0019460F">
      <w:pPr>
        <w:tabs>
          <w:tab w:val="left" w:pos="567"/>
        </w:tabs>
        <w:spacing w:after="60"/>
        <w:rPr>
          <w:rFonts w:ascii="Arial" w:hAnsi="Arial"/>
        </w:rPr>
      </w:pPr>
      <w:r w:rsidRPr="00A304A0">
        <w:rPr>
          <w:rFonts w:ascii="Arial" w:hAnsi="Arial"/>
          <w:b/>
        </w:rPr>
        <w:t>Source:</w:t>
      </w:r>
      <w:r w:rsidR="00CB40E6" w:rsidRPr="00A304A0">
        <w:rPr>
          <w:rFonts w:ascii="Arial" w:hAnsi="Arial"/>
          <w:b/>
        </w:rPr>
        <w:tab/>
      </w:r>
      <w:r w:rsidRPr="00A304A0">
        <w:rPr>
          <w:rFonts w:ascii="Arial" w:hAnsi="Arial"/>
          <w:b/>
        </w:rPr>
        <w:tab/>
      </w:r>
      <w:r w:rsidRPr="00A304A0">
        <w:rPr>
          <w:rFonts w:ascii="Arial" w:hAnsi="Arial"/>
          <w:b/>
        </w:rPr>
        <w:tab/>
      </w:r>
      <w:r w:rsidR="00985CA0">
        <w:rPr>
          <w:rFonts w:ascii="Arial" w:hAnsi="Arial"/>
          <w:b/>
        </w:rPr>
        <w:t>Huawei, HiSilicon</w:t>
      </w:r>
    </w:p>
    <w:p w14:paraId="71F98A07" w14:textId="77777777" w:rsidR="00BD7C2A" w:rsidRPr="00A304A0" w:rsidRDefault="00CB40E6" w:rsidP="0019460F">
      <w:pPr>
        <w:tabs>
          <w:tab w:val="left" w:pos="567"/>
        </w:tabs>
        <w:spacing w:after="60"/>
        <w:rPr>
          <w:rFonts w:ascii="Arial" w:hAnsi="Arial"/>
        </w:rPr>
      </w:pPr>
      <w:r w:rsidRPr="00A304A0">
        <w:rPr>
          <w:rFonts w:ascii="Arial" w:hAnsi="Arial"/>
          <w:b/>
        </w:rPr>
        <w:t>Title:</w:t>
      </w:r>
      <w:r w:rsidR="00F35990" w:rsidRPr="00A304A0">
        <w:rPr>
          <w:rFonts w:ascii="Arial" w:hAnsi="Arial"/>
        </w:rPr>
        <w:tab/>
      </w:r>
      <w:r w:rsidR="00F35990" w:rsidRPr="00A304A0">
        <w:rPr>
          <w:rFonts w:ascii="Arial" w:hAnsi="Arial"/>
        </w:rPr>
        <w:tab/>
      </w:r>
      <w:r w:rsidR="00F35990" w:rsidRPr="00A304A0">
        <w:rPr>
          <w:rFonts w:ascii="Arial" w:hAnsi="Arial"/>
        </w:rPr>
        <w:tab/>
      </w:r>
      <w:r w:rsidR="00F35990" w:rsidRPr="00A304A0">
        <w:rPr>
          <w:rFonts w:ascii="Arial" w:hAnsi="Arial"/>
        </w:rPr>
        <w:tab/>
      </w:r>
      <w:r w:rsidR="00CF20F7" w:rsidRPr="00CF20F7">
        <w:rPr>
          <w:rFonts w:ascii="Arial" w:hAnsi="Arial"/>
          <w:b/>
        </w:rPr>
        <w:t>QoE handling during UE mobility</w:t>
      </w:r>
    </w:p>
    <w:p w14:paraId="0D312934" w14:textId="77777777" w:rsidR="004B3C92" w:rsidRPr="00A304A0" w:rsidRDefault="0019460F" w:rsidP="0019460F">
      <w:pPr>
        <w:tabs>
          <w:tab w:val="left" w:pos="567"/>
        </w:tabs>
        <w:spacing w:after="60"/>
        <w:rPr>
          <w:rFonts w:ascii="Arial" w:hAnsi="Arial"/>
        </w:rPr>
      </w:pPr>
      <w:r w:rsidRPr="00A304A0">
        <w:rPr>
          <w:rFonts w:ascii="Arial" w:hAnsi="Arial"/>
          <w:b/>
        </w:rPr>
        <w:t>WID/SID</w:t>
      </w:r>
      <w:r w:rsidR="004B3C92" w:rsidRPr="00A304A0">
        <w:rPr>
          <w:rFonts w:ascii="Arial" w:hAnsi="Arial"/>
          <w:b/>
        </w:rPr>
        <w:t>:</w:t>
      </w:r>
      <w:r w:rsidR="004B3C92" w:rsidRPr="00A304A0">
        <w:rPr>
          <w:rFonts w:ascii="Arial" w:hAnsi="Arial"/>
          <w:b/>
        </w:rPr>
        <w:tab/>
      </w:r>
      <w:r w:rsidR="004B3C92" w:rsidRPr="00A304A0">
        <w:rPr>
          <w:rFonts w:ascii="Arial" w:hAnsi="Arial"/>
          <w:b/>
        </w:rPr>
        <w:tab/>
      </w:r>
      <w:r w:rsidR="004B3C92" w:rsidRPr="00A304A0">
        <w:rPr>
          <w:rFonts w:ascii="Arial" w:hAnsi="Arial"/>
          <w:b/>
        </w:rPr>
        <w:tab/>
      </w:r>
      <w:r w:rsidR="00004F0F" w:rsidRPr="00004F0F">
        <w:rPr>
          <w:rFonts w:ascii="Arial" w:hAnsi="Arial"/>
          <w:b/>
        </w:rPr>
        <w:t>NR_QoE-Core</w:t>
      </w:r>
    </w:p>
    <w:p w14:paraId="320670B4" w14:textId="77777777" w:rsidR="00D62905" w:rsidRPr="00A304A0" w:rsidRDefault="0019460F" w:rsidP="0019460F">
      <w:pPr>
        <w:tabs>
          <w:tab w:val="left" w:pos="567"/>
        </w:tabs>
        <w:spacing w:after="60"/>
        <w:rPr>
          <w:rFonts w:ascii="Arial" w:hAnsi="Arial"/>
          <w:b/>
        </w:rPr>
      </w:pPr>
      <w:r w:rsidRPr="00A304A0">
        <w:rPr>
          <w:rFonts w:ascii="Arial" w:hAnsi="Arial"/>
          <w:b/>
        </w:rPr>
        <w:t>Document for</w:t>
      </w:r>
      <w:r w:rsidR="00D62905" w:rsidRPr="00A304A0">
        <w:rPr>
          <w:rFonts w:ascii="Arial" w:hAnsi="Arial"/>
          <w:b/>
        </w:rPr>
        <w:t>:</w:t>
      </w:r>
      <w:r w:rsidR="00D62905" w:rsidRPr="00A304A0">
        <w:rPr>
          <w:rFonts w:ascii="Arial" w:hAnsi="Arial"/>
          <w:b/>
        </w:rPr>
        <w:tab/>
      </w:r>
      <w:r w:rsidR="00D62905" w:rsidRPr="00A304A0">
        <w:rPr>
          <w:rFonts w:ascii="Arial" w:hAnsi="Arial"/>
          <w:b/>
        </w:rPr>
        <w:tab/>
      </w:r>
      <w:r w:rsidRPr="00A304A0">
        <w:rPr>
          <w:rFonts w:ascii="Arial" w:hAnsi="Arial"/>
          <w:b/>
        </w:rPr>
        <w:t>Discussion and Decision</w:t>
      </w:r>
    </w:p>
    <w:p w14:paraId="3C1E87CD" w14:textId="77777777" w:rsidR="00CB40E6" w:rsidRPr="00A304A0" w:rsidRDefault="00CB40E6" w:rsidP="00F35990">
      <w:pPr>
        <w:pBdr>
          <w:bottom w:val="single" w:sz="12" w:space="1" w:color="auto"/>
        </w:pBdr>
        <w:tabs>
          <w:tab w:val="left" w:pos="567"/>
        </w:tabs>
      </w:pPr>
    </w:p>
    <w:p w14:paraId="7A4C9837" w14:textId="77777777" w:rsidR="00CB40E6" w:rsidRPr="00A304A0" w:rsidRDefault="004F7FE5" w:rsidP="001405E2">
      <w:pPr>
        <w:pStyle w:val="Heading3"/>
      </w:pPr>
      <w:r w:rsidRPr="00A304A0">
        <w:t>1</w:t>
      </w:r>
      <w:r w:rsidRPr="00A304A0">
        <w:tab/>
      </w:r>
      <w:r w:rsidR="004B3C92" w:rsidRPr="00A304A0">
        <w:t>Introduction</w:t>
      </w:r>
    </w:p>
    <w:p w14:paraId="427AC0B4" w14:textId="1716ABF8" w:rsidR="00074BCD" w:rsidRDefault="00074BCD" w:rsidP="00A65273">
      <w:pPr>
        <w:spacing w:after="0"/>
      </w:pPr>
      <w:r>
        <w:t>RAN2 and RAN3 made a number of agreements related to UE mobility in both RRC CONNECTED and RRC INACTIVE states. However, there are still some issues that need to be addressed, e.g.:</w:t>
      </w:r>
    </w:p>
    <w:p w14:paraId="5BCFF407" w14:textId="101E83E4" w:rsidR="00074BCD" w:rsidRDefault="00074BCD" w:rsidP="003A782E">
      <w:pPr>
        <w:pStyle w:val="ListParagraph"/>
        <w:numPr>
          <w:ilvl w:val="0"/>
          <w:numId w:val="4"/>
        </w:numPr>
        <w:spacing w:after="0"/>
        <w:ind w:firstLineChars="0"/>
      </w:pPr>
      <w:r>
        <w:t>Whether the gNB needs to be aware of whether a QoE measurement session is ongoing at the UE.</w:t>
      </w:r>
    </w:p>
    <w:p w14:paraId="425012E5" w14:textId="77777777" w:rsidR="003C7C88" w:rsidRDefault="003C7C88" w:rsidP="003A782E">
      <w:pPr>
        <w:pStyle w:val="ListParagraph"/>
        <w:numPr>
          <w:ilvl w:val="0"/>
          <w:numId w:val="4"/>
        </w:numPr>
        <w:spacing w:after="0"/>
        <w:ind w:firstLineChars="0"/>
      </w:pPr>
      <w:r>
        <w:t>How to handle HO/resume with full configuration in the node supporting QoE.</w:t>
      </w:r>
    </w:p>
    <w:p w14:paraId="5A4B26DB" w14:textId="1AC30349" w:rsidR="00074BCD" w:rsidRDefault="00074BCD" w:rsidP="003A782E">
      <w:pPr>
        <w:pStyle w:val="ListParagraph"/>
        <w:numPr>
          <w:ilvl w:val="0"/>
          <w:numId w:val="4"/>
        </w:numPr>
        <w:spacing w:after="0"/>
        <w:ind w:firstLineChars="0"/>
      </w:pPr>
      <w:r>
        <w:t xml:space="preserve">How to indicate the QoE </w:t>
      </w:r>
      <w:r w:rsidR="003C7C88">
        <w:t>configurations</w:t>
      </w:r>
      <w:r>
        <w:t xml:space="preserve"> for restoration during RRC resume procedure.</w:t>
      </w:r>
    </w:p>
    <w:p w14:paraId="224E06E4" w14:textId="1DC154C4" w:rsidR="00074BCD" w:rsidRDefault="00074BCD" w:rsidP="00074BCD">
      <w:pPr>
        <w:spacing w:after="0"/>
      </w:pPr>
      <w:r>
        <w:t>This contribution discusses these topics and provides the related proposals.</w:t>
      </w:r>
    </w:p>
    <w:p w14:paraId="79391401" w14:textId="77777777" w:rsidR="00074BCD" w:rsidRDefault="00074BCD" w:rsidP="00074BCD">
      <w:pPr>
        <w:spacing w:after="0"/>
      </w:pPr>
    </w:p>
    <w:p w14:paraId="1DF8E7D4" w14:textId="7B011CB8" w:rsidR="003E6144" w:rsidRPr="00273AF1" w:rsidRDefault="00A31492" w:rsidP="00273AF1">
      <w:pPr>
        <w:pStyle w:val="Heading3"/>
      </w:pPr>
      <w:r w:rsidRPr="00A304A0">
        <w:t>2</w:t>
      </w:r>
      <w:r w:rsidRPr="00A304A0">
        <w:tab/>
      </w:r>
      <w:r w:rsidR="00074BCD">
        <w:t>Mobility in RRC CONNECTED</w:t>
      </w:r>
    </w:p>
    <w:p w14:paraId="15820591" w14:textId="77777777" w:rsidR="00074BCD" w:rsidRDefault="00074BCD" w:rsidP="00074BCD">
      <w:pPr>
        <w:spacing w:after="0"/>
      </w:pPr>
      <w:r>
        <w:t>During the SI phase of QoE work, RAN2 identified three potential approaches for QoE area handling during UE mobility, which were captured in TR 38.890 ([1]) in the following way: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74BCD" w14:paraId="5CAC6EA0" w14:textId="77777777" w:rsidTr="003E64DB">
        <w:tc>
          <w:tcPr>
            <w:tcW w:w="9854" w:type="dxa"/>
            <w:shd w:val="clear" w:color="auto" w:fill="auto"/>
          </w:tcPr>
          <w:p w14:paraId="381C4A8B" w14:textId="77777777" w:rsidR="00074BCD" w:rsidRPr="002C5BB6" w:rsidRDefault="00074BCD" w:rsidP="003E64DB">
            <w:pPr>
              <w:rPr>
                <w:rFonts w:eastAsia="DengXian"/>
                <w:lang w:eastAsia="zh-CN"/>
              </w:rPr>
            </w:pPr>
            <w:r w:rsidRPr="002C5BB6">
              <w:rPr>
                <w:rFonts w:eastAsia="DengXian"/>
                <w:lang w:eastAsia="zh-CN"/>
              </w:rPr>
              <w:t>To fulfil the SA4 and SA5 QoE requirements of mobility, the details of Area Handling at mobility shall be addressed in the WI. For the Area Handling at mobility there are three main options, as follows:</w:t>
            </w:r>
          </w:p>
          <w:p w14:paraId="3064792F" w14:textId="77777777" w:rsidR="00074BCD" w:rsidRPr="00B50759" w:rsidRDefault="00074BCD" w:rsidP="003E64DB">
            <w:pPr>
              <w:ind w:left="568" w:hanging="284"/>
              <w:rPr>
                <w:lang w:eastAsia="zh-CN"/>
              </w:rPr>
            </w:pPr>
            <w:r>
              <w:rPr>
                <w:rFonts w:hint="eastAsia"/>
                <w:lang w:eastAsia="zh-CN"/>
              </w:rPr>
              <w:t>-</w:t>
            </w:r>
            <w:r>
              <w:rPr>
                <w:rFonts w:hint="eastAsia"/>
                <w:lang w:eastAsia="zh-CN"/>
              </w:rPr>
              <w:tab/>
            </w:r>
            <w:r w:rsidRPr="00B50759">
              <w:rPr>
                <w:lang w:eastAsia="zh-CN"/>
              </w:rPr>
              <w:t xml:space="preserve">Option 1, where the network is responsible </w:t>
            </w:r>
            <w:r>
              <w:rPr>
                <w:lang w:eastAsia="zh-CN"/>
              </w:rPr>
              <w:t>for</w:t>
            </w:r>
            <w:r w:rsidRPr="00B50759">
              <w:rPr>
                <w:lang w:eastAsia="zh-CN"/>
              </w:rPr>
              <w:t xml:space="preserve"> keep</w:t>
            </w:r>
            <w:r>
              <w:rPr>
                <w:lang w:eastAsia="zh-CN"/>
              </w:rPr>
              <w:t>ing</w:t>
            </w:r>
            <w:r w:rsidRPr="00B50759">
              <w:rPr>
                <w:lang w:eastAsia="zh-CN"/>
              </w:rPr>
              <w:t xml:space="preserve"> track of whether the UE is inside or outside the area and configures / releases configuration accordingly. </w:t>
            </w:r>
          </w:p>
          <w:p w14:paraId="1989CCE1" w14:textId="77777777" w:rsidR="00074BCD" w:rsidRPr="00B50759" w:rsidRDefault="00074BCD" w:rsidP="003E64DB">
            <w:pPr>
              <w:ind w:left="568" w:hanging="284"/>
              <w:rPr>
                <w:lang w:eastAsia="zh-CN"/>
              </w:rPr>
            </w:pPr>
            <w:r>
              <w:rPr>
                <w:rFonts w:hint="eastAsia"/>
                <w:lang w:eastAsia="zh-CN"/>
              </w:rPr>
              <w:t>-</w:t>
            </w:r>
            <w:r>
              <w:rPr>
                <w:rFonts w:hint="eastAsia"/>
                <w:lang w:eastAsia="zh-CN"/>
              </w:rPr>
              <w:tab/>
            </w:r>
            <w:r w:rsidRPr="00B50759">
              <w:rPr>
                <w:lang w:eastAsia="zh-CN"/>
              </w:rPr>
              <w:t xml:space="preserve">Option 2, where the network is responsible </w:t>
            </w:r>
            <w:r>
              <w:rPr>
                <w:lang w:eastAsia="zh-CN"/>
              </w:rPr>
              <w:t>for</w:t>
            </w:r>
            <w:r w:rsidRPr="00B50759">
              <w:rPr>
                <w:lang w:eastAsia="zh-CN"/>
              </w:rPr>
              <w:t xml:space="preserve"> keep</w:t>
            </w:r>
            <w:r>
              <w:rPr>
                <w:lang w:eastAsia="zh-CN"/>
              </w:rPr>
              <w:t>ing</w:t>
            </w:r>
            <w:r w:rsidRPr="00B50759">
              <w:rPr>
                <w:lang w:eastAsia="zh-CN"/>
              </w:rPr>
              <w:t xml:space="preserve"> track of whether the UE is inside or outside the area, and the UE responsible to manage start/stop of QoE accordingly. </w:t>
            </w:r>
          </w:p>
          <w:p w14:paraId="56858E2E" w14:textId="77777777" w:rsidR="00074BCD" w:rsidRDefault="00074BCD" w:rsidP="003E64DB">
            <w:pPr>
              <w:ind w:left="568" w:hanging="284"/>
              <w:rPr>
                <w:lang w:eastAsia="zh-CN"/>
              </w:rPr>
            </w:pPr>
            <w:r>
              <w:rPr>
                <w:rFonts w:hint="eastAsia"/>
                <w:lang w:eastAsia="zh-CN"/>
              </w:rPr>
              <w:t>-</w:t>
            </w:r>
            <w:r>
              <w:rPr>
                <w:rFonts w:hint="eastAsia"/>
                <w:lang w:eastAsia="zh-CN"/>
              </w:rPr>
              <w:tab/>
            </w:r>
            <w:r w:rsidRPr="00B50759">
              <w:rPr>
                <w:lang w:eastAsia="zh-CN"/>
              </w:rPr>
              <w:t>Option 3, where the UE is responsible for area checking (UE has the area configuration) and to manage start/stop of QoE accordingly.</w:t>
            </w:r>
          </w:p>
        </w:tc>
      </w:tr>
    </w:tbl>
    <w:p w14:paraId="5E1CC9E3" w14:textId="77777777" w:rsidR="00074BCD" w:rsidRDefault="00074BCD" w:rsidP="00074BCD">
      <w:pPr>
        <w:spacing w:after="0"/>
      </w:pPr>
    </w:p>
    <w:p w14:paraId="0F8D10EC" w14:textId="3ECD5E25" w:rsidR="00074BCD" w:rsidRDefault="00074BCD" w:rsidP="00074BCD">
      <w:pPr>
        <w:spacing w:after="0"/>
      </w:pPr>
      <w:r w:rsidRPr="004350B4">
        <w:t xml:space="preserve">RAN3 </w:t>
      </w:r>
      <w:r>
        <w:t xml:space="preserve">discussed this topic further during </w:t>
      </w:r>
      <w:r w:rsidRPr="00E01AE6">
        <w:t>RAN3#112-e</w:t>
      </w:r>
      <w:r>
        <w:t xml:space="preserve"> meeting and agreed to use option 1, as informed in an LS provided in [2]. </w:t>
      </w:r>
      <w:r w:rsidR="004A206A">
        <w:t>Based on this, during</w:t>
      </w:r>
      <w:r>
        <w:t xml:space="preserve"> RAN2#115-e meeting the following agreements were reached with respect to QoE handling during UE mobility in RRC CONNECTED:</w:t>
      </w:r>
    </w:p>
    <w:tbl>
      <w:tblPr>
        <w:tblStyle w:val="TableGrid"/>
        <w:tblW w:w="0" w:type="auto"/>
        <w:tblLook w:val="04A0" w:firstRow="1" w:lastRow="0" w:firstColumn="1" w:lastColumn="0" w:noHBand="0" w:noVBand="1"/>
      </w:tblPr>
      <w:tblGrid>
        <w:gridCol w:w="9628"/>
      </w:tblGrid>
      <w:tr w:rsidR="00074BCD" w14:paraId="6AE5379A" w14:textId="77777777" w:rsidTr="003E64DB">
        <w:tc>
          <w:tcPr>
            <w:tcW w:w="9628" w:type="dxa"/>
          </w:tcPr>
          <w:p w14:paraId="31CED539" w14:textId="77777777" w:rsidR="00074BCD" w:rsidRDefault="00074BCD" w:rsidP="003E64DB">
            <w:pPr>
              <w:pStyle w:val="Agreement"/>
            </w:pPr>
            <w:r w:rsidRPr="00BD3D6D">
              <w:t>RAN2 assumes that all QoE mobility related agreements made by RAN2 are applicable at least to signalling based QoE. Whether the same applies to management-based QoE is pending further input from SA5 and RAN3.</w:t>
            </w:r>
          </w:p>
          <w:p w14:paraId="66D6BAFB" w14:textId="77777777" w:rsidR="00074BCD" w:rsidRPr="00BD3D6D" w:rsidRDefault="00074BCD" w:rsidP="003E64DB">
            <w:pPr>
              <w:pStyle w:val="Agreement"/>
            </w:pPr>
            <w:r w:rsidRPr="00BD3D6D">
              <w:t>Area scope parameter is not introduced in RRC procedures supporting QoE.</w:t>
            </w:r>
          </w:p>
          <w:p w14:paraId="06F9B137" w14:textId="77777777" w:rsidR="00074BCD" w:rsidRDefault="00074BCD" w:rsidP="003E64DB">
            <w:pPr>
              <w:pStyle w:val="Agreement"/>
            </w:pPr>
            <w:r>
              <w:t xml:space="preserve">During the handover to target gNB which supports QoE, the target gNB decides which QoE configurations to keep and which to release during a handover, e.g. based on QoE </w:t>
            </w:r>
            <w:r>
              <w:lastRenderedPageBreak/>
              <w:t xml:space="preserve">configuration information received from the source gNB in Xn/Ng signalling (exact information is up to RAN3) </w:t>
            </w:r>
            <w:r>
              <w:rPr>
                <w:lang w:val="en-US"/>
              </w:rPr>
              <w:t>including the R</w:t>
            </w:r>
            <w:r>
              <w:t xml:space="preserve">RC </w:t>
            </w:r>
            <w:r>
              <w:rPr>
                <w:lang w:val="en-US"/>
              </w:rPr>
              <w:t>container</w:t>
            </w:r>
            <w:r>
              <w:t>.</w:t>
            </w:r>
          </w:p>
          <w:p w14:paraId="3C18CDCE" w14:textId="1FCC1C34" w:rsidR="00074BCD" w:rsidRPr="00B54360" w:rsidRDefault="00074BCD" w:rsidP="003A782E">
            <w:pPr>
              <w:pStyle w:val="Agreement"/>
            </w:pPr>
            <w:r w:rsidRPr="00BD3D6D">
              <w:t>FFS whether the gNB needs to know the QoE configurations for which there are ongoing QoE sessions</w:t>
            </w:r>
            <w:r>
              <w:t>,</w:t>
            </w:r>
            <w:r w:rsidRPr="00BD3D6D">
              <w:t xml:space="preserve"> e.g. to enable QoE configuration handling upon mobility (pending SA4 reply on the ongoing QoE measurement session continuity requirement).</w:t>
            </w:r>
          </w:p>
          <w:p w14:paraId="1E9C3D37" w14:textId="77777777" w:rsidR="00074BCD" w:rsidRDefault="00074BCD" w:rsidP="003E64DB">
            <w:pPr>
              <w:spacing w:after="0"/>
            </w:pPr>
          </w:p>
        </w:tc>
      </w:tr>
    </w:tbl>
    <w:p w14:paraId="7692F9DD" w14:textId="77777777" w:rsidR="00074BCD" w:rsidRDefault="00074BCD" w:rsidP="00074BCD">
      <w:pPr>
        <w:spacing w:after="0"/>
      </w:pPr>
    </w:p>
    <w:p w14:paraId="6526D87F" w14:textId="18FC60EC" w:rsidR="00A30B4D" w:rsidRDefault="00A31ECF" w:rsidP="000A396B">
      <w:r>
        <w:rPr>
          <w:color w:val="000000"/>
          <w:szCs w:val="18"/>
          <w:lang w:val="en-US" w:eastAsia="zh-CN"/>
        </w:rPr>
        <w:t>Based on the above agreements, a</w:t>
      </w:r>
      <w:r w:rsidR="007A2823">
        <w:rPr>
          <w:color w:val="000000"/>
          <w:szCs w:val="18"/>
          <w:lang w:val="en-US" w:eastAsia="zh-CN"/>
        </w:rPr>
        <w:t xml:space="preserve">t </w:t>
      </w:r>
      <w:r w:rsidR="00B42C4B">
        <w:rPr>
          <w:color w:val="000000"/>
          <w:szCs w:val="18"/>
          <w:lang w:val="en-US" w:eastAsia="zh-CN"/>
        </w:rPr>
        <w:t>l</w:t>
      </w:r>
      <w:r w:rsidR="007A2823">
        <w:rPr>
          <w:color w:val="000000"/>
          <w:szCs w:val="18"/>
          <w:lang w:val="en-US" w:eastAsia="zh-CN"/>
        </w:rPr>
        <w:t xml:space="preserve">east for signaling-based QoE measurement configuration, the target gNB can check whether the UE is inside the QoE </w:t>
      </w:r>
      <w:r w:rsidR="00B42C4B">
        <w:rPr>
          <w:color w:val="000000"/>
          <w:szCs w:val="18"/>
          <w:lang w:val="en-US" w:eastAsia="zh-CN"/>
        </w:rPr>
        <w:t>area</w:t>
      </w:r>
      <w:r w:rsidR="007A2823">
        <w:rPr>
          <w:color w:val="000000"/>
          <w:szCs w:val="18"/>
          <w:lang w:val="en-US" w:eastAsia="zh-CN"/>
        </w:rPr>
        <w:t xml:space="preserve"> based on the information received from the source gNB</w:t>
      </w:r>
      <w:r w:rsidR="00B42C4B">
        <w:rPr>
          <w:color w:val="000000"/>
          <w:szCs w:val="18"/>
          <w:lang w:val="en-US" w:eastAsia="zh-CN"/>
        </w:rPr>
        <w:t xml:space="preserve">. Subsequently, it can release the configurations which are no longer relevant for the UE, i.e. are not valid under the coverage of this gNB/cell. </w:t>
      </w:r>
      <w:r w:rsidR="00A30B4D">
        <w:rPr>
          <w:color w:val="000000"/>
          <w:szCs w:val="18"/>
          <w:lang w:val="en-US" w:eastAsia="zh-CN"/>
        </w:rPr>
        <w:t>However</w:t>
      </w:r>
      <w:r w:rsidR="00A30B4D">
        <w:t>, th</w:t>
      </w:r>
      <w:r w:rsidR="000A396B">
        <w:t>e important factor that has to be</w:t>
      </w:r>
      <w:r w:rsidR="00A30B4D">
        <w:t xml:space="preserve"> considered, is how to meet the requirements mentioned by other WGs. In particular, there is a following requirement from </w:t>
      </w:r>
      <w:r w:rsidR="000A396B">
        <w:t xml:space="preserve">SA4, as captured in </w:t>
      </w:r>
      <w:r w:rsidR="00A30B4D">
        <w:t>TS 26.114 [</w:t>
      </w:r>
      <w:r w:rsidR="00357F41">
        <w:t>3</w:t>
      </w:r>
      <w:r w:rsidR="00A30B4D">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30B4D" w14:paraId="76604CBC" w14:textId="77777777" w:rsidTr="002C5BB6">
        <w:tc>
          <w:tcPr>
            <w:tcW w:w="9606" w:type="dxa"/>
            <w:shd w:val="clear" w:color="auto" w:fill="auto"/>
          </w:tcPr>
          <w:p w14:paraId="1E4C763A" w14:textId="77777777" w:rsidR="00A30B4D" w:rsidRDefault="00A30B4D" w:rsidP="002C5BB6">
            <w:r w:rsidRPr="00A13402">
              <w:t xml:space="preserve">The QoE configuration shall only be checked by the client when each session starts, and thus all logging and reporting criterias for an ongoing session shall be unaffected by any QoE configuration changes received during that session. </w:t>
            </w:r>
            <w:r w:rsidRPr="00CF35C2">
              <w:rPr>
                <w:highlight w:val="yellow"/>
              </w:rPr>
              <w:t>This also includes evaluation of any filtering criterias, such as geographical filtering, which shall only be done when the session starts.</w:t>
            </w:r>
            <w:r w:rsidRPr="00A13402">
              <w:t xml:space="preserve"> Thus changes to the QoE configuration will only affect sessions started after these configurat</w:t>
            </w:r>
            <w:r>
              <w:t>ion changes have been received.</w:t>
            </w:r>
          </w:p>
        </w:tc>
      </w:tr>
    </w:tbl>
    <w:p w14:paraId="54DABF0B" w14:textId="13E953DF" w:rsidR="00FE0C87" w:rsidRDefault="00750731" w:rsidP="00277180">
      <w:pPr>
        <w:pStyle w:val="ListParagraph"/>
        <w:spacing w:before="240" w:after="0"/>
        <w:ind w:firstLineChars="0" w:firstLine="0"/>
        <w:contextualSpacing/>
      </w:pPr>
      <w:r>
        <w:t>If the gNB was only checking whether the QoE configuration is relevant within its coverage, it could happen that a</w:t>
      </w:r>
      <w:r w:rsidR="00863BF2">
        <w:t xml:space="preserve"> configuration for an ongoing measurement may be released. This </w:t>
      </w:r>
      <w:r>
        <w:t>would go</w:t>
      </w:r>
      <w:r w:rsidR="00863BF2">
        <w:t xml:space="preserve"> against the requirement </w:t>
      </w:r>
      <w:r w:rsidR="00CF35C2">
        <w:t xml:space="preserve">telling that an evaluation of geographical filtering criteria shall only be done when the session starts, as highlighted above. </w:t>
      </w:r>
      <w:r w:rsidR="00FE0C87">
        <w:t xml:space="preserve">During RAN2#115-e meeting, it was proposed to address this issue, but the decision was postponed while waiting for the clarification from SA4 on whether the related requirements holds for NR. </w:t>
      </w:r>
    </w:p>
    <w:tbl>
      <w:tblPr>
        <w:tblStyle w:val="TableGrid"/>
        <w:tblW w:w="0" w:type="auto"/>
        <w:tblLook w:val="04A0" w:firstRow="1" w:lastRow="0" w:firstColumn="1" w:lastColumn="0" w:noHBand="0" w:noVBand="1"/>
      </w:tblPr>
      <w:tblGrid>
        <w:gridCol w:w="9628"/>
      </w:tblGrid>
      <w:tr w:rsidR="00FE0C87" w14:paraId="3ADAFDCE" w14:textId="77777777" w:rsidTr="00FE0C87">
        <w:tc>
          <w:tcPr>
            <w:tcW w:w="9628" w:type="dxa"/>
          </w:tcPr>
          <w:p w14:paraId="0DEC3C89" w14:textId="1090D195" w:rsidR="00FE0C87" w:rsidRDefault="00FE0C87" w:rsidP="00FE0C87">
            <w:pPr>
              <w:pStyle w:val="Agreement"/>
            </w:pPr>
            <w:r w:rsidRPr="00BD3D6D">
              <w:t>FFS whether the gNB needs to know the QoE configurations for which there are ongoing QoE sessions</w:t>
            </w:r>
            <w:r>
              <w:t>,</w:t>
            </w:r>
            <w:r w:rsidRPr="00BD3D6D">
              <w:t xml:space="preserve"> e.g. to enable QoE configuration handling upon mobility (pending SA4 reply on the ongoing QoE measurement session continuity requirement).</w:t>
            </w:r>
          </w:p>
        </w:tc>
      </w:tr>
    </w:tbl>
    <w:p w14:paraId="251EEA52" w14:textId="3A3217C6" w:rsidR="00A31ECF" w:rsidRDefault="00CF35C2" w:rsidP="00277180">
      <w:pPr>
        <w:pStyle w:val="ListParagraph"/>
        <w:spacing w:before="240" w:after="0"/>
        <w:ind w:firstLineChars="0" w:firstLine="0"/>
        <w:contextualSpacing/>
      </w:pPr>
      <w:r>
        <w:t>SA4 confirmed the relevance of this requirement for NR, as can be seen in an LS in [</w:t>
      </w:r>
      <w:r w:rsidR="00B406B8">
        <w:t>4</w:t>
      </w:r>
      <w:r>
        <w:t>]</w:t>
      </w:r>
      <w:r w:rsidR="00CC42C5">
        <w:t>:</w:t>
      </w:r>
    </w:p>
    <w:tbl>
      <w:tblPr>
        <w:tblStyle w:val="TableGrid"/>
        <w:tblW w:w="0" w:type="auto"/>
        <w:tblLook w:val="04A0" w:firstRow="1" w:lastRow="0" w:firstColumn="1" w:lastColumn="0" w:noHBand="0" w:noVBand="1"/>
      </w:tblPr>
      <w:tblGrid>
        <w:gridCol w:w="9628"/>
      </w:tblGrid>
      <w:tr w:rsidR="00CC42C5" w14:paraId="5FEC20FB" w14:textId="77777777" w:rsidTr="00CC42C5">
        <w:tc>
          <w:tcPr>
            <w:tcW w:w="9628" w:type="dxa"/>
          </w:tcPr>
          <w:p w14:paraId="352179DD" w14:textId="77777777" w:rsidR="00CC42C5" w:rsidRPr="00CC42C5" w:rsidRDefault="00CC42C5" w:rsidP="00CC42C5">
            <w:pPr>
              <w:overflowPunct/>
              <w:autoSpaceDE/>
              <w:autoSpaceDN/>
              <w:adjustRightInd/>
              <w:spacing w:after="0"/>
              <w:textAlignment w:val="auto"/>
              <w:rPr>
                <w:rFonts w:ascii="Arial" w:eastAsia="宋体" w:hAnsi="Arial" w:cs="Arial"/>
                <w:bCs/>
              </w:rPr>
            </w:pPr>
            <w:r w:rsidRPr="00CC42C5">
              <w:rPr>
                <w:rFonts w:ascii="Arial" w:eastAsia="宋体" w:hAnsi="Arial" w:cs="Arial"/>
                <w:bCs/>
              </w:rPr>
              <w:t>SA4 thanks RAN3 for their LS in (R3-212953/ S4-211062).</w:t>
            </w:r>
          </w:p>
          <w:p w14:paraId="604CE687" w14:textId="77777777" w:rsidR="00CC42C5" w:rsidRPr="00CC42C5" w:rsidRDefault="00CC42C5" w:rsidP="00CC42C5">
            <w:pPr>
              <w:overflowPunct/>
              <w:autoSpaceDE/>
              <w:autoSpaceDN/>
              <w:adjustRightInd/>
              <w:spacing w:after="0"/>
              <w:textAlignment w:val="auto"/>
              <w:rPr>
                <w:rFonts w:ascii="Arial" w:eastAsia="宋体" w:hAnsi="Arial" w:cs="Arial"/>
                <w:bCs/>
                <w:lang w:eastAsia="zh-CN"/>
              </w:rPr>
            </w:pPr>
          </w:p>
          <w:p w14:paraId="0134C1AF" w14:textId="77777777" w:rsidR="00CC42C5" w:rsidRPr="00CC42C5" w:rsidRDefault="00CC42C5" w:rsidP="00CC42C5">
            <w:pPr>
              <w:overflowPunct/>
              <w:autoSpaceDE/>
              <w:autoSpaceDN/>
              <w:adjustRightInd/>
              <w:spacing w:after="0"/>
              <w:textAlignment w:val="auto"/>
              <w:rPr>
                <w:rFonts w:ascii="Arial" w:eastAsia="宋体" w:hAnsi="Arial" w:cs="Arial"/>
                <w:bCs/>
                <w:lang w:eastAsia="zh-CN"/>
              </w:rPr>
            </w:pPr>
            <w:r w:rsidRPr="00CC42C5">
              <w:rPr>
                <w:rFonts w:ascii="Arial" w:eastAsia="宋体" w:hAnsi="Arial" w:cs="Arial"/>
                <w:bCs/>
                <w:lang w:eastAsia="zh-CN"/>
              </w:rPr>
              <w:t xml:space="preserve">On your questions: </w:t>
            </w:r>
          </w:p>
          <w:p w14:paraId="5FF6F49E" w14:textId="77777777" w:rsidR="00CC42C5" w:rsidRPr="00CC42C5" w:rsidRDefault="00CC42C5" w:rsidP="00CC42C5">
            <w:pPr>
              <w:overflowPunct/>
              <w:autoSpaceDE/>
              <w:autoSpaceDN/>
              <w:adjustRightInd/>
              <w:spacing w:after="0" w:line="288" w:lineRule="auto"/>
              <w:textAlignment w:val="auto"/>
              <w:rPr>
                <w:rFonts w:ascii="Arial" w:eastAsia="宋体" w:hAnsi="Arial" w:cs="Arial"/>
                <w:bCs/>
                <w:i/>
                <w:lang w:eastAsia="zh-CN"/>
              </w:rPr>
            </w:pPr>
            <w:r w:rsidRPr="00CC42C5">
              <w:rPr>
                <w:rFonts w:ascii="Arial" w:eastAsia="宋体" w:hAnsi="Arial" w:cs="Arial"/>
                <w:bCs/>
                <w:i/>
                <w:lang w:eastAsia="zh-CN"/>
              </w:rPr>
              <w:t>Q1: Will the requirement for configuration changes of ongoing QMC sessions be applicable also for NR QMC?</w:t>
            </w:r>
          </w:p>
          <w:p w14:paraId="5DA361CF" w14:textId="1F3FC8D1" w:rsidR="00CC42C5" w:rsidRPr="00CC42C5" w:rsidRDefault="00CC42C5" w:rsidP="00CC42C5">
            <w:pPr>
              <w:overflowPunct/>
              <w:autoSpaceDE/>
              <w:autoSpaceDN/>
              <w:adjustRightInd/>
              <w:spacing w:after="0" w:line="288" w:lineRule="auto"/>
              <w:textAlignment w:val="auto"/>
              <w:rPr>
                <w:rFonts w:ascii="Arial" w:eastAsia="宋体" w:hAnsi="Arial" w:cs="Arial"/>
                <w:bCs/>
                <w:lang w:eastAsia="zh-CN"/>
              </w:rPr>
            </w:pPr>
            <w:r w:rsidRPr="00CC42C5">
              <w:rPr>
                <w:rFonts w:ascii="Arial" w:eastAsia="宋体" w:hAnsi="Arial" w:cs="Arial"/>
                <w:bCs/>
                <w:lang w:eastAsia="zh-CN"/>
              </w:rPr>
              <w:t xml:space="preserve">Answer1: Yes. </w:t>
            </w:r>
          </w:p>
        </w:tc>
      </w:tr>
    </w:tbl>
    <w:p w14:paraId="6D07C813" w14:textId="7457721D" w:rsidR="00CC42C5" w:rsidRDefault="00CC42C5" w:rsidP="00FE0C87">
      <w:pPr>
        <w:pStyle w:val="ListParagraph"/>
        <w:spacing w:before="240"/>
        <w:ind w:firstLineChars="0" w:firstLine="0"/>
        <w:contextualSpacing/>
        <w:rPr>
          <w:b/>
        </w:rPr>
      </w:pPr>
      <w:r>
        <w:rPr>
          <w:b/>
        </w:rPr>
        <w:t>Observation 1: According to SA4 requirements, the evaluation of area scope of QoE measurement shall only be done when the session starts.</w:t>
      </w:r>
    </w:p>
    <w:p w14:paraId="60B18761" w14:textId="77777777" w:rsidR="00583A1C" w:rsidRDefault="00583A1C" w:rsidP="00FE0C87">
      <w:pPr>
        <w:pStyle w:val="ListParagraph"/>
        <w:spacing w:after="0"/>
        <w:ind w:firstLineChars="0" w:firstLine="0"/>
        <w:contextualSpacing/>
      </w:pPr>
    </w:p>
    <w:p w14:paraId="676CB4F1" w14:textId="1F72C056" w:rsidR="00863BF2" w:rsidRPr="005F790C" w:rsidRDefault="00583A1C" w:rsidP="00FE0C87">
      <w:pPr>
        <w:pStyle w:val="ListParagraph"/>
        <w:spacing w:after="0"/>
        <w:ind w:firstLineChars="0" w:firstLine="0"/>
        <w:contextualSpacing/>
      </w:pPr>
      <w:r>
        <w:t xml:space="preserve">Therefore, it can be concluded that a target gNB should be aware of the QoE configurations for which there are ongoing sessions to be able to make an informed decision about which QoE configurations to keep at the UE during handover. A </w:t>
      </w:r>
      <w:r w:rsidR="00863BF2">
        <w:t xml:space="preserve">simple solution </w:t>
      </w:r>
      <w:r w:rsidR="00750731">
        <w:t xml:space="preserve">to address this issue </w:t>
      </w:r>
      <w:r w:rsidR="00863BF2">
        <w:t xml:space="preserve">would be for the network not to release the QoE configuration </w:t>
      </w:r>
      <w:r w:rsidR="00750731">
        <w:t xml:space="preserve">for which there is </w:t>
      </w:r>
      <w:r w:rsidR="00863BF2">
        <w:t xml:space="preserve">an ongoing QoE measurement even when the UE goes out of the area scope. </w:t>
      </w:r>
      <w:r w:rsidR="00750731">
        <w:t xml:space="preserve">To achieve this, </w:t>
      </w:r>
      <w:r w:rsidR="00277180">
        <w:t xml:space="preserve">the target gNB </w:t>
      </w:r>
      <w:r w:rsidR="00D50F9F">
        <w:t xml:space="preserve">RAN </w:t>
      </w:r>
      <w:r w:rsidR="00FE0C87">
        <w:t xml:space="preserve">needs to be </w:t>
      </w:r>
      <w:r w:rsidR="00D50F9F">
        <w:t xml:space="preserve">informed </w:t>
      </w:r>
      <w:r w:rsidR="00277180">
        <w:t xml:space="preserve">during a handover procedure </w:t>
      </w:r>
      <w:r w:rsidR="00D50F9F">
        <w:t>about the fact that the UE’s QoE session is ongoing.</w:t>
      </w:r>
      <w:r w:rsidR="00E81987">
        <w:t xml:space="preserve"> </w:t>
      </w:r>
      <w:r w:rsidR="00277180">
        <w:t>Therefore, we propose to agree on the following</w:t>
      </w:r>
      <w:r w:rsidR="00863BF2" w:rsidRPr="005F790C">
        <w:t>:</w:t>
      </w:r>
    </w:p>
    <w:p w14:paraId="50666A13" w14:textId="4D9CB9DB" w:rsidR="00863BF2" w:rsidRDefault="00863BF2" w:rsidP="003A782E">
      <w:pPr>
        <w:numPr>
          <w:ilvl w:val="0"/>
          <w:numId w:val="2"/>
        </w:numPr>
        <w:spacing w:after="0"/>
        <w:rPr>
          <w:b/>
        </w:rPr>
      </w:pPr>
      <w:r w:rsidRPr="00E81987">
        <w:rPr>
          <w:b/>
        </w:rPr>
        <w:t>The U</w:t>
      </w:r>
      <w:r w:rsidR="008C0A49">
        <w:rPr>
          <w:b/>
        </w:rPr>
        <w:t>E</w:t>
      </w:r>
      <w:r w:rsidRPr="00E81987">
        <w:rPr>
          <w:b/>
        </w:rPr>
        <w:t xml:space="preserve"> inform</w:t>
      </w:r>
      <w:r w:rsidR="008C0A49">
        <w:rPr>
          <w:b/>
        </w:rPr>
        <w:t>s</w:t>
      </w:r>
      <w:r w:rsidRPr="00E81987">
        <w:rPr>
          <w:b/>
        </w:rPr>
        <w:t xml:space="preserve"> the gNB when the QoE measurement session starts</w:t>
      </w:r>
      <w:r w:rsidR="00F047A7">
        <w:rPr>
          <w:b/>
        </w:rPr>
        <w:t xml:space="preserve"> or when the session ends</w:t>
      </w:r>
      <w:r w:rsidRPr="00E81987">
        <w:rPr>
          <w:b/>
        </w:rPr>
        <w:t>.</w:t>
      </w:r>
    </w:p>
    <w:p w14:paraId="040043A8" w14:textId="1FB00C3D" w:rsidR="00E81987" w:rsidRDefault="00750731" w:rsidP="003A782E">
      <w:pPr>
        <w:numPr>
          <w:ilvl w:val="0"/>
          <w:numId w:val="2"/>
        </w:numPr>
        <w:spacing w:after="0"/>
        <w:rPr>
          <w:b/>
        </w:rPr>
      </w:pPr>
      <w:r>
        <w:rPr>
          <w:b/>
        </w:rPr>
        <w:t xml:space="preserve">During a </w:t>
      </w:r>
      <w:r w:rsidR="000569E1">
        <w:rPr>
          <w:b/>
        </w:rPr>
        <w:t>handover, source gNB informs target gNB about the QoE measurement sessions which are ongoing at the UE.</w:t>
      </w:r>
    </w:p>
    <w:p w14:paraId="193034F6" w14:textId="71BE36D8" w:rsidR="008C0A49" w:rsidRDefault="008C0A49" w:rsidP="003A782E">
      <w:pPr>
        <w:numPr>
          <w:ilvl w:val="0"/>
          <w:numId w:val="2"/>
        </w:numPr>
        <w:rPr>
          <w:b/>
        </w:rPr>
      </w:pPr>
      <w:r>
        <w:rPr>
          <w:b/>
        </w:rPr>
        <w:t xml:space="preserve">In </w:t>
      </w:r>
      <w:r w:rsidR="00863BF2" w:rsidRPr="00E81987">
        <w:rPr>
          <w:b/>
        </w:rPr>
        <w:t>case the UE moves out of the measurement area during</w:t>
      </w:r>
      <w:r>
        <w:rPr>
          <w:b/>
        </w:rPr>
        <w:t xml:space="preserve"> a</w:t>
      </w:r>
      <w:r w:rsidR="00863BF2" w:rsidRPr="00E81987">
        <w:rPr>
          <w:b/>
        </w:rPr>
        <w:t xml:space="preserve"> handover, the target gNB </w:t>
      </w:r>
      <w:r w:rsidR="00796203">
        <w:rPr>
          <w:b/>
        </w:rPr>
        <w:t xml:space="preserve">may consider </w:t>
      </w:r>
      <w:r w:rsidR="00583A1C">
        <w:rPr>
          <w:b/>
        </w:rPr>
        <w:t xml:space="preserve">the information </w:t>
      </w:r>
      <w:r w:rsidR="00796203">
        <w:rPr>
          <w:b/>
        </w:rPr>
        <w:t xml:space="preserve">about </w:t>
      </w:r>
      <w:r w:rsidR="00863BF2" w:rsidRPr="00E81987">
        <w:rPr>
          <w:b/>
        </w:rPr>
        <w:t>QoE configuration</w:t>
      </w:r>
      <w:r w:rsidR="00796203">
        <w:rPr>
          <w:b/>
        </w:rPr>
        <w:t>s</w:t>
      </w:r>
      <w:r w:rsidR="00863BF2" w:rsidRPr="00E81987">
        <w:rPr>
          <w:b/>
        </w:rPr>
        <w:t xml:space="preserve"> of the UE</w:t>
      </w:r>
      <w:r w:rsidR="000569E1">
        <w:rPr>
          <w:b/>
        </w:rPr>
        <w:t xml:space="preserve"> </w:t>
      </w:r>
      <w:r w:rsidR="00796203">
        <w:rPr>
          <w:b/>
        </w:rPr>
        <w:t xml:space="preserve">for which </w:t>
      </w:r>
      <w:r w:rsidR="000569E1">
        <w:rPr>
          <w:b/>
        </w:rPr>
        <w:t>QoE measurement session</w:t>
      </w:r>
      <w:r w:rsidR="00796203">
        <w:rPr>
          <w:b/>
        </w:rPr>
        <w:t>s</w:t>
      </w:r>
      <w:r w:rsidR="000569E1">
        <w:rPr>
          <w:b/>
        </w:rPr>
        <w:t xml:space="preserve"> </w:t>
      </w:r>
      <w:r w:rsidR="00796203">
        <w:rPr>
          <w:b/>
        </w:rPr>
        <w:t>are</w:t>
      </w:r>
      <w:r w:rsidR="000569E1">
        <w:rPr>
          <w:b/>
        </w:rPr>
        <w:t xml:space="preserve"> ongoing</w:t>
      </w:r>
      <w:r>
        <w:rPr>
          <w:b/>
        </w:rPr>
        <w:t xml:space="preserve"> </w:t>
      </w:r>
      <w:r w:rsidR="00796203">
        <w:rPr>
          <w:b/>
        </w:rPr>
        <w:t xml:space="preserve">when making the decision about which QoE configurations to keep and which to release. </w:t>
      </w:r>
    </w:p>
    <w:p w14:paraId="696C8C4B" w14:textId="77777777" w:rsidR="00863BF2" w:rsidRDefault="00863BF2" w:rsidP="003A782E">
      <w:pPr>
        <w:numPr>
          <w:ilvl w:val="0"/>
          <w:numId w:val="2"/>
        </w:numPr>
        <w:rPr>
          <w:b/>
        </w:rPr>
      </w:pPr>
      <w:r w:rsidRPr="00E81987">
        <w:rPr>
          <w:b/>
        </w:rPr>
        <w:t>In case the UE is configured with a QoE configuration, the UE always assumes to be in the measurement area scope and is allowed to trigge</w:t>
      </w:r>
      <w:r w:rsidR="00AB733B">
        <w:rPr>
          <w:b/>
        </w:rPr>
        <w:t>r a</w:t>
      </w:r>
      <w:r w:rsidRPr="00E81987">
        <w:rPr>
          <w:b/>
        </w:rPr>
        <w:t xml:space="preserve"> measurement session</w:t>
      </w:r>
      <w:r w:rsidR="008C0A49">
        <w:rPr>
          <w:b/>
        </w:rPr>
        <w:t xml:space="preserve"> for this QoE configuration</w:t>
      </w:r>
      <w:r w:rsidRPr="00E81987">
        <w:rPr>
          <w:b/>
        </w:rPr>
        <w:t>.</w:t>
      </w:r>
    </w:p>
    <w:p w14:paraId="0A4AE8F5" w14:textId="5E8B39C2" w:rsidR="00B10C00" w:rsidRDefault="00B10C00" w:rsidP="00B10C00">
      <w:r w:rsidRPr="00B10C00">
        <w:t xml:space="preserve">Another aspect </w:t>
      </w:r>
      <w:r>
        <w:t xml:space="preserve">that was discussed during RAN2#115-e meeting was handling of QoE during handover with full configuration to a gNB supporting QoE. Such procedure would be required in case the target gNB supports QoE feature but is not able to comprehend another part of UE configuration. According to the current specifications, during full configuration, the UE </w:t>
      </w:r>
      <w:r w:rsidRPr="00B10C00">
        <w:t>clear</w:t>
      </w:r>
      <w:r>
        <w:t xml:space="preserve">s most of its </w:t>
      </w:r>
      <w:r w:rsidRPr="00B10C00">
        <w:t>dedicated radio configurations</w:t>
      </w:r>
      <w:r w:rsidR="00B934DC">
        <w:t>. Based on the offline discussion summary in [</w:t>
      </w:r>
      <w:r w:rsidR="00B406B8">
        <w:t>5</w:t>
      </w:r>
      <w:r w:rsidR="00B934DC">
        <w:t>], the following proposal was made:</w:t>
      </w:r>
    </w:p>
    <w:tbl>
      <w:tblPr>
        <w:tblStyle w:val="TableGrid"/>
        <w:tblW w:w="0" w:type="auto"/>
        <w:tblLook w:val="04A0" w:firstRow="1" w:lastRow="0" w:firstColumn="1" w:lastColumn="0" w:noHBand="0" w:noVBand="1"/>
      </w:tblPr>
      <w:tblGrid>
        <w:gridCol w:w="9628"/>
      </w:tblGrid>
      <w:tr w:rsidR="00B934DC" w14:paraId="4E75601E" w14:textId="77777777" w:rsidTr="00B934DC">
        <w:tc>
          <w:tcPr>
            <w:tcW w:w="9628" w:type="dxa"/>
          </w:tcPr>
          <w:p w14:paraId="678AAF56" w14:textId="07F52BA1" w:rsidR="00B934DC" w:rsidRDefault="00B934DC" w:rsidP="00B10C00">
            <w:r>
              <w:rPr>
                <w:b/>
              </w:rPr>
              <w:t>Proposal [046]-2: Upon FullConfig, the gNB can indicate to the UE the identifiers of QoE configurations which should be kept by the UE and the UE shall continue the QoE measurements for the indicated QoE configurations.</w:t>
            </w:r>
          </w:p>
        </w:tc>
      </w:tr>
    </w:tbl>
    <w:p w14:paraId="639772F6" w14:textId="7066D2BF" w:rsidR="00B934DC" w:rsidRDefault="00B934DC" w:rsidP="00B10C00">
      <w:r>
        <w:t>The reason behind the proposal was to avoid a situation where ongoing QoE measurements are released unnecessarily. I</w:t>
      </w:r>
      <w:r w:rsidR="00F13D4B">
        <w:t>n case</w:t>
      </w:r>
      <w:r>
        <w:t xml:space="preserve"> the UE would release </w:t>
      </w:r>
      <w:r w:rsidR="00F13D4B">
        <w:t xml:space="preserve">all </w:t>
      </w:r>
      <w:r>
        <w:t xml:space="preserve">QoE </w:t>
      </w:r>
      <w:r w:rsidR="00F13D4B">
        <w:t>configurations during Full Configuration</w:t>
      </w:r>
      <w:r>
        <w:t xml:space="preserve">, the target gNB would have to reconfigure them after the handover. However, this would lead to interrupting the measurement session </w:t>
      </w:r>
      <w:r w:rsidR="00F13D4B">
        <w:t xml:space="preserve">making the obtained results incomplete and most likely useless. It might also be impossible to </w:t>
      </w:r>
      <w:r>
        <w:t xml:space="preserve">restart </w:t>
      </w:r>
      <w:r w:rsidR="00F13D4B">
        <w:t xml:space="preserve">the session after the reconfiguration of QoE, </w:t>
      </w:r>
      <w:r>
        <w:t>e.g. in case the UE move</w:t>
      </w:r>
      <w:r w:rsidR="00F13D4B">
        <w:t>d</w:t>
      </w:r>
      <w:r>
        <w:t xml:space="preserve"> out of the area scope </w:t>
      </w:r>
      <w:r w:rsidR="00F13D4B">
        <w:t xml:space="preserve">or </w:t>
      </w:r>
      <w:r>
        <w:t xml:space="preserve">the triggering condition is </w:t>
      </w:r>
      <w:r w:rsidR="00F13D4B">
        <w:t xml:space="preserve">not </w:t>
      </w:r>
      <w:r>
        <w:t xml:space="preserve">met. Such behaviour would go against SA4 requirement and would make it harder to get useful measurements results. </w:t>
      </w:r>
      <w:r w:rsidR="006079FC">
        <w:t>The companies objecting to this proposal indicated on the other hand that full configuration is supposed to be clear all radio configurations of the UE and that exceptions for this principle should not be introduced. However, there is already an exception made for logged measurement configuration, which is not released during full configuration. The rationale is the same as in the case of QoE measurement configuration, i.e. to avoid loss of the measurements gathered by the UE already.</w:t>
      </w:r>
    </w:p>
    <w:p w14:paraId="4DAD9F78" w14:textId="5F7C10CB" w:rsidR="006553B3" w:rsidRDefault="006553B3" w:rsidP="00B10C00">
      <w:pPr>
        <w:rPr>
          <w:b/>
        </w:rPr>
      </w:pPr>
      <w:r>
        <w:rPr>
          <w:b/>
        </w:rPr>
        <w:t>Observation</w:t>
      </w:r>
      <w:r w:rsidR="006022D1">
        <w:rPr>
          <w:b/>
        </w:rPr>
        <w:t xml:space="preserve"> 2</w:t>
      </w:r>
      <w:r>
        <w:rPr>
          <w:b/>
        </w:rPr>
        <w:t xml:space="preserve">: Logged measurement configuration is not released by the UE during full configuration for </w:t>
      </w:r>
      <w:r w:rsidRPr="006553B3">
        <w:rPr>
          <w:b/>
        </w:rPr>
        <w:t xml:space="preserve">the same </w:t>
      </w:r>
      <w:r>
        <w:rPr>
          <w:b/>
        </w:rPr>
        <w:t xml:space="preserve">reason for which a similar proposal was made </w:t>
      </w:r>
      <w:r w:rsidRPr="006553B3">
        <w:rPr>
          <w:b/>
        </w:rPr>
        <w:t>in the case of QoE measurement configuration, i.e. to avoid loss of the measurements gathered by the UE already</w:t>
      </w:r>
      <w:r>
        <w:rPr>
          <w:b/>
        </w:rPr>
        <w:t>.</w:t>
      </w:r>
    </w:p>
    <w:p w14:paraId="535C69FF" w14:textId="3339DD20" w:rsidR="00A74459" w:rsidRDefault="006022D1" w:rsidP="00B10C00">
      <w:r>
        <w:t xml:space="preserve">For this reason, we see no real issue with the proposal that was discussed during the last meeting. What is more, it allows to improve the completeness and usefulness of QoE measurements as well as reduce the signalling overhead during a handover with full configuration. On </w:t>
      </w:r>
      <w:r w:rsidR="00F44286">
        <w:t>this basis</w:t>
      </w:r>
      <w:r>
        <w:t>, we propose that RAN2</w:t>
      </w:r>
      <w:r w:rsidR="00F44286">
        <w:t xml:space="preserve"> agrees the proposal, as discussed during the previous meeting, i.e.:</w:t>
      </w:r>
    </w:p>
    <w:p w14:paraId="2D33A9AD" w14:textId="1FF5CA37" w:rsidR="00F44286" w:rsidRDefault="00F44286" w:rsidP="003A782E">
      <w:pPr>
        <w:numPr>
          <w:ilvl w:val="0"/>
          <w:numId w:val="2"/>
        </w:numPr>
        <w:rPr>
          <w:b/>
        </w:rPr>
      </w:pPr>
      <w:r>
        <w:rPr>
          <w:b/>
        </w:rPr>
        <w:t>Upon FullConfig, the gNB supporting QoE can indicate to the UE the identifiers of QoE configurations which should be kept by the UE and the UE shall continue the QoE measurements for the indicated QoE configurations.</w:t>
      </w:r>
    </w:p>
    <w:p w14:paraId="4DE4E7B8" w14:textId="1477757C" w:rsidR="00F44286" w:rsidRDefault="008E2D5D" w:rsidP="00B10C00">
      <w:r>
        <w:t xml:space="preserve">If that is still found problematic, there could be an alternative solution to this issue where the RRC configuration </w:t>
      </w:r>
      <w:r w:rsidR="00BF0632">
        <w:t xml:space="preserve">of QoE </w:t>
      </w:r>
      <w:r>
        <w:t>is indeed released from the UE during full configuration, but the release is not indicated from AS layer to the application layer immediately. This would allow to remove the QoE radio configuration, as done for most of the radio configurations during full configuration, but at the same time would allow application layer to continue the measurements. During the RRC reconfiguration which the UE applies after full configuration procedure, the UE would have to be reconfigured with the QoE configurations, so that there is no misalignment between its QoE radio configuration and application layer QoE configuration.</w:t>
      </w:r>
    </w:p>
    <w:p w14:paraId="646A8EB0" w14:textId="6BCA3BE8" w:rsidR="006A5AA5" w:rsidRPr="00CD17A1" w:rsidRDefault="00BF0632" w:rsidP="003A782E">
      <w:pPr>
        <w:numPr>
          <w:ilvl w:val="0"/>
          <w:numId w:val="2"/>
        </w:numPr>
        <w:rPr>
          <w:b/>
        </w:rPr>
      </w:pPr>
      <w:r>
        <w:rPr>
          <w:b/>
        </w:rPr>
        <w:t xml:space="preserve">If Proposal 5 is found unacceptable, RAN2 should consider an approach where </w:t>
      </w:r>
      <w:r w:rsidRPr="00BF0632">
        <w:rPr>
          <w:b/>
        </w:rPr>
        <w:t xml:space="preserve">the </w:t>
      </w:r>
      <w:r>
        <w:rPr>
          <w:b/>
        </w:rPr>
        <w:t xml:space="preserve">RRC configuration of QoE is </w:t>
      </w:r>
      <w:r w:rsidRPr="00BF0632">
        <w:rPr>
          <w:b/>
        </w:rPr>
        <w:t>released from the UE during full configuration, but the release is not indicated from AS layer to the application layer immediately</w:t>
      </w:r>
      <w:r w:rsidR="00BF351E">
        <w:rPr>
          <w:b/>
        </w:rPr>
        <w:t xml:space="preserve">, allowing application layer to continue </w:t>
      </w:r>
      <w:r w:rsidR="0051591E">
        <w:rPr>
          <w:b/>
        </w:rPr>
        <w:t xml:space="preserve">ongoing </w:t>
      </w:r>
      <w:r w:rsidR="00BF351E">
        <w:rPr>
          <w:b/>
        </w:rPr>
        <w:t>QoE measurements</w:t>
      </w:r>
      <w:r>
        <w:rPr>
          <w:b/>
        </w:rPr>
        <w:t>.</w:t>
      </w:r>
    </w:p>
    <w:p w14:paraId="66F0E1AF" w14:textId="4E5FA7DE" w:rsidR="00273AF1" w:rsidRDefault="00B9439E" w:rsidP="00B9439E">
      <w:pPr>
        <w:pStyle w:val="Heading3"/>
      </w:pPr>
      <w:r>
        <w:t>3</w:t>
      </w:r>
      <w:r w:rsidR="00273AF1" w:rsidRPr="00A304A0">
        <w:tab/>
      </w:r>
      <w:r w:rsidR="00273AF1" w:rsidRPr="005107B6">
        <w:t>Mobility in RRC INACTIVE</w:t>
      </w:r>
    </w:p>
    <w:p w14:paraId="0729886E" w14:textId="77777777" w:rsidR="00CD17A1" w:rsidRDefault="00CD17A1" w:rsidP="00491EB1">
      <w:pPr>
        <w:overflowPunct/>
        <w:autoSpaceDE/>
        <w:autoSpaceDN/>
        <w:adjustRightInd/>
        <w:spacing w:after="0"/>
        <w:textAlignment w:val="auto"/>
        <w:rPr>
          <w:rFonts w:eastAsia="宋体"/>
          <w:lang w:eastAsia="zh-CN"/>
        </w:rPr>
      </w:pPr>
      <w:r>
        <w:rPr>
          <w:rFonts w:eastAsia="宋体"/>
          <w:lang w:eastAsia="zh-CN"/>
        </w:rPr>
        <w:t>With respect to UE mobility in RRC INACTIVE state, RAN2 made the following agreements thus far:</w:t>
      </w:r>
    </w:p>
    <w:tbl>
      <w:tblPr>
        <w:tblStyle w:val="TableGrid"/>
        <w:tblW w:w="0" w:type="auto"/>
        <w:tblLook w:val="04A0" w:firstRow="1" w:lastRow="0" w:firstColumn="1" w:lastColumn="0" w:noHBand="0" w:noVBand="1"/>
      </w:tblPr>
      <w:tblGrid>
        <w:gridCol w:w="9628"/>
      </w:tblGrid>
      <w:tr w:rsidR="00CD17A1" w14:paraId="4C7CCCB1" w14:textId="77777777" w:rsidTr="00CD17A1">
        <w:tc>
          <w:tcPr>
            <w:tcW w:w="9628" w:type="dxa"/>
          </w:tcPr>
          <w:p w14:paraId="5C53DF54" w14:textId="77777777" w:rsidR="004A6A8E" w:rsidRPr="00CD17A1" w:rsidRDefault="003A782E" w:rsidP="00CD17A1">
            <w:pPr>
              <w:pStyle w:val="Agreement"/>
            </w:pPr>
            <w:r w:rsidRPr="00CD17A1">
              <w:t>The UE Inactive AS context includes the UE AS configuration for the QoE (it is not released when UE goes to Inactive).</w:t>
            </w:r>
          </w:p>
          <w:p w14:paraId="6747E72E" w14:textId="7881F06A" w:rsidR="00CD17A1" w:rsidRPr="00CD17A1" w:rsidRDefault="003A782E" w:rsidP="00491EB1">
            <w:pPr>
              <w:pStyle w:val="Agreement"/>
            </w:pPr>
            <w:r w:rsidRPr="00CD17A1">
              <w:t>When the UE resumes the connection in a gNB supporting QoE, the target gNB should explicitly indicate which QoE measurement configurations should be kept by the UE during RRC resume procedure, e.g. in RRCResume message. The UE shall release all QoE measurement configurations not indicated by the gNB for restoration. FFS how the indication looks like, e.g. granularity per QoE configuration or common for all QoE configurations</w:t>
            </w:r>
          </w:p>
        </w:tc>
      </w:tr>
    </w:tbl>
    <w:p w14:paraId="0DAC5339" w14:textId="77777777" w:rsidR="00CD17A1" w:rsidRDefault="00CD17A1" w:rsidP="00491EB1">
      <w:pPr>
        <w:overflowPunct/>
        <w:autoSpaceDE/>
        <w:autoSpaceDN/>
        <w:adjustRightInd/>
        <w:spacing w:after="0"/>
        <w:textAlignment w:val="auto"/>
        <w:rPr>
          <w:rFonts w:eastAsia="宋体"/>
          <w:lang w:eastAsia="zh-CN"/>
        </w:rPr>
      </w:pPr>
    </w:p>
    <w:p w14:paraId="1B243C57" w14:textId="06891DD6" w:rsidR="000D2683" w:rsidRDefault="000D2683" w:rsidP="00491EB1">
      <w:pPr>
        <w:overflowPunct/>
        <w:autoSpaceDE/>
        <w:autoSpaceDN/>
        <w:adjustRightInd/>
        <w:textAlignment w:val="auto"/>
        <w:rPr>
          <w:bCs/>
          <w:szCs w:val="18"/>
          <w:lang w:val="pl-PL"/>
        </w:rPr>
      </w:pPr>
      <w:r>
        <w:rPr>
          <w:bCs/>
          <w:szCs w:val="18"/>
        </w:rPr>
        <w:t>Hence, w</w:t>
      </w:r>
      <w:r w:rsidR="00273AF1">
        <w:rPr>
          <w:bCs/>
          <w:szCs w:val="18"/>
        </w:rPr>
        <w:t>hen the connection is resumed in a</w:t>
      </w:r>
      <w:r>
        <w:rPr>
          <w:bCs/>
          <w:szCs w:val="18"/>
        </w:rPr>
        <w:t xml:space="preserve"> </w:t>
      </w:r>
      <w:r w:rsidR="00273AF1">
        <w:rPr>
          <w:bCs/>
          <w:szCs w:val="18"/>
        </w:rPr>
        <w:t>n</w:t>
      </w:r>
      <w:r>
        <w:rPr>
          <w:bCs/>
          <w:szCs w:val="18"/>
        </w:rPr>
        <w:t>ew</w:t>
      </w:r>
      <w:r w:rsidR="00273AF1">
        <w:rPr>
          <w:bCs/>
          <w:szCs w:val="18"/>
        </w:rPr>
        <w:t xml:space="preserve"> gNB</w:t>
      </w:r>
      <w:r w:rsidR="002925F8">
        <w:rPr>
          <w:bCs/>
          <w:szCs w:val="18"/>
        </w:rPr>
        <w:t xml:space="preserve"> </w:t>
      </w:r>
      <w:r>
        <w:rPr>
          <w:bCs/>
          <w:szCs w:val="18"/>
        </w:rPr>
        <w:t>which supports</w:t>
      </w:r>
      <w:r w:rsidR="002925F8">
        <w:rPr>
          <w:bCs/>
          <w:szCs w:val="18"/>
        </w:rPr>
        <w:t xml:space="preserve"> QoE feature</w:t>
      </w:r>
      <w:r w:rsidR="00273AF1">
        <w:rPr>
          <w:bCs/>
          <w:szCs w:val="18"/>
        </w:rPr>
        <w:t xml:space="preserve">, </w:t>
      </w:r>
      <w:r w:rsidR="002925F8">
        <w:rPr>
          <w:bCs/>
          <w:szCs w:val="18"/>
        </w:rPr>
        <w:t>the gNB</w:t>
      </w:r>
      <w:r w:rsidR="00273AF1">
        <w:rPr>
          <w:bCs/>
          <w:szCs w:val="18"/>
        </w:rPr>
        <w:t xml:space="preserve"> will find out whether the UE is configured with QoE measurements based on the context it fetches from the anchor node. However, the new gNB may want to release the QoE measurement configuration, e.g. due to RAN overload</w:t>
      </w:r>
      <w:r w:rsidR="002925F8">
        <w:rPr>
          <w:bCs/>
          <w:szCs w:val="18"/>
        </w:rPr>
        <w:t xml:space="preserve"> or because it does not belong to the QoE area of a specific QoE configuration</w:t>
      </w:r>
      <w:r w:rsidR="00273AF1">
        <w:rPr>
          <w:bCs/>
          <w:szCs w:val="18"/>
        </w:rPr>
        <w:t xml:space="preserve">. It should be then possible for the new gNB to </w:t>
      </w:r>
      <w:r w:rsidR="00273AF1" w:rsidRPr="00B91F48">
        <w:rPr>
          <w:bCs/>
          <w:szCs w:val="18"/>
        </w:rPr>
        <w:t xml:space="preserve">decide whether to restore </w:t>
      </w:r>
      <w:r w:rsidR="00273AF1">
        <w:rPr>
          <w:bCs/>
          <w:szCs w:val="18"/>
        </w:rPr>
        <w:t xml:space="preserve">or release </w:t>
      </w:r>
      <w:r w:rsidR="002925F8">
        <w:rPr>
          <w:bCs/>
          <w:szCs w:val="18"/>
        </w:rPr>
        <w:t xml:space="preserve">each of </w:t>
      </w:r>
      <w:r w:rsidR="00273AF1" w:rsidRPr="00B91F48">
        <w:rPr>
          <w:bCs/>
          <w:szCs w:val="18"/>
        </w:rPr>
        <w:t>the QoE measurement configuration</w:t>
      </w:r>
      <w:r w:rsidR="002925F8">
        <w:rPr>
          <w:bCs/>
          <w:szCs w:val="18"/>
        </w:rPr>
        <w:t>s</w:t>
      </w:r>
      <w:r w:rsidR="00273AF1" w:rsidRPr="00B91F48">
        <w:rPr>
          <w:bCs/>
          <w:szCs w:val="18"/>
        </w:rPr>
        <w:t xml:space="preserve"> </w:t>
      </w:r>
      <w:r w:rsidR="00273AF1">
        <w:rPr>
          <w:bCs/>
          <w:szCs w:val="18"/>
        </w:rPr>
        <w:t xml:space="preserve">during </w:t>
      </w:r>
      <w:r w:rsidR="00273AF1" w:rsidRPr="00B91F48">
        <w:rPr>
          <w:bCs/>
          <w:szCs w:val="18"/>
        </w:rPr>
        <w:t>RRC resume</w:t>
      </w:r>
      <w:r w:rsidR="00273AF1">
        <w:rPr>
          <w:bCs/>
          <w:szCs w:val="18"/>
        </w:rPr>
        <w:t xml:space="preserve"> procedure</w:t>
      </w:r>
      <w:r w:rsidR="00273AF1" w:rsidRPr="00B91F48">
        <w:rPr>
          <w:bCs/>
          <w:szCs w:val="18"/>
        </w:rPr>
        <w:t>.</w:t>
      </w:r>
      <w:r w:rsidR="00273AF1">
        <w:rPr>
          <w:bCs/>
          <w:szCs w:val="18"/>
        </w:rPr>
        <w:t xml:space="preserve"> </w:t>
      </w:r>
      <w:r>
        <w:rPr>
          <w:bCs/>
          <w:szCs w:val="18"/>
        </w:rPr>
        <w:t xml:space="preserve">A simple 1-bit indication is not sufficient in this case as it would </w:t>
      </w:r>
      <w:r w:rsidRPr="000D2683">
        <w:rPr>
          <w:bCs/>
          <w:szCs w:val="18"/>
          <w:lang w:val="pl-PL"/>
        </w:rPr>
        <w:t>require the gNB to release all QoE config</w:t>
      </w:r>
      <w:r>
        <w:rPr>
          <w:bCs/>
          <w:szCs w:val="18"/>
          <w:lang w:val="pl-PL"/>
        </w:rPr>
        <w:t>uration</w:t>
      </w:r>
      <w:r w:rsidRPr="000D2683">
        <w:rPr>
          <w:bCs/>
          <w:szCs w:val="18"/>
          <w:lang w:val="pl-PL"/>
        </w:rPr>
        <w:t xml:space="preserve">s even in case only one or a subset </w:t>
      </w:r>
      <w:r>
        <w:rPr>
          <w:bCs/>
          <w:szCs w:val="18"/>
          <w:lang w:val="pl-PL"/>
        </w:rPr>
        <w:t xml:space="preserve">of them were </w:t>
      </w:r>
      <w:r w:rsidRPr="000D2683">
        <w:rPr>
          <w:bCs/>
          <w:szCs w:val="18"/>
          <w:lang w:val="pl-PL"/>
        </w:rPr>
        <w:t xml:space="preserve">irrelevant, e.g. due to being out of area scope. </w:t>
      </w:r>
      <w:r>
        <w:rPr>
          <w:bCs/>
          <w:szCs w:val="18"/>
          <w:lang w:val="pl-PL"/>
        </w:rPr>
        <w:t>Subsequently, the unnecessarily released configuraitons would have to be provided to the UE again, which gores against the main goal of UE keeping the configurations when moving to RRC INACTIVE, i.e. to save the overhead. Therefore</w:t>
      </w:r>
      <w:r w:rsidRPr="000D2683">
        <w:rPr>
          <w:bCs/>
          <w:szCs w:val="18"/>
          <w:lang w:val="pl-PL"/>
        </w:rPr>
        <w:t xml:space="preserve">, </w:t>
      </w:r>
      <w:r>
        <w:rPr>
          <w:bCs/>
          <w:szCs w:val="18"/>
          <w:lang w:val="pl-PL"/>
        </w:rPr>
        <w:t xml:space="preserve">we believe that the gNB should be able to indicate the QoE configuraitons for restoration with a </w:t>
      </w:r>
      <w:r w:rsidRPr="000D2683">
        <w:rPr>
          <w:bCs/>
          <w:szCs w:val="18"/>
          <w:lang w:val="pl-PL"/>
        </w:rPr>
        <w:t>per QoE config</w:t>
      </w:r>
      <w:r>
        <w:rPr>
          <w:bCs/>
          <w:szCs w:val="18"/>
          <w:lang w:val="pl-PL"/>
        </w:rPr>
        <w:t xml:space="preserve">uration granularity. </w:t>
      </w:r>
    </w:p>
    <w:p w14:paraId="2478A2F3" w14:textId="77777777" w:rsidR="00273AF1" w:rsidRPr="002925F8" w:rsidRDefault="00273AF1" w:rsidP="003A782E">
      <w:pPr>
        <w:numPr>
          <w:ilvl w:val="0"/>
          <w:numId w:val="2"/>
        </w:numPr>
        <w:rPr>
          <w:b/>
        </w:rPr>
      </w:pPr>
      <w:r w:rsidRPr="00273AF1">
        <w:rPr>
          <w:b/>
          <w:bCs/>
          <w:szCs w:val="18"/>
        </w:rPr>
        <w:t>The target</w:t>
      </w:r>
      <w:r w:rsidRPr="005E3B0A">
        <w:rPr>
          <w:b/>
        </w:rPr>
        <w:t xml:space="preserve"> </w:t>
      </w:r>
      <w:r w:rsidR="002925F8">
        <w:rPr>
          <w:b/>
        </w:rPr>
        <w:t>gNB</w:t>
      </w:r>
      <w:r w:rsidRPr="005E3B0A">
        <w:rPr>
          <w:b/>
        </w:rPr>
        <w:t xml:space="preserve"> </w:t>
      </w:r>
      <w:r w:rsidR="0083469D">
        <w:rPr>
          <w:b/>
        </w:rPr>
        <w:t>should explicitly indicate which</w:t>
      </w:r>
      <w:r>
        <w:rPr>
          <w:b/>
        </w:rPr>
        <w:t xml:space="preserve"> </w:t>
      </w:r>
      <w:r w:rsidRPr="005E3B0A">
        <w:rPr>
          <w:b/>
        </w:rPr>
        <w:t>QoE measurement configuration</w:t>
      </w:r>
      <w:r w:rsidR="002925F8">
        <w:rPr>
          <w:b/>
        </w:rPr>
        <w:t>s</w:t>
      </w:r>
      <w:r w:rsidRPr="005E3B0A">
        <w:rPr>
          <w:b/>
        </w:rPr>
        <w:t xml:space="preserve"> </w:t>
      </w:r>
      <w:r w:rsidR="0083469D">
        <w:rPr>
          <w:b/>
        </w:rPr>
        <w:t xml:space="preserve">should be kept by the UE </w:t>
      </w:r>
      <w:r>
        <w:rPr>
          <w:b/>
        </w:rPr>
        <w:t xml:space="preserve">during </w:t>
      </w:r>
      <w:r w:rsidRPr="005E3B0A">
        <w:rPr>
          <w:b/>
        </w:rPr>
        <w:t>RRC resume</w:t>
      </w:r>
      <w:r>
        <w:rPr>
          <w:b/>
        </w:rPr>
        <w:t xml:space="preserve"> procedure</w:t>
      </w:r>
      <w:r w:rsidR="00C325D0">
        <w:rPr>
          <w:rFonts w:eastAsia="宋体"/>
          <w:b/>
          <w:lang w:val="en-US" w:eastAsia="zh-CN"/>
        </w:rPr>
        <w:t>, e.g. in RRCResume message.</w:t>
      </w:r>
    </w:p>
    <w:p w14:paraId="4310125A" w14:textId="046007EC" w:rsidR="002925F8" w:rsidRDefault="002925F8" w:rsidP="002925F8">
      <w:r w:rsidRPr="002925F8">
        <w:t xml:space="preserve">It should be noted that </w:t>
      </w:r>
      <w:r>
        <w:t>such indication can only be sent by the gNB supporting QoE feature. gNB not supporting QoE</w:t>
      </w:r>
      <w:r w:rsidR="00491EB1">
        <w:t xml:space="preserve"> will not be able to send this</w:t>
      </w:r>
      <w:r>
        <w:t xml:space="preserve"> indication. In such situation, the UE should release all of its QoE configurations</w:t>
      </w:r>
      <w:r w:rsidR="0083469D">
        <w:t>. It is then worth clarifying that:</w:t>
      </w:r>
    </w:p>
    <w:p w14:paraId="5A9CEAE0" w14:textId="77777777" w:rsidR="0083469D" w:rsidRPr="002925F8" w:rsidRDefault="0083469D" w:rsidP="003A782E">
      <w:pPr>
        <w:numPr>
          <w:ilvl w:val="0"/>
          <w:numId w:val="2"/>
        </w:numPr>
      </w:pPr>
      <w:r>
        <w:rPr>
          <w:b/>
        </w:rPr>
        <w:t xml:space="preserve">When moving from RRC INACTIVE to RRC CONNECTED state, the UE shall release all QoE measurement configurations not indicated by the gNB for restoration. </w:t>
      </w:r>
    </w:p>
    <w:p w14:paraId="50EB6798" w14:textId="14324CA7" w:rsidR="00E05C2E" w:rsidRDefault="00B9439E" w:rsidP="00E05C2E">
      <w:pPr>
        <w:pStyle w:val="Heading3"/>
      </w:pPr>
      <w:r>
        <w:t>4</w:t>
      </w:r>
      <w:r w:rsidR="00E05C2E" w:rsidRPr="00A304A0">
        <w:tab/>
      </w:r>
      <w:r w:rsidR="00E05C2E">
        <w:t>Conclusions</w:t>
      </w:r>
    </w:p>
    <w:p w14:paraId="71F21259" w14:textId="4A8132BE" w:rsidR="000569E1" w:rsidRDefault="000569E1" w:rsidP="003A0CBE">
      <w:pPr>
        <w:spacing w:after="0"/>
      </w:pPr>
      <w:r>
        <w:t>Based on the discussion in this contributio</w:t>
      </w:r>
      <w:r w:rsidR="00866AC6">
        <w:t>n, the following is</w:t>
      </w:r>
      <w:r w:rsidR="003A0CBE">
        <w:t xml:space="preserve"> observed and</w:t>
      </w:r>
      <w:r>
        <w:t xml:space="preserve"> proposed:</w:t>
      </w:r>
    </w:p>
    <w:p w14:paraId="60754538" w14:textId="77777777" w:rsidR="003A0CBE" w:rsidRDefault="003A0CBE" w:rsidP="003A0CBE">
      <w:pPr>
        <w:pStyle w:val="ListParagraph"/>
        <w:ind w:firstLineChars="0" w:firstLine="0"/>
        <w:contextualSpacing/>
        <w:rPr>
          <w:b/>
        </w:rPr>
      </w:pPr>
      <w:r>
        <w:rPr>
          <w:b/>
        </w:rPr>
        <w:t>Observation 1: According to SA4 requirements, the evaluation of area scope of QoE measurement shall only be done when the session starts.</w:t>
      </w:r>
    </w:p>
    <w:p w14:paraId="42DA4476" w14:textId="77777777" w:rsidR="003A0CBE" w:rsidRDefault="003A0CBE" w:rsidP="003A0CBE">
      <w:pPr>
        <w:rPr>
          <w:b/>
        </w:rPr>
      </w:pPr>
      <w:r>
        <w:rPr>
          <w:b/>
        </w:rPr>
        <w:t xml:space="preserve">Observation 2: Logged measurement configuration is not released by the UE during full configuration for </w:t>
      </w:r>
      <w:r w:rsidRPr="006553B3">
        <w:rPr>
          <w:b/>
        </w:rPr>
        <w:t xml:space="preserve">the same </w:t>
      </w:r>
      <w:r>
        <w:rPr>
          <w:b/>
        </w:rPr>
        <w:t xml:space="preserve">reason for which a similar proposal was made </w:t>
      </w:r>
      <w:r w:rsidRPr="006553B3">
        <w:rPr>
          <w:b/>
        </w:rPr>
        <w:t>in the case of QoE measurement configuration, i.e. to avoid loss of the measurements gathered by the UE already</w:t>
      </w:r>
      <w:r>
        <w:rPr>
          <w:b/>
        </w:rPr>
        <w:t>.</w:t>
      </w:r>
    </w:p>
    <w:p w14:paraId="0DED71F4" w14:textId="77777777" w:rsidR="003A0CBE" w:rsidRDefault="003A0CBE" w:rsidP="003A782E">
      <w:pPr>
        <w:numPr>
          <w:ilvl w:val="0"/>
          <w:numId w:val="5"/>
        </w:numPr>
        <w:spacing w:after="0"/>
        <w:rPr>
          <w:b/>
        </w:rPr>
      </w:pPr>
      <w:r w:rsidRPr="00E81987">
        <w:rPr>
          <w:b/>
        </w:rPr>
        <w:t>The U</w:t>
      </w:r>
      <w:r>
        <w:rPr>
          <w:b/>
        </w:rPr>
        <w:t>E</w:t>
      </w:r>
      <w:r w:rsidRPr="00E81987">
        <w:rPr>
          <w:b/>
        </w:rPr>
        <w:t xml:space="preserve"> inform</w:t>
      </w:r>
      <w:r>
        <w:rPr>
          <w:b/>
        </w:rPr>
        <w:t>s</w:t>
      </w:r>
      <w:r w:rsidRPr="00E81987">
        <w:rPr>
          <w:b/>
        </w:rPr>
        <w:t xml:space="preserve"> the gNB when the QoE measurement session starts</w:t>
      </w:r>
      <w:r>
        <w:rPr>
          <w:b/>
        </w:rPr>
        <w:t xml:space="preserve"> or when the session ends</w:t>
      </w:r>
      <w:r w:rsidRPr="00E81987">
        <w:rPr>
          <w:b/>
        </w:rPr>
        <w:t>.</w:t>
      </w:r>
    </w:p>
    <w:p w14:paraId="693953BD" w14:textId="77777777" w:rsidR="003A0CBE" w:rsidRDefault="003A0CBE" w:rsidP="003A782E">
      <w:pPr>
        <w:numPr>
          <w:ilvl w:val="0"/>
          <w:numId w:val="5"/>
        </w:numPr>
        <w:spacing w:after="0"/>
        <w:rPr>
          <w:b/>
        </w:rPr>
      </w:pPr>
      <w:r>
        <w:rPr>
          <w:b/>
        </w:rPr>
        <w:t>During a handover, source gNB informs target gNB about the QoE measurement sessions which are ongoing at the UE.</w:t>
      </w:r>
    </w:p>
    <w:p w14:paraId="574E590B" w14:textId="77777777" w:rsidR="003A0CBE" w:rsidRDefault="003A0CBE" w:rsidP="003A782E">
      <w:pPr>
        <w:numPr>
          <w:ilvl w:val="0"/>
          <w:numId w:val="5"/>
        </w:numPr>
        <w:rPr>
          <w:b/>
        </w:rPr>
      </w:pPr>
      <w:r>
        <w:rPr>
          <w:b/>
        </w:rPr>
        <w:t xml:space="preserve">In </w:t>
      </w:r>
      <w:r w:rsidRPr="00E81987">
        <w:rPr>
          <w:b/>
        </w:rPr>
        <w:t>case the UE moves out of the measurement area during</w:t>
      </w:r>
      <w:r>
        <w:rPr>
          <w:b/>
        </w:rPr>
        <w:t xml:space="preserve"> a</w:t>
      </w:r>
      <w:r w:rsidRPr="00E81987">
        <w:rPr>
          <w:b/>
        </w:rPr>
        <w:t xml:space="preserve"> handover, the target gNB </w:t>
      </w:r>
      <w:r>
        <w:rPr>
          <w:b/>
        </w:rPr>
        <w:t xml:space="preserve">may consider the information about </w:t>
      </w:r>
      <w:r w:rsidRPr="00E81987">
        <w:rPr>
          <w:b/>
        </w:rPr>
        <w:t>QoE configuration</w:t>
      </w:r>
      <w:r>
        <w:rPr>
          <w:b/>
        </w:rPr>
        <w:t>s</w:t>
      </w:r>
      <w:r w:rsidRPr="00E81987">
        <w:rPr>
          <w:b/>
        </w:rPr>
        <w:t xml:space="preserve"> of the UE</w:t>
      </w:r>
      <w:r>
        <w:rPr>
          <w:b/>
        </w:rPr>
        <w:t xml:space="preserve"> for which QoE measurement sessions are ongoing when making the decision about which QoE configurations to keep and which to release. </w:t>
      </w:r>
    </w:p>
    <w:p w14:paraId="73BADD99" w14:textId="77777777" w:rsidR="003A0CBE" w:rsidRDefault="003A0CBE" w:rsidP="003A782E">
      <w:pPr>
        <w:numPr>
          <w:ilvl w:val="0"/>
          <w:numId w:val="5"/>
        </w:numPr>
        <w:rPr>
          <w:b/>
        </w:rPr>
      </w:pPr>
      <w:r w:rsidRPr="00E81987">
        <w:rPr>
          <w:b/>
        </w:rPr>
        <w:t>In case the UE is configured with a QoE configuration, the UE always assumes to be in the measurement area scope and is allowed to trigge</w:t>
      </w:r>
      <w:r>
        <w:rPr>
          <w:b/>
        </w:rPr>
        <w:t>r a</w:t>
      </w:r>
      <w:r w:rsidRPr="00E81987">
        <w:rPr>
          <w:b/>
        </w:rPr>
        <w:t xml:space="preserve"> measurement session</w:t>
      </w:r>
      <w:r>
        <w:rPr>
          <w:b/>
        </w:rPr>
        <w:t xml:space="preserve"> for this QoE configuration</w:t>
      </w:r>
      <w:r w:rsidRPr="00E81987">
        <w:rPr>
          <w:b/>
        </w:rPr>
        <w:t>.</w:t>
      </w:r>
    </w:p>
    <w:p w14:paraId="02800C2F" w14:textId="77777777" w:rsidR="003A0CBE" w:rsidRDefault="003A0CBE" w:rsidP="003A782E">
      <w:pPr>
        <w:numPr>
          <w:ilvl w:val="0"/>
          <w:numId w:val="5"/>
        </w:numPr>
        <w:rPr>
          <w:b/>
        </w:rPr>
      </w:pPr>
      <w:r>
        <w:rPr>
          <w:b/>
        </w:rPr>
        <w:t>Upon FullConfig, the gNB supporting QoE can indicate to the UE the identifiers of QoE configurations which should be kept by the UE and the UE shall continue the QoE measurements for the indicated QoE configurations.</w:t>
      </w:r>
    </w:p>
    <w:p w14:paraId="05601B61" w14:textId="77777777" w:rsidR="003A0CBE" w:rsidRPr="00CD17A1" w:rsidRDefault="003A0CBE" w:rsidP="003A782E">
      <w:pPr>
        <w:numPr>
          <w:ilvl w:val="0"/>
          <w:numId w:val="5"/>
        </w:numPr>
        <w:rPr>
          <w:b/>
        </w:rPr>
      </w:pPr>
      <w:r>
        <w:rPr>
          <w:b/>
        </w:rPr>
        <w:t xml:space="preserve">If Proposal 5 is found unacceptable, RAN2 should consider an approach where </w:t>
      </w:r>
      <w:r w:rsidRPr="00BF0632">
        <w:rPr>
          <w:b/>
        </w:rPr>
        <w:t xml:space="preserve">the </w:t>
      </w:r>
      <w:r>
        <w:rPr>
          <w:b/>
        </w:rPr>
        <w:t xml:space="preserve">RRC configuration of QoE is </w:t>
      </w:r>
      <w:r w:rsidRPr="00BF0632">
        <w:rPr>
          <w:b/>
        </w:rPr>
        <w:t>released from the UE during full configuration, but the release is not indicated from AS layer to the application layer immediately</w:t>
      </w:r>
      <w:r>
        <w:rPr>
          <w:b/>
        </w:rPr>
        <w:t>, allowing application layer to continue ongoing QoE measurements.</w:t>
      </w:r>
    </w:p>
    <w:p w14:paraId="53070379" w14:textId="77777777" w:rsidR="003A0CBE" w:rsidRPr="002925F8" w:rsidRDefault="003A0CBE" w:rsidP="003A782E">
      <w:pPr>
        <w:numPr>
          <w:ilvl w:val="0"/>
          <w:numId w:val="5"/>
        </w:numPr>
        <w:rPr>
          <w:b/>
        </w:rPr>
      </w:pPr>
      <w:r w:rsidRPr="00273AF1">
        <w:rPr>
          <w:b/>
          <w:bCs/>
          <w:szCs w:val="18"/>
        </w:rPr>
        <w:t>The target</w:t>
      </w:r>
      <w:r w:rsidRPr="005E3B0A">
        <w:rPr>
          <w:b/>
        </w:rPr>
        <w:t xml:space="preserve"> </w:t>
      </w:r>
      <w:r>
        <w:rPr>
          <w:b/>
        </w:rPr>
        <w:t>gNB</w:t>
      </w:r>
      <w:r w:rsidRPr="005E3B0A">
        <w:rPr>
          <w:b/>
        </w:rPr>
        <w:t xml:space="preserve"> </w:t>
      </w:r>
      <w:r>
        <w:rPr>
          <w:b/>
        </w:rPr>
        <w:t xml:space="preserve">should explicitly indicate which </w:t>
      </w:r>
      <w:r w:rsidRPr="005E3B0A">
        <w:rPr>
          <w:b/>
        </w:rPr>
        <w:t>QoE measurement configuration</w:t>
      </w:r>
      <w:r>
        <w:rPr>
          <w:b/>
        </w:rPr>
        <w:t>s</w:t>
      </w:r>
      <w:r w:rsidRPr="005E3B0A">
        <w:rPr>
          <w:b/>
        </w:rPr>
        <w:t xml:space="preserve"> </w:t>
      </w:r>
      <w:r>
        <w:rPr>
          <w:b/>
        </w:rPr>
        <w:t xml:space="preserve">should be kept by the UE during </w:t>
      </w:r>
      <w:r w:rsidRPr="005E3B0A">
        <w:rPr>
          <w:b/>
        </w:rPr>
        <w:t>RRC resume</w:t>
      </w:r>
      <w:r>
        <w:rPr>
          <w:b/>
        </w:rPr>
        <w:t xml:space="preserve"> procedure</w:t>
      </w:r>
      <w:r>
        <w:rPr>
          <w:rFonts w:eastAsia="宋体"/>
          <w:b/>
          <w:lang w:val="en-US" w:eastAsia="zh-CN"/>
        </w:rPr>
        <w:t>, e.g. in RRCResume message.</w:t>
      </w:r>
    </w:p>
    <w:p w14:paraId="4F1D225F" w14:textId="77777777" w:rsidR="003A0CBE" w:rsidRPr="002925F8" w:rsidRDefault="003A0CBE" w:rsidP="003A782E">
      <w:pPr>
        <w:numPr>
          <w:ilvl w:val="0"/>
          <w:numId w:val="5"/>
        </w:numPr>
      </w:pPr>
      <w:r>
        <w:rPr>
          <w:b/>
        </w:rPr>
        <w:t xml:space="preserve">When moving from RRC INACTIVE to RRC CONNECTED state, the UE shall release all QoE measurement configurations not indicated by the gNB for restoration. </w:t>
      </w:r>
    </w:p>
    <w:p w14:paraId="16672267" w14:textId="57F5EE3D" w:rsidR="003A0CBE" w:rsidRDefault="003A0CBE" w:rsidP="000569E1">
      <w:r>
        <w:t xml:space="preserve">Since Proposals 1 may have an impact on an interface between the AS layer and application, e.g. AT commands, other WGs should be informed about it. </w:t>
      </w:r>
    </w:p>
    <w:p w14:paraId="28F1A1A2" w14:textId="2FC3E2B9" w:rsidR="003A0CBE" w:rsidRPr="002925F8" w:rsidRDefault="003A0CBE" w:rsidP="003A782E">
      <w:pPr>
        <w:numPr>
          <w:ilvl w:val="0"/>
          <w:numId w:val="5"/>
        </w:numPr>
      </w:pPr>
      <w:r>
        <w:rPr>
          <w:b/>
        </w:rPr>
        <w:t>RAN2 should send an LS to CT1 and SA4 about an agreement to support t</w:t>
      </w:r>
      <w:r w:rsidRPr="00E81987">
        <w:rPr>
          <w:b/>
        </w:rPr>
        <w:t>he U</w:t>
      </w:r>
      <w:r>
        <w:rPr>
          <w:b/>
        </w:rPr>
        <w:t>E</w:t>
      </w:r>
      <w:r w:rsidRPr="00E81987">
        <w:rPr>
          <w:b/>
        </w:rPr>
        <w:t xml:space="preserve"> </w:t>
      </w:r>
      <w:r>
        <w:rPr>
          <w:b/>
        </w:rPr>
        <w:t>indication about QoE measurement session start/end.</w:t>
      </w:r>
    </w:p>
    <w:p w14:paraId="7912D69D" w14:textId="45B9FB8F" w:rsidR="00B334B5" w:rsidRDefault="004350B4" w:rsidP="00B334B5">
      <w:pPr>
        <w:pStyle w:val="Heading3"/>
      </w:pPr>
      <w:r>
        <w:t>Reference</w:t>
      </w:r>
      <w:r w:rsidR="00B334B5">
        <w:t>s</w:t>
      </w:r>
    </w:p>
    <w:p w14:paraId="62C040BD" w14:textId="77777777" w:rsidR="00806A7E" w:rsidRDefault="00806A7E" w:rsidP="00806A7E">
      <w:r>
        <w:t xml:space="preserve">[1] </w:t>
      </w:r>
      <w:r w:rsidR="00AB099D">
        <w:t>3GPP TR 38.890 V17.0.0</w:t>
      </w:r>
      <w:r>
        <w:t xml:space="preserve">, </w:t>
      </w:r>
      <w:r w:rsidR="00AB099D" w:rsidRPr="00AB099D">
        <w:t>Study on NR QoE (Quality of Experience) management and optimizations for diverse services</w:t>
      </w:r>
    </w:p>
    <w:p w14:paraId="04808EAC" w14:textId="77777777" w:rsidR="00E01AE6" w:rsidRDefault="00E01AE6" w:rsidP="00806A7E">
      <w:r>
        <w:t xml:space="preserve">[2] </w:t>
      </w:r>
      <w:r w:rsidRPr="00E01AE6">
        <w:t>R3-212976</w:t>
      </w:r>
      <w:r w:rsidR="00332D97">
        <w:t xml:space="preserve">, </w:t>
      </w:r>
      <w:r w:rsidR="00332D97" w:rsidRPr="00332D97">
        <w:t>LS on the area handling for QoE during mobility</w:t>
      </w:r>
      <w:r w:rsidR="00332D97">
        <w:t>, Source: RAN3</w:t>
      </w:r>
    </w:p>
    <w:p w14:paraId="52EE0133" w14:textId="77777777" w:rsidR="00F43768" w:rsidRDefault="00357F41" w:rsidP="004350B4">
      <w:r>
        <w:t>[3</w:t>
      </w:r>
      <w:r w:rsidR="004F1345">
        <w:t xml:space="preserve">] </w:t>
      </w:r>
      <w:r w:rsidR="004F1345" w:rsidRPr="004F1345">
        <w:t>3GPP TS 26.114 V16.8.0</w:t>
      </w:r>
      <w:r w:rsidR="004F1345">
        <w:t>, IP Multimedia Subsystem (IMS); Multimedia Telephony; Media handling and interaction</w:t>
      </w:r>
    </w:p>
    <w:p w14:paraId="3767E7BF" w14:textId="008DAE44" w:rsidR="00CF35C2" w:rsidRDefault="00CF35C2" w:rsidP="004350B4">
      <w:pPr>
        <w:rPr>
          <w:lang w:val="pl-PL"/>
        </w:rPr>
      </w:pPr>
      <w:r>
        <w:rPr>
          <w:lang w:val="pl-PL"/>
        </w:rPr>
        <w:t>[</w:t>
      </w:r>
      <w:r w:rsidR="00B406B8">
        <w:rPr>
          <w:lang w:val="pl-PL"/>
        </w:rPr>
        <w:t>4</w:t>
      </w:r>
      <w:r>
        <w:rPr>
          <w:lang w:val="pl-PL"/>
        </w:rPr>
        <w:t xml:space="preserve">] </w:t>
      </w:r>
      <w:r w:rsidRPr="00CF35C2">
        <w:rPr>
          <w:lang w:val="pl-PL"/>
        </w:rPr>
        <w:t>S4-211248</w:t>
      </w:r>
      <w:r>
        <w:rPr>
          <w:lang w:val="pl-PL"/>
        </w:rPr>
        <w:t xml:space="preserve">, </w:t>
      </w:r>
      <w:r w:rsidRPr="00CF35C2">
        <w:rPr>
          <w:lang w:val="pl-PL"/>
        </w:rPr>
        <w:t>LS Reply on requirement for configuration changes of ongoing QMC sessions</w:t>
      </w:r>
      <w:r>
        <w:rPr>
          <w:lang w:val="pl-PL"/>
        </w:rPr>
        <w:t>, Source: SA4</w:t>
      </w:r>
    </w:p>
    <w:p w14:paraId="7E4F4883" w14:textId="7DED7F45" w:rsidR="00B934DC" w:rsidRPr="00EB27D9" w:rsidRDefault="00B934DC" w:rsidP="004350B4">
      <w:r>
        <w:rPr>
          <w:lang w:val="pl-PL"/>
        </w:rPr>
        <w:t>[</w:t>
      </w:r>
      <w:r w:rsidR="00B406B8">
        <w:rPr>
          <w:lang w:val="pl-PL"/>
        </w:rPr>
        <w:t>5</w:t>
      </w:r>
      <w:r>
        <w:rPr>
          <w:lang w:val="pl-PL"/>
        </w:rPr>
        <w:t xml:space="preserve">] </w:t>
      </w:r>
      <w:r w:rsidR="00B406B8">
        <w:rPr>
          <w:lang w:val="pl-PL"/>
        </w:rPr>
        <w:t xml:space="preserve">R2-2109105, </w:t>
      </w:r>
      <w:r w:rsidRPr="00B934DC">
        <w:rPr>
          <w:lang w:val="pl-PL"/>
        </w:rPr>
        <w:t>Report of offline: [AT115-</w:t>
      </w:r>
      <w:r w:rsidR="00B406B8">
        <w:rPr>
          <w:lang w:val="pl-PL"/>
        </w:rPr>
        <w:t xml:space="preserve">e][046][QoE] Mobility (Huawei), </w:t>
      </w:r>
      <w:r w:rsidRPr="00B934DC">
        <w:rPr>
          <w:lang w:val="pl-PL"/>
        </w:rPr>
        <w:t>Huawei</w:t>
      </w:r>
    </w:p>
    <w:sectPr w:rsidR="00B934DC" w:rsidRPr="00EB27D9" w:rsidSect="00111CE1">
      <w:footerReference w:type="default" r:id="rId11"/>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826D6" w14:textId="77777777" w:rsidR="003A782E" w:rsidRDefault="003A782E">
      <w:r>
        <w:separator/>
      </w:r>
    </w:p>
  </w:endnote>
  <w:endnote w:type="continuationSeparator" w:id="0">
    <w:p w14:paraId="07C6ADB0" w14:textId="77777777" w:rsidR="003A782E" w:rsidRDefault="003A7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8915C" w14:textId="77777777" w:rsidR="001C4DAA" w:rsidRDefault="001C4DAA">
    <w:pPr>
      <w:pStyle w:val="Footer"/>
    </w:pPr>
    <w:r>
      <w:rPr>
        <w:rStyle w:val="PageNumber"/>
      </w:rPr>
      <w:fldChar w:fldCharType="begin"/>
    </w:r>
    <w:r>
      <w:rPr>
        <w:rStyle w:val="PageNumber"/>
      </w:rPr>
      <w:instrText xml:space="preserve"> PAGE </w:instrText>
    </w:r>
    <w:r>
      <w:rPr>
        <w:rStyle w:val="PageNumber"/>
      </w:rPr>
      <w:fldChar w:fldCharType="separate"/>
    </w:r>
    <w:r w:rsidR="005E7874">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E7874">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C3262" w14:textId="77777777" w:rsidR="003A782E" w:rsidRDefault="003A782E">
      <w:r>
        <w:separator/>
      </w:r>
    </w:p>
  </w:footnote>
  <w:footnote w:type="continuationSeparator" w:id="0">
    <w:p w14:paraId="4A6E866E" w14:textId="77777777" w:rsidR="003A782E" w:rsidRDefault="003A78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E6D25"/>
    <w:multiLevelType w:val="hybridMultilevel"/>
    <w:tmpl w:val="14E6326A"/>
    <w:lvl w:ilvl="0" w:tplc="92D0D428">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1A3C72"/>
    <w:multiLevelType w:val="hybridMultilevel"/>
    <w:tmpl w:val="FB045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A34518"/>
    <w:multiLevelType w:val="hybridMultilevel"/>
    <w:tmpl w:val="E42E7A4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ACE59BE"/>
    <w:multiLevelType w:val="hybridMultilevel"/>
    <w:tmpl w:val="14E6326A"/>
    <w:lvl w:ilvl="0" w:tplc="92D0D428">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F0F"/>
    <w:rsid w:val="000070C4"/>
    <w:rsid w:val="000103EC"/>
    <w:rsid w:val="00010D3D"/>
    <w:rsid w:val="0001181D"/>
    <w:rsid w:val="00011DFC"/>
    <w:rsid w:val="00012A65"/>
    <w:rsid w:val="00014FE9"/>
    <w:rsid w:val="000153B1"/>
    <w:rsid w:val="00015E67"/>
    <w:rsid w:val="0001660E"/>
    <w:rsid w:val="00016C9C"/>
    <w:rsid w:val="00017416"/>
    <w:rsid w:val="0002010B"/>
    <w:rsid w:val="000204FF"/>
    <w:rsid w:val="00020708"/>
    <w:rsid w:val="00020C1B"/>
    <w:rsid w:val="0002209B"/>
    <w:rsid w:val="000244DF"/>
    <w:rsid w:val="00025356"/>
    <w:rsid w:val="000259AC"/>
    <w:rsid w:val="00025CD5"/>
    <w:rsid w:val="00025FDA"/>
    <w:rsid w:val="00026AE7"/>
    <w:rsid w:val="00027038"/>
    <w:rsid w:val="000278B2"/>
    <w:rsid w:val="0003005C"/>
    <w:rsid w:val="00030FFB"/>
    <w:rsid w:val="00032BBA"/>
    <w:rsid w:val="00032D86"/>
    <w:rsid w:val="00033583"/>
    <w:rsid w:val="0003510F"/>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C50"/>
    <w:rsid w:val="000560B4"/>
    <w:rsid w:val="000569E1"/>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3116"/>
    <w:rsid w:val="00074371"/>
    <w:rsid w:val="00074A22"/>
    <w:rsid w:val="00074BCD"/>
    <w:rsid w:val="00075259"/>
    <w:rsid w:val="00075305"/>
    <w:rsid w:val="000761C7"/>
    <w:rsid w:val="000771BE"/>
    <w:rsid w:val="00077886"/>
    <w:rsid w:val="0008038F"/>
    <w:rsid w:val="00080DB5"/>
    <w:rsid w:val="00080E9D"/>
    <w:rsid w:val="00081B5F"/>
    <w:rsid w:val="00081CA1"/>
    <w:rsid w:val="00082CCF"/>
    <w:rsid w:val="000831AA"/>
    <w:rsid w:val="000832B6"/>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396B"/>
    <w:rsid w:val="000A4353"/>
    <w:rsid w:val="000A56D6"/>
    <w:rsid w:val="000A5961"/>
    <w:rsid w:val="000A61B4"/>
    <w:rsid w:val="000A76F5"/>
    <w:rsid w:val="000B005A"/>
    <w:rsid w:val="000B0B37"/>
    <w:rsid w:val="000B0BD2"/>
    <w:rsid w:val="000B1364"/>
    <w:rsid w:val="000B1395"/>
    <w:rsid w:val="000B2489"/>
    <w:rsid w:val="000B2764"/>
    <w:rsid w:val="000B2A7B"/>
    <w:rsid w:val="000B310B"/>
    <w:rsid w:val="000B3238"/>
    <w:rsid w:val="000B4022"/>
    <w:rsid w:val="000B490D"/>
    <w:rsid w:val="000B5006"/>
    <w:rsid w:val="000B5812"/>
    <w:rsid w:val="000B5E32"/>
    <w:rsid w:val="000B65A6"/>
    <w:rsid w:val="000B79F3"/>
    <w:rsid w:val="000C1415"/>
    <w:rsid w:val="000C148E"/>
    <w:rsid w:val="000C18B8"/>
    <w:rsid w:val="000C1C43"/>
    <w:rsid w:val="000C2C46"/>
    <w:rsid w:val="000C4476"/>
    <w:rsid w:val="000C4502"/>
    <w:rsid w:val="000C4D0A"/>
    <w:rsid w:val="000C5491"/>
    <w:rsid w:val="000C5773"/>
    <w:rsid w:val="000C5872"/>
    <w:rsid w:val="000C5F28"/>
    <w:rsid w:val="000C6566"/>
    <w:rsid w:val="000D05D9"/>
    <w:rsid w:val="000D0BF9"/>
    <w:rsid w:val="000D0DFA"/>
    <w:rsid w:val="000D0FDA"/>
    <w:rsid w:val="000D1105"/>
    <w:rsid w:val="000D2683"/>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CE1"/>
    <w:rsid w:val="00111FB8"/>
    <w:rsid w:val="00112D06"/>
    <w:rsid w:val="00112DFE"/>
    <w:rsid w:val="00113047"/>
    <w:rsid w:val="00113C9A"/>
    <w:rsid w:val="00113D7B"/>
    <w:rsid w:val="0011464B"/>
    <w:rsid w:val="0011568F"/>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1764"/>
    <w:rsid w:val="001730D3"/>
    <w:rsid w:val="00173254"/>
    <w:rsid w:val="00173595"/>
    <w:rsid w:val="00173A15"/>
    <w:rsid w:val="00173BF7"/>
    <w:rsid w:val="00173DA0"/>
    <w:rsid w:val="00174AF9"/>
    <w:rsid w:val="00174D04"/>
    <w:rsid w:val="0017561F"/>
    <w:rsid w:val="00175EEA"/>
    <w:rsid w:val="001760A5"/>
    <w:rsid w:val="00176A09"/>
    <w:rsid w:val="00176A4E"/>
    <w:rsid w:val="00176AAC"/>
    <w:rsid w:val="001807DE"/>
    <w:rsid w:val="00180A47"/>
    <w:rsid w:val="00180F3D"/>
    <w:rsid w:val="001810C2"/>
    <w:rsid w:val="00182214"/>
    <w:rsid w:val="00183653"/>
    <w:rsid w:val="0018410C"/>
    <w:rsid w:val="001849CC"/>
    <w:rsid w:val="0018538D"/>
    <w:rsid w:val="00187BD8"/>
    <w:rsid w:val="00187C3A"/>
    <w:rsid w:val="001913EE"/>
    <w:rsid w:val="0019371F"/>
    <w:rsid w:val="0019460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B7C61"/>
    <w:rsid w:val="001C057C"/>
    <w:rsid w:val="001C0A2D"/>
    <w:rsid w:val="001C0BD4"/>
    <w:rsid w:val="001C18EB"/>
    <w:rsid w:val="001C194E"/>
    <w:rsid w:val="001C213E"/>
    <w:rsid w:val="001C2666"/>
    <w:rsid w:val="001C2995"/>
    <w:rsid w:val="001C4DAA"/>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AA"/>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810"/>
    <w:rsid w:val="001F6D5A"/>
    <w:rsid w:val="001F7726"/>
    <w:rsid w:val="00200D76"/>
    <w:rsid w:val="0020114C"/>
    <w:rsid w:val="00202451"/>
    <w:rsid w:val="002024ED"/>
    <w:rsid w:val="00202CF4"/>
    <w:rsid w:val="00203DD3"/>
    <w:rsid w:val="0020408E"/>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93D"/>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0CF0"/>
    <w:rsid w:val="00261545"/>
    <w:rsid w:val="00261B54"/>
    <w:rsid w:val="0026220A"/>
    <w:rsid w:val="002624CB"/>
    <w:rsid w:val="00263F24"/>
    <w:rsid w:val="00264EA7"/>
    <w:rsid w:val="00264F49"/>
    <w:rsid w:val="002654E3"/>
    <w:rsid w:val="00265EAF"/>
    <w:rsid w:val="002667CE"/>
    <w:rsid w:val="00266F43"/>
    <w:rsid w:val="00267271"/>
    <w:rsid w:val="002672F5"/>
    <w:rsid w:val="0027031F"/>
    <w:rsid w:val="002703DA"/>
    <w:rsid w:val="00270451"/>
    <w:rsid w:val="00270E15"/>
    <w:rsid w:val="00271844"/>
    <w:rsid w:val="00272BCC"/>
    <w:rsid w:val="002733EF"/>
    <w:rsid w:val="0027383F"/>
    <w:rsid w:val="00273AF1"/>
    <w:rsid w:val="00273CEA"/>
    <w:rsid w:val="00274892"/>
    <w:rsid w:val="00275560"/>
    <w:rsid w:val="00276196"/>
    <w:rsid w:val="00276468"/>
    <w:rsid w:val="00276DB8"/>
    <w:rsid w:val="00277180"/>
    <w:rsid w:val="002772A8"/>
    <w:rsid w:val="00277371"/>
    <w:rsid w:val="002773C6"/>
    <w:rsid w:val="00277A7A"/>
    <w:rsid w:val="002801CE"/>
    <w:rsid w:val="00281377"/>
    <w:rsid w:val="00282F1A"/>
    <w:rsid w:val="0028312B"/>
    <w:rsid w:val="002831FF"/>
    <w:rsid w:val="002839AD"/>
    <w:rsid w:val="002857EB"/>
    <w:rsid w:val="00285B49"/>
    <w:rsid w:val="0028650A"/>
    <w:rsid w:val="0028706D"/>
    <w:rsid w:val="00287663"/>
    <w:rsid w:val="00290214"/>
    <w:rsid w:val="002906A4"/>
    <w:rsid w:val="002925F8"/>
    <w:rsid w:val="0029276D"/>
    <w:rsid w:val="002927C5"/>
    <w:rsid w:val="00292FA2"/>
    <w:rsid w:val="002932DC"/>
    <w:rsid w:val="002936D6"/>
    <w:rsid w:val="00293760"/>
    <w:rsid w:val="00294B1A"/>
    <w:rsid w:val="00295F37"/>
    <w:rsid w:val="00296D15"/>
    <w:rsid w:val="0029704A"/>
    <w:rsid w:val="00297575"/>
    <w:rsid w:val="00297A29"/>
    <w:rsid w:val="00297E1A"/>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414"/>
    <w:rsid w:val="002B384E"/>
    <w:rsid w:val="002B3BD3"/>
    <w:rsid w:val="002B3CD6"/>
    <w:rsid w:val="002B3D5A"/>
    <w:rsid w:val="002B43FC"/>
    <w:rsid w:val="002B4EA9"/>
    <w:rsid w:val="002B739C"/>
    <w:rsid w:val="002B7918"/>
    <w:rsid w:val="002C0167"/>
    <w:rsid w:val="002C0256"/>
    <w:rsid w:val="002C18C0"/>
    <w:rsid w:val="002C1B6C"/>
    <w:rsid w:val="002C266A"/>
    <w:rsid w:val="002C2A26"/>
    <w:rsid w:val="002C2FA3"/>
    <w:rsid w:val="002C5170"/>
    <w:rsid w:val="002C5BB6"/>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A89"/>
    <w:rsid w:val="002E1CF5"/>
    <w:rsid w:val="002E20BB"/>
    <w:rsid w:val="002E22F5"/>
    <w:rsid w:val="002E4DE3"/>
    <w:rsid w:val="002E51CE"/>
    <w:rsid w:val="002E650E"/>
    <w:rsid w:val="002E6A2B"/>
    <w:rsid w:val="002E6AE0"/>
    <w:rsid w:val="002E7779"/>
    <w:rsid w:val="002F0053"/>
    <w:rsid w:val="002F09A8"/>
    <w:rsid w:val="002F1D70"/>
    <w:rsid w:val="002F260A"/>
    <w:rsid w:val="002F2613"/>
    <w:rsid w:val="002F4599"/>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597F"/>
    <w:rsid w:val="0031796C"/>
    <w:rsid w:val="00317D02"/>
    <w:rsid w:val="00317F38"/>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2D97"/>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280"/>
    <w:rsid w:val="00356767"/>
    <w:rsid w:val="003567C1"/>
    <w:rsid w:val="00357F41"/>
    <w:rsid w:val="00360C01"/>
    <w:rsid w:val="0036117C"/>
    <w:rsid w:val="003612A1"/>
    <w:rsid w:val="00362324"/>
    <w:rsid w:val="00362A99"/>
    <w:rsid w:val="00362F74"/>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0CBE"/>
    <w:rsid w:val="003A12F8"/>
    <w:rsid w:val="003A1569"/>
    <w:rsid w:val="003A16CA"/>
    <w:rsid w:val="003A1BC0"/>
    <w:rsid w:val="003A372E"/>
    <w:rsid w:val="003A39B1"/>
    <w:rsid w:val="003A5076"/>
    <w:rsid w:val="003A5234"/>
    <w:rsid w:val="003A530D"/>
    <w:rsid w:val="003A5DA4"/>
    <w:rsid w:val="003A782E"/>
    <w:rsid w:val="003A7CBD"/>
    <w:rsid w:val="003B016E"/>
    <w:rsid w:val="003B10B3"/>
    <w:rsid w:val="003B18EA"/>
    <w:rsid w:val="003B1BC7"/>
    <w:rsid w:val="003B1E4D"/>
    <w:rsid w:val="003B2363"/>
    <w:rsid w:val="003B287C"/>
    <w:rsid w:val="003B29F0"/>
    <w:rsid w:val="003B3225"/>
    <w:rsid w:val="003B3A60"/>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C7C8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5221"/>
    <w:rsid w:val="003E6144"/>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1D4"/>
    <w:rsid w:val="00405372"/>
    <w:rsid w:val="00405CC1"/>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5E4"/>
    <w:rsid w:val="00425A95"/>
    <w:rsid w:val="00425E55"/>
    <w:rsid w:val="004278C2"/>
    <w:rsid w:val="004300E5"/>
    <w:rsid w:val="00430C09"/>
    <w:rsid w:val="00430ED2"/>
    <w:rsid w:val="00431042"/>
    <w:rsid w:val="004310A3"/>
    <w:rsid w:val="00431AC9"/>
    <w:rsid w:val="00432EBF"/>
    <w:rsid w:val="00432EF9"/>
    <w:rsid w:val="0043352A"/>
    <w:rsid w:val="00433E49"/>
    <w:rsid w:val="004345A1"/>
    <w:rsid w:val="00434621"/>
    <w:rsid w:val="00434E00"/>
    <w:rsid w:val="00435018"/>
    <w:rsid w:val="004350B4"/>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48BE"/>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78E"/>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38CB"/>
    <w:rsid w:val="00485A1A"/>
    <w:rsid w:val="00485A7A"/>
    <w:rsid w:val="0048659D"/>
    <w:rsid w:val="00486786"/>
    <w:rsid w:val="0048738F"/>
    <w:rsid w:val="004901C6"/>
    <w:rsid w:val="004916F9"/>
    <w:rsid w:val="00491EB1"/>
    <w:rsid w:val="0049229A"/>
    <w:rsid w:val="0049345E"/>
    <w:rsid w:val="00494E5C"/>
    <w:rsid w:val="00494E9F"/>
    <w:rsid w:val="0049537C"/>
    <w:rsid w:val="004954CB"/>
    <w:rsid w:val="00495804"/>
    <w:rsid w:val="00495E4D"/>
    <w:rsid w:val="00496270"/>
    <w:rsid w:val="0049643F"/>
    <w:rsid w:val="00496A08"/>
    <w:rsid w:val="004975B2"/>
    <w:rsid w:val="004A04B1"/>
    <w:rsid w:val="004A12FC"/>
    <w:rsid w:val="004A206A"/>
    <w:rsid w:val="004A21EA"/>
    <w:rsid w:val="004A2358"/>
    <w:rsid w:val="004A36C9"/>
    <w:rsid w:val="004A3FEC"/>
    <w:rsid w:val="004A4095"/>
    <w:rsid w:val="004A5016"/>
    <w:rsid w:val="004A551A"/>
    <w:rsid w:val="004A5CD2"/>
    <w:rsid w:val="004A62C1"/>
    <w:rsid w:val="004A6396"/>
    <w:rsid w:val="004A6A8E"/>
    <w:rsid w:val="004A6AB1"/>
    <w:rsid w:val="004A7366"/>
    <w:rsid w:val="004B046A"/>
    <w:rsid w:val="004B10AA"/>
    <w:rsid w:val="004B1476"/>
    <w:rsid w:val="004B1B0B"/>
    <w:rsid w:val="004B1FCF"/>
    <w:rsid w:val="004B2B02"/>
    <w:rsid w:val="004B2FA4"/>
    <w:rsid w:val="004B3636"/>
    <w:rsid w:val="004B3C92"/>
    <w:rsid w:val="004B3CFE"/>
    <w:rsid w:val="004B4312"/>
    <w:rsid w:val="004B4A75"/>
    <w:rsid w:val="004B535E"/>
    <w:rsid w:val="004B5710"/>
    <w:rsid w:val="004B5720"/>
    <w:rsid w:val="004B5C56"/>
    <w:rsid w:val="004B5E14"/>
    <w:rsid w:val="004B6687"/>
    <w:rsid w:val="004B6E4E"/>
    <w:rsid w:val="004B725D"/>
    <w:rsid w:val="004C05A7"/>
    <w:rsid w:val="004C0EF4"/>
    <w:rsid w:val="004C1909"/>
    <w:rsid w:val="004C1BBA"/>
    <w:rsid w:val="004C2D72"/>
    <w:rsid w:val="004C36CF"/>
    <w:rsid w:val="004C574C"/>
    <w:rsid w:val="004C625B"/>
    <w:rsid w:val="004C6C7F"/>
    <w:rsid w:val="004D098A"/>
    <w:rsid w:val="004D0CF8"/>
    <w:rsid w:val="004D0E01"/>
    <w:rsid w:val="004D0E71"/>
    <w:rsid w:val="004D1063"/>
    <w:rsid w:val="004D1085"/>
    <w:rsid w:val="004D16F3"/>
    <w:rsid w:val="004D22E0"/>
    <w:rsid w:val="004D24E5"/>
    <w:rsid w:val="004D33CD"/>
    <w:rsid w:val="004D351B"/>
    <w:rsid w:val="004D405F"/>
    <w:rsid w:val="004D40CF"/>
    <w:rsid w:val="004D4557"/>
    <w:rsid w:val="004D4931"/>
    <w:rsid w:val="004D4B57"/>
    <w:rsid w:val="004D5EF2"/>
    <w:rsid w:val="004D6344"/>
    <w:rsid w:val="004D7AA7"/>
    <w:rsid w:val="004D7D1A"/>
    <w:rsid w:val="004E0336"/>
    <w:rsid w:val="004E07E9"/>
    <w:rsid w:val="004E0EA4"/>
    <w:rsid w:val="004E105E"/>
    <w:rsid w:val="004E1D71"/>
    <w:rsid w:val="004E235D"/>
    <w:rsid w:val="004E258F"/>
    <w:rsid w:val="004E2F6C"/>
    <w:rsid w:val="004E3817"/>
    <w:rsid w:val="004E4065"/>
    <w:rsid w:val="004E4435"/>
    <w:rsid w:val="004E447B"/>
    <w:rsid w:val="004E4F9E"/>
    <w:rsid w:val="004E74C6"/>
    <w:rsid w:val="004E7CDD"/>
    <w:rsid w:val="004E7D22"/>
    <w:rsid w:val="004F0C38"/>
    <w:rsid w:val="004F0EDE"/>
    <w:rsid w:val="004F1043"/>
    <w:rsid w:val="004F1345"/>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07B6"/>
    <w:rsid w:val="0051081E"/>
    <w:rsid w:val="00511140"/>
    <w:rsid w:val="0051132F"/>
    <w:rsid w:val="0051147A"/>
    <w:rsid w:val="0051591E"/>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209F"/>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3F5C"/>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6F8D"/>
    <w:rsid w:val="00557EDA"/>
    <w:rsid w:val="00560DB8"/>
    <w:rsid w:val="0056261C"/>
    <w:rsid w:val="0056287E"/>
    <w:rsid w:val="00566658"/>
    <w:rsid w:val="00567784"/>
    <w:rsid w:val="00570402"/>
    <w:rsid w:val="00570E99"/>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A1C"/>
    <w:rsid w:val="00583BFD"/>
    <w:rsid w:val="00584078"/>
    <w:rsid w:val="0058415D"/>
    <w:rsid w:val="005846A0"/>
    <w:rsid w:val="00584CED"/>
    <w:rsid w:val="00584D31"/>
    <w:rsid w:val="00584EBD"/>
    <w:rsid w:val="00584F20"/>
    <w:rsid w:val="00586153"/>
    <w:rsid w:val="0058794D"/>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3F3E"/>
    <w:rsid w:val="005A47D4"/>
    <w:rsid w:val="005A48C1"/>
    <w:rsid w:val="005A4A59"/>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318"/>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0A7C"/>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3B0A"/>
    <w:rsid w:val="005E4078"/>
    <w:rsid w:val="005E41E6"/>
    <w:rsid w:val="005E45E9"/>
    <w:rsid w:val="005E5061"/>
    <w:rsid w:val="005E5242"/>
    <w:rsid w:val="005E5FA5"/>
    <w:rsid w:val="005E6F3C"/>
    <w:rsid w:val="005E7627"/>
    <w:rsid w:val="005E7874"/>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22D1"/>
    <w:rsid w:val="006037A1"/>
    <w:rsid w:val="00603836"/>
    <w:rsid w:val="00603F74"/>
    <w:rsid w:val="00604AD6"/>
    <w:rsid w:val="00607048"/>
    <w:rsid w:val="0060716D"/>
    <w:rsid w:val="00607521"/>
    <w:rsid w:val="00607903"/>
    <w:rsid w:val="006079FC"/>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1BC"/>
    <w:rsid w:val="00651721"/>
    <w:rsid w:val="0065191A"/>
    <w:rsid w:val="0065265C"/>
    <w:rsid w:val="00653629"/>
    <w:rsid w:val="00653A4C"/>
    <w:rsid w:val="006546AC"/>
    <w:rsid w:val="00654A7F"/>
    <w:rsid w:val="00654CE2"/>
    <w:rsid w:val="00654EBF"/>
    <w:rsid w:val="006553B3"/>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A9B"/>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B3"/>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5AA5"/>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1F2C"/>
    <w:rsid w:val="006C2AB5"/>
    <w:rsid w:val="006C41B0"/>
    <w:rsid w:val="006C440F"/>
    <w:rsid w:val="006C5DAC"/>
    <w:rsid w:val="006C6539"/>
    <w:rsid w:val="006C67DF"/>
    <w:rsid w:val="006C700F"/>
    <w:rsid w:val="006C7F0D"/>
    <w:rsid w:val="006D002C"/>
    <w:rsid w:val="006D05B4"/>
    <w:rsid w:val="006D0630"/>
    <w:rsid w:val="006D0E78"/>
    <w:rsid w:val="006D1C74"/>
    <w:rsid w:val="006D1E31"/>
    <w:rsid w:val="006D207B"/>
    <w:rsid w:val="006D302D"/>
    <w:rsid w:val="006D38E0"/>
    <w:rsid w:val="006D3AB1"/>
    <w:rsid w:val="006D3C29"/>
    <w:rsid w:val="006D3F40"/>
    <w:rsid w:val="006D47A3"/>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E5"/>
    <w:rsid w:val="007275F7"/>
    <w:rsid w:val="00727B4C"/>
    <w:rsid w:val="007304F6"/>
    <w:rsid w:val="007306C2"/>
    <w:rsid w:val="00731121"/>
    <w:rsid w:val="0073163B"/>
    <w:rsid w:val="00731EA4"/>
    <w:rsid w:val="007327FF"/>
    <w:rsid w:val="007334F8"/>
    <w:rsid w:val="007337E5"/>
    <w:rsid w:val="00734609"/>
    <w:rsid w:val="00734EEF"/>
    <w:rsid w:val="00735892"/>
    <w:rsid w:val="00735A33"/>
    <w:rsid w:val="007374F6"/>
    <w:rsid w:val="007425DA"/>
    <w:rsid w:val="00742C7A"/>
    <w:rsid w:val="00742C7C"/>
    <w:rsid w:val="00743451"/>
    <w:rsid w:val="00743739"/>
    <w:rsid w:val="007448B4"/>
    <w:rsid w:val="00744EB8"/>
    <w:rsid w:val="007453E8"/>
    <w:rsid w:val="00747D2E"/>
    <w:rsid w:val="00750338"/>
    <w:rsid w:val="00750731"/>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B12"/>
    <w:rsid w:val="00767DC6"/>
    <w:rsid w:val="00767DEB"/>
    <w:rsid w:val="00767E23"/>
    <w:rsid w:val="00770AB9"/>
    <w:rsid w:val="0077127B"/>
    <w:rsid w:val="007721F2"/>
    <w:rsid w:val="00772229"/>
    <w:rsid w:val="0077269A"/>
    <w:rsid w:val="00772825"/>
    <w:rsid w:val="00772859"/>
    <w:rsid w:val="00772D80"/>
    <w:rsid w:val="00772FD8"/>
    <w:rsid w:val="00774C4E"/>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1973"/>
    <w:rsid w:val="00794A46"/>
    <w:rsid w:val="00794BFA"/>
    <w:rsid w:val="00795477"/>
    <w:rsid w:val="00795873"/>
    <w:rsid w:val="00796203"/>
    <w:rsid w:val="00796678"/>
    <w:rsid w:val="007966FD"/>
    <w:rsid w:val="00796741"/>
    <w:rsid w:val="00796D3B"/>
    <w:rsid w:val="007970D0"/>
    <w:rsid w:val="00797D39"/>
    <w:rsid w:val="00797F95"/>
    <w:rsid w:val="007A0982"/>
    <w:rsid w:val="007A1578"/>
    <w:rsid w:val="007A2823"/>
    <w:rsid w:val="007A2EB6"/>
    <w:rsid w:val="007A33C1"/>
    <w:rsid w:val="007A34CD"/>
    <w:rsid w:val="007A3B07"/>
    <w:rsid w:val="007A4314"/>
    <w:rsid w:val="007A4980"/>
    <w:rsid w:val="007A4AAE"/>
    <w:rsid w:val="007A689C"/>
    <w:rsid w:val="007A7732"/>
    <w:rsid w:val="007B010A"/>
    <w:rsid w:val="007B0282"/>
    <w:rsid w:val="007B0691"/>
    <w:rsid w:val="007B0C5D"/>
    <w:rsid w:val="007B1803"/>
    <w:rsid w:val="007B2528"/>
    <w:rsid w:val="007B331A"/>
    <w:rsid w:val="007B33E7"/>
    <w:rsid w:val="007B379E"/>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390"/>
    <w:rsid w:val="007D3C32"/>
    <w:rsid w:val="007D3E14"/>
    <w:rsid w:val="007D6637"/>
    <w:rsid w:val="007D6B86"/>
    <w:rsid w:val="007D6D8E"/>
    <w:rsid w:val="007D73E8"/>
    <w:rsid w:val="007D7F86"/>
    <w:rsid w:val="007E004C"/>
    <w:rsid w:val="007E0548"/>
    <w:rsid w:val="007E0A6F"/>
    <w:rsid w:val="007E0B10"/>
    <w:rsid w:val="007E1263"/>
    <w:rsid w:val="007E154F"/>
    <w:rsid w:val="007E1708"/>
    <w:rsid w:val="007E2B30"/>
    <w:rsid w:val="007E2BEB"/>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454B"/>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A7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B7F"/>
    <w:rsid w:val="00822EF3"/>
    <w:rsid w:val="00823351"/>
    <w:rsid w:val="008236DD"/>
    <w:rsid w:val="00823CDE"/>
    <w:rsid w:val="00824BFD"/>
    <w:rsid w:val="0082733A"/>
    <w:rsid w:val="008276D6"/>
    <w:rsid w:val="00827F99"/>
    <w:rsid w:val="008319F0"/>
    <w:rsid w:val="00832098"/>
    <w:rsid w:val="00832230"/>
    <w:rsid w:val="00833010"/>
    <w:rsid w:val="0083469D"/>
    <w:rsid w:val="00834B8A"/>
    <w:rsid w:val="00836601"/>
    <w:rsid w:val="008376C0"/>
    <w:rsid w:val="008377A9"/>
    <w:rsid w:val="00837844"/>
    <w:rsid w:val="008378F3"/>
    <w:rsid w:val="00837C2C"/>
    <w:rsid w:val="00840653"/>
    <w:rsid w:val="00842EAC"/>
    <w:rsid w:val="008437F0"/>
    <w:rsid w:val="00843CBF"/>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3BF2"/>
    <w:rsid w:val="008653B6"/>
    <w:rsid w:val="00866311"/>
    <w:rsid w:val="008668AA"/>
    <w:rsid w:val="00866AC6"/>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6AE"/>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9A1"/>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0A49"/>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0E87"/>
    <w:rsid w:val="008E2567"/>
    <w:rsid w:val="008E269B"/>
    <w:rsid w:val="008E2D5D"/>
    <w:rsid w:val="008E2FBB"/>
    <w:rsid w:val="008E30ED"/>
    <w:rsid w:val="008E345F"/>
    <w:rsid w:val="008E3486"/>
    <w:rsid w:val="008E3733"/>
    <w:rsid w:val="008E376E"/>
    <w:rsid w:val="008E389E"/>
    <w:rsid w:val="008E4DD7"/>
    <w:rsid w:val="008E5114"/>
    <w:rsid w:val="008E5979"/>
    <w:rsid w:val="008E7435"/>
    <w:rsid w:val="008E7869"/>
    <w:rsid w:val="008F0058"/>
    <w:rsid w:val="008F0761"/>
    <w:rsid w:val="008F07AF"/>
    <w:rsid w:val="008F07D7"/>
    <w:rsid w:val="008F1257"/>
    <w:rsid w:val="008F179A"/>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27530"/>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0F4"/>
    <w:rsid w:val="0096047E"/>
    <w:rsid w:val="00960BE4"/>
    <w:rsid w:val="00961D18"/>
    <w:rsid w:val="00961DDC"/>
    <w:rsid w:val="00962535"/>
    <w:rsid w:val="009634D8"/>
    <w:rsid w:val="00963D13"/>
    <w:rsid w:val="00964361"/>
    <w:rsid w:val="009646E8"/>
    <w:rsid w:val="00964FCB"/>
    <w:rsid w:val="009660BC"/>
    <w:rsid w:val="00967550"/>
    <w:rsid w:val="00967E9B"/>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5CA0"/>
    <w:rsid w:val="00986B97"/>
    <w:rsid w:val="00987513"/>
    <w:rsid w:val="00990372"/>
    <w:rsid w:val="009912BD"/>
    <w:rsid w:val="00992BF9"/>
    <w:rsid w:val="00992CEF"/>
    <w:rsid w:val="00993823"/>
    <w:rsid w:val="00993B16"/>
    <w:rsid w:val="00994118"/>
    <w:rsid w:val="00994AF2"/>
    <w:rsid w:val="00995F22"/>
    <w:rsid w:val="0099666B"/>
    <w:rsid w:val="009A03EF"/>
    <w:rsid w:val="009A0C13"/>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4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0AE4"/>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07C64"/>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4A0"/>
    <w:rsid w:val="00A30AB2"/>
    <w:rsid w:val="00A30B4D"/>
    <w:rsid w:val="00A30CEF"/>
    <w:rsid w:val="00A31090"/>
    <w:rsid w:val="00A31195"/>
    <w:rsid w:val="00A311C0"/>
    <w:rsid w:val="00A31492"/>
    <w:rsid w:val="00A31ECF"/>
    <w:rsid w:val="00A31F09"/>
    <w:rsid w:val="00A3224A"/>
    <w:rsid w:val="00A3238B"/>
    <w:rsid w:val="00A33799"/>
    <w:rsid w:val="00A33EAA"/>
    <w:rsid w:val="00A34B42"/>
    <w:rsid w:val="00A36437"/>
    <w:rsid w:val="00A36479"/>
    <w:rsid w:val="00A36943"/>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478DD"/>
    <w:rsid w:val="00A50104"/>
    <w:rsid w:val="00A5163E"/>
    <w:rsid w:val="00A5188F"/>
    <w:rsid w:val="00A51A45"/>
    <w:rsid w:val="00A51E94"/>
    <w:rsid w:val="00A52CB7"/>
    <w:rsid w:val="00A52E0B"/>
    <w:rsid w:val="00A52FFE"/>
    <w:rsid w:val="00A5378D"/>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139"/>
    <w:rsid w:val="00A739F8"/>
    <w:rsid w:val="00A73A65"/>
    <w:rsid w:val="00A74459"/>
    <w:rsid w:val="00A74908"/>
    <w:rsid w:val="00A749F6"/>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36C"/>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A7E98"/>
    <w:rsid w:val="00AB0151"/>
    <w:rsid w:val="00AB099D"/>
    <w:rsid w:val="00AB09DD"/>
    <w:rsid w:val="00AB1331"/>
    <w:rsid w:val="00AB136F"/>
    <w:rsid w:val="00AB1A5B"/>
    <w:rsid w:val="00AB2475"/>
    <w:rsid w:val="00AB2835"/>
    <w:rsid w:val="00AB34A3"/>
    <w:rsid w:val="00AB360D"/>
    <w:rsid w:val="00AB3C1A"/>
    <w:rsid w:val="00AB451C"/>
    <w:rsid w:val="00AB58F3"/>
    <w:rsid w:val="00AB5E52"/>
    <w:rsid w:val="00AB6260"/>
    <w:rsid w:val="00AB733B"/>
    <w:rsid w:val="00AB7B1A"/>
    <w:rsid w:val="00AC0AF4"/>
    <w:rsid w:val="00AC0FAB"/>
    <w:rsid w:val="00AC1FBE"/>
    <w:rsid w:val="00AC200C"/>
    <w:rsid w:val="00AC2833"/>
    <w:rsid w:val="00AC3B34"/>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3DA"/>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0"/>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278B"/>
    <w:rsid w:val="00B23C12"/>
    <w:rsid w:val="00B24070"/>
    <w:rsid w:val="00B24B0A"/>
    <w:rsid w:val="00B2566E"/>
    <w:rsid w:val="00B25CCD"/>
    <w:rsid w:val="00B26ED0"/>
    <w:rsid w:val="00B270B0"/>
    <w:rsid w:val="00B27955"/>
    <w:rsid w:val="00B30012"/>
    <w:rsid w:val="00B30A31"/>
    <w:rsid w:val="00B31A5C"/>
    <w:rsid w:val="00B31A64"/>
    <w:rsid w:val="00B334B5"/>
    <w:rsid w:val="00B34120"/>
    <w:rsid w:val="00B3442B"/>
    <w:rsid w:val="00B344AB"/>
    <w:rsid w:val="00B34F0D"/>
    <w:rsid w:val="00B35ADD"/>
    <w:rsid w:val="00B35BC2"/>
    <w:rsid w:val="00B3602A"/>
    <w:rsid w:val="00B363A8"/>
    <w:rsid w:val="00B36A8F"/>
    <w:rsid w:val="00B36E67"/>
    <w:rsid w:val="00B36F98"/>
    <w:rsid w:val="00B3704F"/>
    <w:rsid w:val="00B379A2"/>
    <w:rsid w:val="00B37E32"/>
    <w:rsid w:val="00B4016D"/>
    <w:rsid w:val="00B406B8"/>
    <w:rsid w:val="00B40EAA"/>
    <w:rsid w:val="00B42195"/>
    <w:rsid w:val="00B42583"/>
    <w:rsid w:val="00B42C4B"/>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56D9"/>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1A2"/>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208"/>
    <w:rsid w:val="00B838C9"/>
    <w:rsid w:val="00B846E9"/>
    <w:rsid w:val="00B84FAB"/>
    <w:rsid w:val="00B85ED2"/>
    <w:rsid w:val="00B860DB"/>
    <w:rsid w:val="00B87418"/>
    <w:rsid w:val="00B87D05"/>
    <w:rsid w:val="00B91F48"/>
    <w:rsid w:val="00B9201A"/>
    <w:rsid w:val="00B9254A"/>
    <w:rsid w:val="00B92B2E"/>
    <w:rsid w:val="00B934DC"/>
    <w:rsid w:val="00B941FC"/>
    <w:rsid w:val="00B9439E"/>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5D66"/>
    <w:rsid w:val="00BC6A2F"/>
    <w:rsid w:val="00BC6F63"/>
    <w:rsid w:val="00BD0D11"/>
    <w:rsid w:val="00BD188E"/>
    <w:rsid w:val="00BD1DF4"/>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01F7"/>
    <w:rsid w:val="00BE22FC"/>
    <w:rsid w:val="00BE290C"/>
    <w:rsid w:val="00BE31B1"/>
    <w:rsid w:val="00BE4843"/>
    <w:rsid w:val="00BE4A16"/>
    <w:rsid w:val="00BE4A46"/>
    <w:rsid w:val="00BE4C21"/>
    <w:rsid w:val="00BE6642"/>
    <w:rsid w:val="00BE7852"/>
    <w:rsid w:val="00BE7BA6"/>
    <w:rsid w:val="00BF0050"/>
    <w:rsid w:val="00BF0632"/>
    <w:rsid w:val="00BF1282"/>
    <w:rsid w:val="00BF351E"/>
    <w:rsid w:val="00BF366D"/>
    <w:rsid w:val="00BF3FDC"/>
    <w:rsid w:val="00BF4EBE"/>
    <w:rsid w:val="00BF5826"/>
    <w:rsid w:val="00BF5E77"/>
    <w:rsid w:val="00BF661B"/>
    <w:rsid w:val="00BF6BA6"/>
    <w:rsid w:val="00BF6FAA"/>
    <w:rsid w:val="00BF729C"/>
    <w:rsid w:val="00BF7EDC"/>
    <w:rsid w:val="00C024C9"/>
    <w:rsid w:val="00C024E3"/>
    <w:rsid w:val="00C02721"/>
    <w:rsid w:val="00C02B31"/>
    <w:rsid w:val="00C03142"/>
    <w:rsid w:val="00C04FA3"/>
    <w:rsid w:val="00C0507E"/>
    <w:rsid w:val="00C06345"/>
    <w:rsid w:val="00C103F9"/>
    <w:rsid w:val="00C109E4"/>
    <w:rsid w:val="00C10CAD"/>
    <w:rsid w:val="00C1167E"/>
    <w:rsid w:val="00C11CAF"/>
    <w:rsid w:val="00C12D7B"/>
    <w:rsid w:val="00C13CFD"/>
    <w:rsid w:val="00C1414A"/>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4B7"/>
    <w:rsid w:val="00C27A85"/>
    <w:rsid w:val="00C27F1A"/>
    <w:rsid w:val="00C3002B"/>
    <w:rsid w:val="00C325D0"/>
    <w:rsid w:val="00C32AB4"/>
    <w:rsid w:val="00C340B3"/>
    <w:rsid w:val="00C3771F"/>
    <w:rsid w:val="00C3775C"/>
    <w:rsid w:val="00C37F46"/>
    <w:rsid w:val="00C408A1"/>
    <w:rsid w:val="00C40DB1"/>
    <w:rsid w:val="00C4107B"/>
    <w:rsid w:val="00C41EF2"/>
    <w:rsid w:val="00C42217"/>
    <w:rsid w:val="00C43125"/>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6F11"/>
    <w:rsid w:val="00C57965"/>
    <w:rsid w:val="00C57DBB"/>
    <w:rsid w:val="00C6056E"/>
    <w:rsid w:val="00C613DE"/>
    <w:rsid w:val="00C6416E"/>
    <w:rsid w:val="00C6437E"/>
    <w:rsid w:val="00C65820"/>
    <w:rsid w:val="00C6709F"/>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2AF"/>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2BE7"/>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2C5"/>
    <w:rsid w:val="00CC47EC"/>
    <w:rsid w:val="00CC4991"/>
    <w:rsid w:val="00CC4B36"/>
    <w:rsid w:val="00CC6A84"/>
    <w:rsid w:val="00CC73DF"/>
    <w:rsid w:val="00CC7A7A"/>
    <w:rsid w:val="00CD034B"/>
    <w:rsid w:val="00CD0979"/>
    <w:rsid w:val="00CD09FF"/>
    <w:rsid w:val="00CD0BE6"/>
    <w:rsid w:val="00CD0CD1"/>
    <w:rsid w:val="00CD1688"/>
    <w:rsid w:val="00CD17A1"/>
    <w:rsid w:val="00CD186A"/>
    <w:rsid w:val="00CD195E"/>
    <w:rsid w:val="00CD25B5"/>
    <w:rsid w:val="00CD2727"/>
    <w:rsid w:val="00CD2A43"/>
    <w:rsid w:val="00CD3D81"/>
    <w:rsid w:val="00CD4B4F"/>
    <w:rsid w:val="00CD4EEE"/>
    <w:rsid w:val="00CD4EFB"/>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0F7"/>
    <w:rsid w:val="00CF21C3"/>
    <w:rsid w:val="00CF35C2"/>
    <w:rsid w:val="00CF3FB1"/>
    <w:rsid w:val="00CF44AB"/>
    <w:rsid w:val="00CF4861"/>
    <w:rsid w:val="00CF4D9C"/>
    <w:rsid w:val="00CF5B39"/>
    <w:rsid w:val="00CF6CD0"/>
    <w:rsid w:val="00CF713C"/>
    <w:rsid w:val="00D0155D"/>
    <w:rsid w:val="00D01D3D"/>
    <w:rsid w:val="00D03A01"/>
    <w:rsid w:val="00D03AE5"/>
    <w:rsid w:val="00D03BA5"/>
    <w:rsid w:val="00D0406C"/>
    <w:rsid w:val="00D0446D"/>
    <w:rsid w:val="00D06EE4"/>
    <w:rsid w:val="00D0796B"/>
    <w:rsid w:val="00D07FB2"/>
    <w:rsid w:val="00D10529"/>
    <w:rsid w:val="00D11538"/>
    <w:rsid w:val="00D119D9"/>
    <w:rsid w:val="00D11C8C"/>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187"/>
    <w:rsid w:val="00D27F24"/>
    <w:rsid w:val="00D3027A"/>
    <w:rsid w:val="00D30A31"/>
    <w:rsid w:val="00D30BAD"/>
    <w:rsid w:val="00D3122A"/>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0F9F"/>
    <w:rsid w:val="00D5291E"/>
    <w:rsid w:val="00D530BB"/>
    <w:rsid w:val="00D532B2"/>
    <w:rsid w:val="00D539DB"/>
    <w:rsid w:val="00D53C22"/>
    <w:rsid w:val="00D540C0"/>
    <w:rsid w:val="00D54A3B"/>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D47"/>
    <w:rsid w:val="00D75FBB"/>
    <w:rsid w:val="00D76CA5"/>
    <w:rsid w:val="00D77612"/>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338B"/>
    <w:rsid w:val="00D94159"/>
    <w:rsid w:val="00D94BF7"/>
    <w:rsid w:val="00D96360"/>
    <w:rsid w:val="00D96373"/>
    <w:rsid w:val="00D9692B"/>
    <w:rsid w:val="00D96963"/>
    <w:rsid w:val="00D972A9"/>
    <w:rsid w:val="00D9761D"/>
    <w:rsid w:val="00D977A3"/>
    <w:rsid w:val="00D978EA"/>
    <w:rsid w:val="00DA18E9"/>
    <w:rsid w:val="00DA1DCB"/>
    <w:rsid w:val="00DA1E33"/>
    <w:rsid w:val="00DA1FA2"/>
    <w:rsid w:val="00DA1FB2"/>
    <w:rsid w:val="00DA4159"/>
    <w:rsid w:val="00DA4A0D"/>
    <w:rsid w:val="00DA651B"/>
    <w:rsid w:val="00DA664E"/>
    <w:rsid w:val="00DA6FE8"/>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4CC"/>
    <w:rsid w:val="00DD05A9"/>
    <w:rsid w:val="00DD07D9"/>
    <w:rsid w:val="00DD0B81"/>
    <w:rsid w:val="00DD0FBB"/>
    <w:rsid w:val="00DD13D1"/>
    <w:rsid w:val="00DD1B89"/>
    <w:rsid w:val="00DD2F90"/>
    <w:rsid w:val="00DD3242"/>
    <w:rsid w:val="00DD3551"/>
    <w:rsid w:val="00DD36E9"/>
    <w:rsid w:val="00DD3D7E"/>
    <w:rsid w:val="00DD3FD6"/>
    <w:rsid w:val="00DD4054"/>
    <w:rsid w:val="00DD4069"/>
    <w:rsid w:val="00DD40F2"/>
    <w:rsid w:val="00DD4694"/>
    <w:rsid w:val="00DD5DC1"/>
    <w:rsid w:val="00DD693C"/>
    <w:rsid w:val="00DD6E55"/>
    <w:rsid w:val="00DD773F"/>
    <w:rsid w:val="00DE005F"/>
    <w:rsid w:val="00DE042C"/>
    <w:rsid w:val="00DE0CF1"/>
    <w:rsid w:val="00DE0F02"/>
    <w:rsid w:val="00DE133C"/>
    <w:rsid w:val="00DE1A6E"/>
    <w:rsid w:val="00DE253B"/>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DB4"/>
    <w:rsid w:val="00DF5F11"/>
    <w:rsid w:val="00DF627B"/>
    <w:rsid w:val="00DF671E"/>
    <w:rsid w:val="00DF674C"/>
    <w:rsid w:val="00DF6DE6"/>
    <w:rsid w:val="00DF78EF"/>
    <w:rsid w:val="00DF7B52"/>
    <w:rsid w:val="00DF7CD8"/>
    <w:rsid w:val="00E0020C"/>
    <w:rsid w:val="00E018B7"/>
    <w:rsid w:val="00E0194E"/>
    <w:rsid w:val="00E01AE6"/>
    <w:rsid w:val="00E03C0D"/>
    <w:rsid w:val="00E03F1F"/>
    <w:rsid w:val="00E04076"/>
    <w:rsid w:val="00E0474E"/>
    <w:rsid w:val="00E05C2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6217"/>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391A"/>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987"/>
    <w:rsid w:val="00E81ABC"/>
    <w:rsid w:val="00E81B60"/>
    <w:rsid w:val="00E81CA9"/>
    <w:rsid w:val="00E82759"/>
    <w:rsid w:val="00E82911"/>
    <w:rsid w:val="00E8318C"/>
    <w:rsid w:val="00E83D4F"/>
    <w:rsid w:val="00E84378"/>
    <w:rsid w:val="00E84DA2"/>
    <w:rsid w:val="00E84EAB"/>
    <w:rsid w:val="00E85757"/>
    <w:rsid w:val="00E85F9C"/>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1C4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7D9"/>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3EB2"/>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A7"/>
    <w:rsid w:val="00F047ED"/>
    <w:rsid w:val="00F06431"/>
    <w:rsid w:val="00F07190"/>
    <w:rsid w:val="00F07551"/>
    <w:rsid w:val="00F10B13"/>
    <w:rsid w:val="00F10E0B"/>
    <w:rsid w:val="00F110ED"/>
    <w:rsid w:val="00F11816"/>
    <w:rsid w:val="00F12859"/>
    <w:rsid w:val="00F13D4B"/>
    <w:rsid w:val="00F14189"/>
    <w:rsid w:val="00F14C89"/>
    <w:rsid w:val="00F15357"/>
    <w:rsid w:val="00F156C5"/>
    <w:rsid w:val="00F165FC"/>
    <w:rsid w:val="00F16CE5"/>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68E"/>
    <w:rsid w:val="00F3674F"/>
    <w:rsid w:val="00F368CE"/>
    <w:rsid w:val="00F36C86"/>
    <w:rsid w:val="00F379A6"/>
    <w:rsid w:val="00F409E1"/>
    <w:rsid w:val="00F410B5"/>
    <w:rsid w:val="00F41539"/>
    <w:rsid w:val="00F41CE1"/>
    <w:rsid w:val="00F43768"/>
    <w:rsid w:val="00F43E01"/>
    <w:rsid w:val="00F44286"/>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544"/>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51C"/>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A1F"/>
    <w:rsid w:val="00F97EE4"/>
    <w:rsid w:val="00FA11A0"/>
    <w:rsid w:val="00FA1ED7"/>
    <w:rsid w:val="00FA290E"/>
    <w:rsid w:val="00FA459A"/>
    <w:rsid w:val="00FA69B8"/>
    <w:rsid w:val="00FA70EB"/>
    <w:rsid w:val="00FA7761"/>
    <w:rsid w:val="00FA7AE4"/>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C87"/>
    <w:rsid w:val="00FE0EA1"/>
    <w:rsid w:val="00FE1092"/>
    <w:rsid w:val="00FE1A61"/>
    <w:rsid w:val="00FE1DE1"/>
    <w:rsid w:val="00FE2220"/>
    <w:rsid w:val="00FE2628"/>
    <w:rsid w:val="00FE34B0"/>
    <w:rsid w:val="00FE4CD0"/>
    <w:rsid w:val="00FE5144"/>
    <w:rsid w:val="00FE5E8B"/>
    <w:rsid w:val="00FE687C"/>
    <w:rsid w:val="00FE6CCE"/>
    <w:rsid w:val="00FE761D"/>
    <w:rsid w:val="00FE7EEA"/>
    <w:rsid w:val="00FE7FE6"/>
    <w:rsid w:val="00FF0AAC"/>
    <w:rsid w:val="00FF0E06"/>
    <w:rsid w:val="00FF1116"/>
    <w:rsid w:val="00FF189F"/>
    <w:rsid w:val="00FF1A27"/>
    <w:rsid w:val="00FF3D8D"/>
    <w:rsid w:val="00FF42E4"/>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2E1B456"/>
  <w15:chartTrackingRefBased/>
  <w15:docId w15:val="{C10B7FD5-4D86-4C62-8E99-B6B7802C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link w:val="Heading3Char"/>
    <w:qFormat/>
    <w:rsid w:val="004B3C92"/>
    <w:pPr>
      <w:spacing w:before="120"/>
      <w:outlineLvl w:val="2"/>
    </w:pPr>
    <w:rPr>
      <w:sz w:val="28"/>
    </w:rPr>
  </w:style>
  <w:style w:type="paragraph" w:styleId="Heading4">
    <w:name w:val="heading 4"/>
    <w:basedOn w:val="Heading3"/>
    <w:next w:val="Normal"/>
    <w:link w:val="Heading4Char"/>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link w:val="TALCar"/>
    <w:qFormat/>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link w:val="NOChar"/>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Grid">
    <w:name w:val="Table Grid"/>
    <w:basedOn w:val="TableNormal"/>
    <w:uiPriority w:val="39"/>
    <w:rsid w:val="00767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locked/>
    <w:rsid w:val="00AB2835"/>
    <w:rPr>
      <w:rFonts w:ascii="Arial" w:eastAsia="Times New Roman" w:hAnsi="Arial"/>
      <w:sz w:val="24"/>
      <w:lang w:val="en-GB" w:eastAsia="en-US"/>
    </w:rPr>
  </w:style>
  <w:style w:type="character" w:customStyle="1" w:styleId="THChar">
    <w:name w:val="TH Char"/>
    <w:link w:val="TH"/>
    <w:qFormat/>
    <w:rsid w:val="00AB2835"/>
    <w:rPr>
      <w:rFonts w:ascii="Arial" w:eastAsia="Times New Roman" w:hAnsi="Arial"/>
      <w:b/>
      <w:lang w:val="en-GB" w:eastAsia="en-US"/>
    </w:rPr>
  </w:style>
  <w:style w:type="character" w:customStyle="1" w:styleId="PLChar">
    <w:name w:val="PL Char"/>
    <w:link w:val="PL"/>
    <w:qFormat/>
    <w:rsid w:val="00AB2835"/>
    <w:rPr>
      <w:rFonts w:ascii="Courier New" w:eastAsia="Times New Roman" w:hAnsi="Courier New"/>
      <w:noProof/>
      <w:sz w:val="16"/>
      <w:lang w:eastAsia="en-US"/>
    </w:rPr>
  </w:style>
  <w:style w:type="character" w:customStyle="1" w:styleId="B1Char1">
    <w:name w:val="B1 Char1"/>
    <w:link w:val="B1"/>
    <w:qFormat/>
    <w:rsid w:val="00832098"/>
    <w:rPr>
      <w:rFonts w:eastAsia="Times New Roman"/>
      <w:lang w:val="en-GB" w:eastAsia="en-US"/>
    </w:rPr>
  </w:style>
  <w:style w:type="character" w:customStyle="1" w:styleId="TALCar">
    <w:name w:val="TAL Car"/>
    <w:link w:val="TAL"/>
    <w:qFormat/>
    <w:rsid w:val="00832098"/>
    <w:rPr>
      <w:rFonts w:ascii="Arial" w:eastAsia="Times New Roman" w:hAnsi="Arial"/>
      <w:sz w:val="18"/>
      <w:lang w:val="en-GB" w:eastAsia="en-US"/>
    </w:rPr>
  </w:style>
  <w:style w:type="character" w:customStyle="1" w:styleId="TAHCar">
    <w:name w:val="TAH Car"/>
    <w:link w:val="TAH"/>
    <w:qFormat/>
    <w:locked/>
    <w:rsid w:val="00832098"/>
    <w:rPr>
      <w:rFonts w:ascii="Arial" w:eastAsia="Times New Roman" w:hAnsi="Arial"/>
      <w:b/>
      <w:sz w:val="18"/>
      <w:lang w:val="en-GB" w:eastAsia="en-US"/>
    </w:rPr>
  </w:style>
  <w:style w:type="character" w:customStyle="1" w:styleId="B1Char">
    <w:name w:val="B1 Char"/>
    <w:rsid w:val="005C2318"/>
    <w:rPr>
      <w:rFonts w:eastAsia="Times New Roman"/>
      <w:lang w:val="en-GB" w:eastAsia="en-US"/>
    </w:rPr>
  </w:style>
  <w:style w:type="character" w:customStyle="1" w:styleId="Heading3Char">
    <w:name w:val="Heading 3 Char"/>
    <w:link w:val="Heading3"/>
    <w:qFormat/>
    <w:rsid w:val="005C2318"/>
    <w:rPr>
      <w:rFonts w:ascii="Arial" w:eastAsia="Times New Roman" w:hAnsi="Arial"/>
      <w:sz w:val="28"/>
      <w:lang w:val="en-GB" w:eastAsia="en-US"/>
    </w:rPr>
  </w:style>
  <w:style w:type="character" w:customStyle="1" w:styleId="NOChar">
    <w:name w:val="NO Char"/>
    <w:link w:val="NO"/>
    <w:qFormat/>
    <w:rsid w:val="00543F5C"/>
    <w:rPr>
      <w:rFonts w:eastAsia="Times New Roman"/>
      <w:lang w:val="en-GB" w:eastAsia="en-US"/>
    </w:rPr>
  </w:style>
  <w:style w:type="paragraph" w:customStyle="1" w:styleId="paragraph">
    <w:name w:val="paragraph"/>
    <w:basedOn w:val="Normal"/>
    <w:rsid w:val="004350B4"/>
    <w:pPr>
      <w:overflowPunct/>
      <w:autoSpaceDE/>
      <w:autoSpaceDN/>
      <w:adjustRightInd/>
      <w:spacing w:before="100" w:beforeAutospacing="1" w:after="100" w:afterAutospacing="1"/>
      <w:textAlignment w:val="auto"/>
    </w:pPr>
    <w:rPr>
      <w:sz w:val="24"/>
      <w:szCs w:val="24"/>
      <w:lang w:val="de-DE"/>
    </w:rPr>
  </w:style>
  <w:style w:type="paragraph" w:customStyle="1" w:styleId="Proposal">
    <w:name w:val="Proposal"/>
    <w:basedOn w:val="Normal"/>
    <w:link w:val="ProposalChar"/>
    <w:qFormat/>
    <w:rsid w:val="00360C01"/>
    <w:pPr>
      <w:numPr>
        <w:numId w:val="1"/>
      </w:numPr>
      <w:tabs>
        <w:tab w:val="left" w:pos="1560"/>
      </w:tabs>
      <w:overflowPunct/>
      <w:autoSpaceDE/>
      <w:autoSpaceDN/>
      <w:adjustRightInd/>
      <w:textAlignment w:val="auto"/>
    </w:pPr>
    <w:rPr>
      <w:b/>
    </w:rPr>
  </w:style>
  <w:style w:type="character" w:customStyle="1" w:styleId="ProposalChar">
    <w:name w:val="Proposal Char"/>
    <w:link w:val="Proposal"/>
    <w:rsid w:val="00360C01"/>
    <w:rPr>
      <w:rFonts w:eastAsia="Times New Roman"/>
      <w:b/>
      <w:lang w:val="en-GB" w:eastAsia="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360C01"/>
    <w:pPr>
      <w:overflowPunct/>
      <w:autoSpaceDE/>
      <w:autoSpaceDN/>
      <w:adjustRightInd/>
      <w:ind w:firstLineChars="200" w:firstLine="420"/>
      <w:textAlignment w:val="auto"/>
    </w:p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360C01"/>
    <w:rPr>
      <w:rFonts w:eastAsia="Times New Roman"/>
      <w:lang w:val="en-GB" w:eastAsia="en-US"/>
    </w:rPr>
  </w:style>
  <w:style w:type="paragraph" w:customStyle="1" w:styleId="Agreement">
    <w:name w:val="Agreement"/>
    <w:basedOn w:val="Normal"/>
    <w:next w:val="Normal"/>
    <w:uiPriority w:val="99"/>
    <w:qFormat/>
    <w:rsid w:val="00356280"/>
    <w:pPr>
      <w:numPr>
        <w:numId w:val="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2078">
      <w:bodyDiv w:val="1"/>
      <w:marLeft w:val="0"/>
      <w:marRight w:val="0"/>
      <w:marTop w:val="0"/>
      <w:marBottom w:val="0"/>
      <w:divBdr>
        <w:top w:val="none" w:sz="0" w:space="0" w:color="auto"/>
        <w:left w:val="none" w:sz="0" w:space="0" w:color="auto"/>
        <w:bottom w:val="none" w:sz="0" w:space="0" w:color="auto"/>
        <w:right w:val="none" w:sz="0" w:space="0" w:color="auto"/>
      </w:divBdr>
    </w:div>
    <w:div w:id="8585444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06750378">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82658140">
      <w:bodyDiv w:val="1"/>
      <w:marLeft w:val="0"/>
      <w:marRight w:val="0"/>
      <w:marTop w:val="0"/>
      <w:marBottom w:val="0"/>
      <w:divBdr>
        <w:top w:val="none" w:sz="0" w:space="0" w:color="auto"/>
        <w:left w:val="none" w:sz="0" w:space="0" w:color="auto"/>
        <w:bottom w:val="none" w:sz="0" w:space="0" w:color="auto"/>
        <w:right w:val="none" w:sz="0" w:space="0" w:color="auto"/>
      </w:divBdr>
    </w:div>
    <w:div w:id="1691878243">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1995256385">
      <w:bodyDiv w:val="1"/>
      <w:marLeft w:val="0"/>
      <w:marRight w:val="0"/>
      <w:marTop w:val="0"/>
      <w:marBottom w:val="0"/>
      <w:divBdr>
        <w:top w:val="none" w:sz="0" w:space="0" w:color="auto"/>
        <w:left w:val="none" w:sz="0" w:space="0" w:color="auto"/>
        <w:bottom w:val="none" w:sz="0" w:space="0" w:color="auto"/>
        <w:right w:val="none" w:sz="0" w:space="0" w:color="auto"/>
      </w:divBdr>
      <w:divsChild>
        <w:div w:id="867064666">
          <w:marLeft w:val="994"/>
          <w:marRight w:val="0"/>
          <w:marTop w:val="0"/>
          <w:marBottom w:val="0"/>
          <w:divBdr>
            <w:top w:val="none" w:sz="0" w:space="0" w:color="auto"/>
            <w:left w:val="none" w:sz="0" w:space="0" w:color="auto"/>
            <w:bottom w:val="none" w:sz="0" w:space="0" w:color="auto"/>
            <w:right w:val="none" w:sz="0" w:space="0" w:color="auto"/>
          </w:divBdr>
        </w:div>
        <w:div w:id="1277637725">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F75A1F7A77E48B395AE0A93DE2BD9" ma:contentTypeVersion="0" ma:contentTypeDescription="Create a new document." ma:contentTypeScope="" ma:versionID="5d7112c84504b6537cc08c6e5c7efc04">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5C333-B1AE-4FAB-84A6-A32AF4D321A9}">
  <ds:schemaRef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purl.org/dc/dcmitype/"/>
    <ds:schemaRef ds:uri="http://purl.org/dc/terms/"/>
  </ds:schemaRefs>
</ds:datastoreItem>
</file>

<file path=customXml/itemProps2.xml><?xml version="1.0" encoding="utf-8"?>
<ds:datastoreItem xmlns:ds="http://schemas.openxmlformats.org/officeDocument/2006/customXml" ds:itemID="{7797B395-5CE1-4E05-9EF1-78543A128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9733D1A-C6B7-436F-9703-350155CBBDF1}">
  <ds:schemaRefs>
    <ds:schemaRef ds:uri="http://schemas.microsoft.com/sharepoint/v3/contenttype/forms"/>
  </ds:schemaRefs>
</ds:datastoreItem>
</file>

<file path=customXml/itemProps4.xml><?xml version="1.0" encoding="utf-8"?>
<ds:datastoreItem xmlns:ds="http://schemas.openxmlformats.org/officeDocument/2006/customXml" ds:itemID="{AE7D833B-D07F-4CCA-AE33-97CEEADD3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2274</Words>
  <Characters>12967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15211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Dawid Koziol</cp:lastModifiedBy>
  <cp:revision>2</cp:revision>
  <cp:lastPrinted>2014-08-13T15:20:00Z</cp:lastPrinted>
  <dcterms:created xsi:type="dcterms:W3CDTF">2021-10-21T19:40:00Z</dcterms:created>
  <dcterms:modified xsi:type="dcterms:W3CDTF">2021-10-21T19:40:00Z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(3)JEqH0wcRiMTfSYfbxTgO0SF+ULwFnbcwSkxUeH9qKHDXWfzMamSVpUwFJt1ot4xpQ+pqHONm_x000d_
k/IjU+vjaYnJhmfSP+KMg6t8+cv5YcSDVLY3VXk6zaq+BdFj98hk6T+V/kL9/J4rKUh6N16P_x000d_
+AImraJwQ5MVjGBBK/LNcuZWSgRUxmVJCj2haN0bCCrbE6fezUDXbhYq8BTSVul/YTAdTlUq_x000d_
S741B7/KA2dYtaxUJc</vt:lpwstr>
  </property>
  <property fmtid="{D5CDD505-2E9C-101B-9397-08002B2CF9AE}" pid="3" name="_2015_ms_pID_7253431">
    <vt:lpwstr>7ATF5EVcsddAkAJVNwhxSTxe9oaZESnPKiz03VD0/22Vkc3pXI4EMv_x000d_
IRI12zjExGAHl5ZUuK1qOfOTMhE1JVLBqQvJH4Oka8XTapf4T393Cy0tcQoP+dJqdBb2Pzmz_x000d_
LccTicJOuxEQKjrMcJ/dJwfsaqEWxUXT3uIpP8q8Bb3lpITpJaLBC4bIiAAcCQrGVQVRGtob_x000d_
ZoNxt5BAH/AKwyYWdoArdQjjFr0RO5ls62oc</vt:lpwstr>
  </property>
  <property fmtid="{D5CDD505-2E9C-101B-9397-08002B2CF9AE}" pid="4" name="_2015_ms_pID_7253432">
    <vt:lpwstr>mRCcEUHu7RkSXSMtjXtoQfo=</vt:lpwstr>
  </property>
  <property fmtid="{D5CDD505-2E9C-101B-9397-08002B2CF9AE}" pid="5" name="ContentTypeId">
    <vt:lpwstr>0x0101007B8F75A1F7A77E48B395AE0A93DE2BD9</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1634634783</vt:lpwstr>
  </property>
</Properties>
</file>