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5E4AB" w14:textId="55AA583D" w:rsidR="00CB40E6" w:rsidRPr="00281A37" w:rsidRDefault="007C3C3A" w:rsidP="008B0082">
      <w:pPr>
        <w:tabs>
          <w:tab w:val="left" w:pos="567"/>
        </w:tabs>
        <w:overflowPunct/>
        <w:autoSpaceDE/>
        <w:autoSpaceDN/>
        <w:snapToGrid w:val="0"/>
        <w:spacing w:after="0"/>
        <w:textAlignment w:val="auto"/>
        <w:rPr>
          <w:rFonts w:ascii="Arial" w:eastAsia="MS Mincho" w:hAnsi="Arial" w:cs="Arial"/>
          <w:b/>
          <w:sz w:val="24"/>
          <w:szCs w:val="28"/>
        </w:rPr>
      </w:pPr>
      <w:r w:rsidRPr="00281A37">
        <w:rPr>
          <w:rFonts w:ascii="Arial" w:hAnsi="Arial" w:cs="Arial"/>
          <w:b/>
          <w:sz w:val="24"/>
          <w:szCs w:val="28"/>
        </w:rPr>
        <w:t xml:space="preserve">3GPP </w:t>
      </w:r>
      <w:r w:rsidR="001C18EB" w:rsidRPr="00281A37">
        <w:rPr>
          <w:rFonts w:ascii="Arial" w:hAnsi="Arial" w:cs="Arial"/>
          <w:b/>
          <w:sz w:val="24"/>
          <w:szCs w:val="28"/>
        </w:rPr>
        <w:t xml:space="preserve">TSG </w:t>
      </w:r>
      <w:r w:rsidR="004B3C92" w:rsidRPr="00281A37">
        <w:rPr>
          <w:rFonts w:ascii="Arial" w:hAnsi="Arial" w:cs="Arial"/>
          <w:b/>
          <w:sz w:val="24"/>
          <w:szCs w:val="28"/>
        </w:rPr>
        <w:t>RAN</w:t>
      </w:r>
      <w:r w:rsidR="00654A7F" w:rsidRPr="00281A37">
        <w:rPr>
          <w:rFonts w:ascii="Arial" w:hAnsi="Arial" w:cs="Arial"/>
          <w:b/>
          <w:sz w:val="24"/>
          <w:szCs w:val="28"/>
        </w:rPr>
        <w:t xml:space="preserve"> </w:t>
      </w:r>
      <w:r w:rsidR="00505BF1" w:rsidRPr="00281A37">
        <w:rPr>
          <w:rFonts w:ascii="Arial" w:hAnsi="Arial" w:cs="Arial"/>
          <w:b/>
          <w:sz w:val="24"/>
          <w:szCs w:val="28"/>
        </w:rPr>
        <w:t>WG2</w:t>
      </w:r>
      <w:r w:rsidR="00654A7F" w:rsidRPr="00281A37">
        <w:rPr>
          <w:rFonts w:ascii="Arial" w:hAnsi="Arial" w:cs="Arial"/>
          <w:b/>
          <w:sz w:val="24"/>
          <w:szCs w:val="28"/>
        </w:rPr>
        <w:t xml:space="preserve"> #</w:t>
      </w:r>
      <w:r w:rsidR="00DA1DCB" w:rsidRPr="00281A37">
        <w:rPr>
          <w:rFonts w:ascii="Arial" w:hAnsi="Arial" w:cs="Arial"/>
          <w:b/>
          <w:sz w:val="24"/>
          <w:szCs w:val="28"/>
        </w:rPr>
        <w:t>11</w:t>
      </w:r>
      <w:r w:rsidR="003A0E2E">
        <w:rPr>
          <w:rFonts w:ascii="Arial" w:hAnsi="Arial" w:cs="Arial"/>
          <w:b/>
          <w:sz w:val="24"/>
          <w:szCs w:val="28"/>
        </w:rPr>
        <w:t>6</w:t>
      </w:r>
      <w:r w:rsidR="00DA1DCB" w:rsidRPr="00281A37">
        <w:rPr>
          <w:rFonts w:ascii="Arial" w:hAnsi="Arial" w:cs="Arial"/>
          <w:b/>
          <w:sz w:val="24"/>
          <w:szCs w:val="28"/>
        </w:rPr>
        <w:t>-e</w:t>
      </w:r>
      <w:r w:rsidR="00F35990" w:rsidRPr="00281A37">
        <w:rPr>
          <w:rFonts w:ascii="Arial" w:hAnsi="Arial" w:cs="Arial"/>
          <w:b/>
          <w:sz w:val="24"/>
          <w:szCs w:val="28"/>
        </w:rPr>
        <w:tab/>
      </w:r>
      <w:r w:rsidR="005B2698" w:rsidRPr="00281A37">
        <w:rPr>
          <w:rFonts w:ascii="Arial" w:eastAsia="MS Mincho" w:hAnsi="Arial" w:cs="Arial"/>
          <w:b/>
          <w:sz w:val="24"/>
          <w:szCs w:val="28"/>
        </w:rPr>
        <w:tab/>
      </w:r>
      <w:r w:rsidR="00EF6918" w:rsidRPr="00281A37">
        <w:rPr>
          <w:rFonts w:ascii="Arial" w:eastAsia="MS Mincho" w:hAnsi="Arial" w:cs="Arial" w:hint="eastAsia"/>
          <w:b/>
          <w:sz w:val="24"/>
          <w:szCs w:val="28"/>
        </w:rPr>
        <w:tab/>
      </w:r>
      <w:r w:rsidR="00DA1DCB" w:rsidRPr="00281A37">
        <w:rPr>
          <w:rFonts w:ascii="Arial" w:eastAsia="MS Mincho" w:hAnsi="Arial" w:cs="Arial"/>
          <w:b/>
          <w:sz w:val="24"/>
          <w:szCs w:val="28"/>
        </w:rPr>
        <w:tab/>
      </w:r>
      <w:r w:rsidR="00DA1DCB" w:rsidRPr="00281A37">
        <w:rPr>
          <w:rFonts w:ascii="Arial" w:eastAsia="MS Mincho" w:hAnsi="Arial" w:cs="Arial"/>
          <w:b/>
          <w:sz w:val="24"/>
          <w:szCs w:val="28"/>
        </w:rPr>
        <w:tab/>
      </w:r>
      <w:r w:rsidR="003C40E5" w:rsidRPr="00281A37">
        <w:rPr>
          <w:rFonts w:ascii="Arial" w:eastAsia="MS Mincho" w:hAnsi="Arial" w:cs="Arial"/>
          <w:b/>
          <w:sz w:val="24"/>
          <w:szCs w:val="28"/>
        </w:rPr>
        <w:tab/>
      </w:r>
      <w:r w:rsidR="003C40E5" w:rsidRPr="00281A37">
        <w:rPr>
          <w:rFonts w:ascii="Arial" w:eastAsia="MS Mincho" w:hAnsi="Arial" w:cs="Arial"/>
          <w:b/>
          <w:sz w:val="24"/>
          <w:szCs w:val="28"/>
        </w:rPr>
        <w:tab/>
      </w:r>
      <w:r w:rsidR="004111E2">
        <w:rPr>
          <w:rFonts w:ascii="Arial" w:eastAsia="MS Mincho" w:hAnsi="Arial" w:cs="Arial"/>
          <w:b/>
          <w:sz w:val="24"/>
          <w:szCs w:val="28"/>
        </w:rPr>
        <w:tab/>
      </w:r>
      <w:r w:rsidR="004111E2">
        <w:rPr>
          <w:rFonts w:ascii="Arial" w:eastAsia="MS Mincho" w:hAnsi="Arial" w:cs="Arial"/>
          <w:b/>
          <w:sz w:val="24"/>
          <w:szCs w:val="28"/>
        </w:rPr>
        <w:tab/>
      </w:r>
      <w:r w:rsidR="00597AFD" w:rsidRPr="00597AFD">
        <w:rPr>
          <w:rFonts w:ascii="Arial" w:hAnsi="Arial" w:cs="Arial"/>
          <w:b/>
          <w:sz w:val="24"/>
          <w:szCs w:val="28"/>
        </w:rPr>
        <w:t>R2-2110605</w:t>
      </w:r>
    </w:p>
    <w:p w14:paraId="330267BD" w14:textId="77D02BD2" w:rsidR="00CB40E6" w:rsidRPr="00281A37" w:rsidRDefault="003A0E2E" w:rsidP="008B0082">
      <w:pPr>
        <w:tabs>
          <w:tab w:val="left" w:pos="567"/>
        </w:tabs>
        <w:rPr>
          <w:rFonts w:ascii="Arial" w:hAnsi="Arial" w:cs="Arial"/>
          <w:b/>
          <w:sz w:val="24"/>
          <w:szCs w:val="28"/>
        </w:rPr>
      </w:pPr>
      <w:r w:rsidRPr="003A0E2E">
        <w:rPr>
          <w:rFonts w:ascii="Arial" w:eastAsia="宋体" w:hAnsi="Arial" w:cs="Arial"/>
          <w:b/>
          <w:noProof/>
          <w:sz w:val="24"/>
          <w:szCs w:val="28"/>
          <w:lang w:eastAsia="zh-CN"/>
        </w:rPr>
        <w:t>Electronic, 1st - 12th Nov</w:t>
      </w:r>
      <w:r w:rsidR="00597AFD">
        <w:rPr>
          <w:rFonts w:ascii="Arial" w:eastAsia="宋体" w:hAnsi="Arial" w:cs="Arial"/>
          <w:b/>
          <w:noProof/>
          <w:sz w:val="24"/>
          <w:szCs w:val="28"/>
          <w:lang w:eastAsia="zh-CN"/>
        </w:rPr>
        <w:t>ember</w:t>
      </w:r>
      <w:r w:rsidRPr="003A0E2E">
        <w:rPr>
          <w:rFonts w:ascii="Arial" w:eastAsia="宋体" w:hAnsi="Arial" w:cs="Arial"/>
          <w:b/>
          <w:noProof/>
          <w:sz w:val="24"/>
          <w:szCs w:val="28"/>
          <w:lang w:eastAsia="zh-CN"/>
        </w:rPr>
        <w:t>, 2021</w:t>
      </w:r>
    </w:p>
    <w:p w14:paraId="7E527B9F" w14:textId="57B74117" w:rsidR="00A67875" w:rsidRPr="00A304A0" w:rsidRDefault="00CB40E6" w:rsidP="0019460F">
      <w:pPr>
        <w:tabs>
          <w:tab w:val="left" w:pos="567"/>
        </w:tabs>
        <w:spacing w:after="60"/>
        <w:rPr>
          <w:rFonts w:ascii="Arial" w:hAnsi="Arial"/>
          <w:b/>
          <w:lang w:val="en-US"/>
        </w:rPr>
      </w:pPr>
      <w:r w:rsidRPr="00A304A0">
        <w:rPr>
          <w:rFonts w:ascii="Arial" w:hAnsi="Arial"/>
          <w:b/>
          <w:lang w:val="en-US"/>
        </w:rPr>
        <w:t>Agenda Item:</w:t>
      </w:r>
      <w:r w:rsidRPr="00A304A0">
        <w:rPr>
          <w:rFonts w:ascii="Arial" w:hAnsi="Arial"/>
          <w:lang w:val="en-US"/>
        </w:rPr>
        <w:tab/>
      </w:r>
      <w:bookmarkStart w:id="0" w:name="Source"/>
      <w:bookmarkEnd w:id="0"/>
      <w:r w:rsidR="00F35990" w:rsidRPr="00A304A0">
        <w:rPr>
          <w:rFonts w:ascii="Arial" w:hAnsi="Arial"/>
          <w:b/>
          <w:lang w:val="en-US"/>
        </w:rPr>
        <w:tab/>
      </w:r>
      <w:r w:rsidR="007A4AAE">
        <w:rPr>
          <w:rFonts w:ascii="Arial" w:hAnsi="Arial"/>
          <w:b/>
          <w:lang w:val="en-US"/>
        </w:rPr>
        <w:t>8.14</w:t>
      </w:r>
      <w:r w:rsidR="00AF19DF">
        <w:rPr>
          <w:rFonts w:ascii="Arial" w:hAnsi="Arial"/>
          <w:b/>
          <w:lang w:val="en-US"/>
        </w:rPr>
        <w:t>.</w:t>
      </w:r>
      <w:r w:rsidR="001B3CCC">
        <w:rPr>
          <w:rFonts w:ascii="Arial" w:hAnsi="Arial"/>
          <w:b/>
          <w:lang w:val="en-US"/>
        </w:rPr>
        <w:t>2</w:t>
      </w:r>
      <w:r w:rsidR="00AF19DF">
        <w:rPr>
          <w:rFonts w:ascii="Arial" w:hAnsi="Arial"/>
          <w:b/>
          <w:lang w:val="en-US"/>
        </w:rPr>
        <w:t>.</w:t>
      </w:r>
      <w:r w:rsidR="001B3CCC">
        <w:rPr>
          <w:rFonts w:ascii="Arial" w:hAnsi="Arial"/>
          <w:b/>
          <w:lang w:val="en-US"/>
        </w:rPr>
        <w:t>1</w:t>
      </w:r>
    </w:p>
    <w:p w14:paraId="3D5D8B48" w14:textId="77777777" w:rsidR="00CB40E6" w:rsidRPr="00A304A0" w:rsidRDefault="00F35990" w:rsidP="0019460F">
      <w:pPr>
        <w:tabs>
          <w:tab w:val="left" w:pos="567"/>
        </w:tabs>
        <w:spacing w:after="60"/>
        <w:rPr>
          <w:rFonts w:ascii="Arial" w:hAnsi="Arial"/>
        </w:rPr>
      </w:pPr>
      <w:r w:rsidRPr="00A304A0">
        <w:rPr>
          <w:rFonts w:ascii="Arial" w:hAnsi="Arial"/>
          <w:b/>
        </w:rPr>
        <w:t>Source:</w:t>
      </w:r>
      <w:r w:rsidR="00CB40E6" w:rsidRPr="00A304A0">
        <w:rPr>
          <w:rFonts w:ascii="Arial" w:hAnsi="Arial"/>
          <w:b/>
        </w:rPr>
        <w:tab/>
      </w:r>
      <w:r w:rsidRPr="00A304A0">
        <w:rPr>
          <w:rFonts w:ascii="Arial" w:hAnsi="Arial"/>
          <w:b/>
        </w:rPr>
        <w:tab/>
      </w:r>
      <w:r w:rsidRPr="00A304A0">
        <w:rPr>
          <w:rFonts w:ascii="Arial" w:hAnsi="Arial"/>
          <w:b/>
        </w:rPr>
        <w:tab/>
      </w:r>
      <w:r w:rsidR="00985CA0">
        <w:rPr>
          <w:rFonts w:ascii="Arial" w:hAnsi="Arial"/>
          <w:b/>
        </w:rPr>
        <w:t>Huawei, HiSilicon</w:t>
      </w:r>
    </w:p>
    <w:p w14:paraId="48B52132" w14:textId="4ABBEC72" w:rsidR="00BD7C2A" w:rsidRPr="00A304A0" w:rsidRDefault="00CB40E6" w:rsidP="0019460F">
      <w:pPr>
        <w:tabs>
          <w:tab w:val="left" w:pos="567"/>
        </w:tabs>
        <w:spacing w:after="60"/>
        <w:rPr>
          <w:rFonts w:ascii="Arial" w:hAnsi="Arial"/>
        </w:rPr>
      </w:pPr>
      <w:r w:rsidRPr="00A304A0">
        <w:rPr>
          <w:rFonts w:ascii="Arial" w:hAnsi="Arial"/>
          <w:b/>
        </w:rPr>
        <w:t>Title:</w:t>
      </w:r>
      <w:r w:rsidR="00F35990" w:rsidRPr="00A304A0">
        <w:rPr>
          <w:rFonts w:ascii="Arial" w:hAnsi="Arial"/>
        </w:rPr>
        <w:tab/>
      </w:r>
      <w:r w:rsidR="00F35990" w:rsidRPr="00A304A0">
        <w:rPr>
          <w:rFonts w:ascii="Arial" w:hAnsi="Arial"/>
        </w:rPr>
        <w:tab/>
      </w:r>
      <w:r w:rsidR="00F35990" w:rsidRPr="00A304A0">
        <w:rPr>
          <w:rFonts w:ascii="Arial" w:hAnsi="Arial"/>
        </w:rPr>
        <w:tab/>
      </w:r>
      <w:r w:rsidR="00F35990" w:rsidRPr="00A304A0">
        <w:rPr>
          <w:rFonts w:ascii="Arial" w:hAnsi="Arial"/>
        </w:rPr>
        <w:tab/>
      </w:r>
      <w:r w:rsidR="004111E2" w:rsidRPr="004111E2">
        <w:rPr>
          <w:rFonts w:ascii="Arial" w:hAnsi="Arial"/>
          <w:b/>
        </w:rPr>
        <w:t>Discussion on QoE measurement configuration and reporting</w:t>
      </w:r>
    </w:p>
    <w:p w14:paraId="67C76569" w14:textId="7114A0D9" w:rsidR="004B3C92" w:rsidRPr="00A304A0" w:rsidRDefault="0019460F" w:rsidP="0019460F">
      <w:pPr>
        <w:tabs>
          <w:tab w:val="left" w:pos="567"/>
        </w:tabs>
        <w:spacing w:after="60"/>
        <w:rPr>
          <w:rFonts w:ascii="Arial" w:hAnsi="Arial"/>
        </w:rPr>
      </w:pPr>
      <w:r w:rsidRPr="00A304A0">
        <w:rPr>
          <w:rFonts w:ascii="Arial" w:hAnsi="Arial"/>
          <w:b/>
        </w:rPr>
        <w:t>WID/SID</w:t>
      </w:r>
      <w:r w:rsidR="004B3C92" w:rsidRPr="00A304A0">
        <w:rPr>
          <w:rFonts w:ascii="Arial" w:hAnsi="Arial"/>
          <w:b/>
        </w:rPr>
        <w:t>:</w:t>
      </w:r>
      <w:r w:rsidR="004B3C92" w:rsidRPr="00A304A0">
        <w:rPr>
          <w:rFonts w:ascii="Arial" w:hAnsi="Arial"/>
          <w:b/>
        </w:rPr>
        <w:tab/>
      </w:r>
      <w:r w:rsidR="004B3C92" w:rsidRPr="00A304A0">
        <w:rPr>
          <w:rFonts w:ascii="Arial" w:hAnsi="Arial"/>
          <w:b/>
        </w:rPr>
        <w:tab/>
      </w:r>
      <w:r w:rsidR="004B3C92" w:rsidRPr="00A304A0">
        <w:rPr>
          <w:rFonts w:ascii="Arial" w:hAnsi="Arial"/>
          <w:b/>
        </w:rPr>
        <w:tab/>
      </w:r>
      <w:r w:rsidR="00FA629E" w:rsidRPr="00FA629E">
        <w:rPr>
          <w:rFonts w:ascii="Arial" w:hAnsi="Arial"/>
          <w:b/>
        </w:rPr>
        <w:t>NR_</w:t>
      </w:r>
      <w:r w:rsidR="00FA629E" w:rsidRPr="00FA629E">
        <w:rPr>
          <w:rFonts w:ascii="Arial" w:hAnsi="Arial" w:hint="eastAsia"/>
          <w:b/>
        </w:rPr>
        <w:t>QoE</w:t>
      </w:r>
      <w:r w:rsidR="00FA629E" w:rsidRPr="00FA629E">
        <w:rPr>
          <w:rFonts w:ascii="Arial" w:hAnsi="Arial"/>
          <w:b/>
        </w:rPr>
        <w:t>-Core</w:t>
      </w:r>
    </w:p>
    <w:p w14:paraId="678A5CB6" w14:textId="73674CF5" w:rsidR="00D62905" w:rsidRPr="00A304A0" w:rsidRDefault="0019460F" w:rsidP="0019460F">
      <w:pPr>
        <w:tabs>
          <w:tab w:val="left" w:pos="567"/>
        </w:tabs>
        <w:spacing w:after="60"/>
        <w:rPr>
          <w:rFonts w:ascii="Arial" w:hAnsi="Arial"/>
          <w:b/>
        </w:rPr>
      </w:pPr>
      <w:r w:rsidRPr="00A304A0">
        <w:rPr>
          <w:rFonts w:ascii="Arial" w:hAnsi="Arial"/>
          <w:b/>
        </w:rPr>
        <w:t>Document for</w:t>
      </w:r>
      <w:r w:rsidR="00D62905" w:rsidRPr="00A304A0">
        <w:rPr>
          <w:rFonts w:ascii="Arial" w:hAnsi="Arial"/>
          <w:b/>
        </w:rPr>
        <w:t>:</w:t>
      </w:r>
      <w:r w:rsidR="00D62905" w:rsidRPr="00A304A0">
        <w:rPr>
          <w:rFonts w:ascii="Arial" w:hAnsi="Arial"/>
          <w:b/>
        </w:rPr>
        <w:tab/>
      </w:r>
      <w:r w:rsidR="00D62905" w:rsidRPr="00A304A0">
        <w:rPr>
          <w:rFonts w:ascii="Arial" w:hAnsi="Arial"/>
          <w:b/>
        </w:rPr>
        <w:tab/>
      </w:r>
      <w:r w:rsidRPr="00A304A0">
        <w:rPr>
          <w:rFonts w:ascii="Arial" w:hAnsi="Arial"/>
          <w:b/>
        </w:rPr>
        <w:t>Discussion and Decision</w:t>
      </w:r>
      <w:r w:rsidR="00BA5DD5">
        <w:rPr>
          <w:rFonts w:ascii="Arial" w:hAnsi="Arial"/>
          <w:b/>
        </w:rPr>
        <w:t xml:space="preserve"> </w:t>
      </w:r>
    </w:p>
    <w:p w14:paraId="42139DB7" w14:textId="77777777" w:rsidR="00CB40E6" w:rsidRPr="00A304A0" w:rsidRDefault="00CB40E6" w:rsidP="00F35990">
      <w:pPr>
        <w:pBdr>
          <w:bottom w:val="single" w:sz="12" w:space="1" w:color="auto"/>
        </w:pBdr>
        <w:tabs>
          <w:tab w:val="left" w:pos="567"/>
        </w:tabs>
      </w:pPr>
    </w:p>
    <w:p w14:paraId="05964908" w14:textId="77777777" w:rsidR="00CB40E6" w:rsidRPr="00A304A0" w:rsidRDefault="004F7FE5" w:rsidP="001405E2">
      <w:pPr>
        <w:pStyle w:val="Heading3"/>
      </w:pPr>
      <w:r w:rsidRPr="00A304A0">
        <w:t>1</w:t>
      </w:r>
      <w:r w:rsidRPr="00A304A0">
        <w:tab/>
      </w:r>
      <w:r w:rsidR="004B3C92" w:rsidRPr="00A304A0">
        <w:t>Introduction</w:t>
      </w:r>
    </w:p>
    <w:p w14:paraId="10866798" w14:textId="724A5E9E" w:rsidR="00505BF1" w:rsidRDefault="00505BF1" w:rsidP="00505BF1">
      <w:pPr>
        <w:jc w:val="both"/>
      </w:pPr>
      <w:r>
        <w:t xml:space="preserve">In </w:t>
      </w:r>
      <w:r w:rsidR="00C45F9E">
        <w:t>the last meeting, RAN2 discussed the configuration and repo</w:t>
      </w:r>
      <w:r w:rsidR="00BE2B13">
        <w:t>rting of QoE measurement</w:t>
      </w:r>
      <w:r w:rsidR="00BD21C9">
        <w:t>s</w:t>
      </w:r>
      <w:r w:rsidR="00BE2B13">
        <w:t xml:space="preserve"> and made</w:t>
      </w:r>
      <w:r w:rsidR="00C45F9E">
        <w:t xml:space="preserve"> the following agreements</w:t>
      </w:r>
      <w:r>
        <w:t>:</w:t>
      </w:r>
    </w:p>
    <w:tbl>
      <w:tblPr>
        <w:tblStyle w:val="TableGrid"/>
        <w:tblW w:w="0" w:type="auto"/>
        <w:tblLook w:val="04A0" w:firstRow="1" w:lastRow="0" w:firstColumn="1" w:lastColumn="0" w:noHBand="0" w:noVBand="1"/>
      </w:tblPr>
      <w:tblGrid>
        <w:gridCol w:w="9628"/>
      </w:tblGrid>
      <w:tr w:rsidR="003A0E2E" w14:paraId="34F12904" w14:textId="77777777" w:rsidTr="003A0E2E">
        <w:tc>
          <w:tcPr>
            <w:tcW w:w="9628" w:type="dxa"/>
          </w:tcPr>
          <w:p w14:paraId="22BF5260" w14:textId="77777777" w:rsidR="003A0E2E" w:rsidRPr="00827557" w:rsidRDefault="003A0E2E" w:rsidP="003A0E2E">
            <w:pPr>
              <w:pStyle w:val="Agreement"/>
              <w:rPr>
                <w:lang w:val="sv-SE"/>
              </w:rPr>
            </w:pPr>
            <w:r w:rsidRPr="00D83DB5">
              <w:rPr>
                <w:lang w:val="sv-SE"/>
              </w:rPr>
              <w:t>It is the RAN2 understanding that the QoE Reference does not need to be sent to or from the UE in RRC signaling for QoE measurements in RRC_CONNECTED. The RRC ID, MeasConfigAppLayerId, is sufficient to identify the QoE configurat</w:t>
            </w:r>
            <w:r>
              <w:rPr>
                <w:lang w:val="sv-SE"/>
              </w:rPr>
              <w:t xml:space="preserve">ion between UE and gNB. </w:t>
            </w:r>
          </w:p>
          <w:p w14:paraId="20C7F123" w14:textId="77777777" w:rsidR="003A0E2E" w:rsidRPr="00827557" w:rsidRDefault="003A0E2E" w:rsidP="003A0E2E">
            <w:pPr>
              <w:pStyle w:val="Agreement"/>
              <w:rPr>
                <w:lang w:val="sv-SE"/>
              </w:rPr>
            </w:pPr>
            <w:r>
              <w:rPr>
                <w:lang w:val="sv-SE"/>
              </w:rPr>
              <w:t xml:space="preserve">RAN2 assumes that </w:t>
            </w:r>
            <w:r w:rsidRPr="00D83DB5">
              <w:rPr>
                <w:lang w:val="sv-SE"/>
              </w:rPr>
              <w:t>gNB keeps the mapping between MeasConfigAppLayerId and QoE Reference. The mapping is sent to the target gNB as part of QoE configuration and information at handover.</w:t>
            </w:r>
            <w:r>
              <w:rPr>
                <w:lang w:val="sv-SE"/>
              </w:rPr>
              <w:t xml:space="preserve"> </w:t>
            </w:r>
          </w:p>
          <w:p w14:paraId="317A9166" w14:textId="77777777" w:rsidR="003A0E2E" w:rsidRPr="004259E5" w:rsidRDefault="003A0E2E" w:rsidP="003A0E2E">
            <w:pPr>
              <w:pStyle w:val="Agreement"/>
              <w:rPr>
                <w:lang w:val="sv-SE"/>
              </w:rPr>
            </w:pPr>
            <w:r w:rsidRPr="00D83DB5">
              <w:rPr>
                <w:lang w:val="sv-SE"/>
              </w:rPr>
              <w:t xml:space="preserve">Send an LS to SA5 </w:t>
            </w:r>
            <w:r>
              <w:rPr>
                <w:lang w:val="sv-SE"/>
              </w:rPr>
              <w:t xml:space="preserve">(cc R3) </w:t>
            </w:r>
            <w:r w:rsidRPr="00D83DB5">
              <w:rPr>
                <w:lang w:val="sv-SE"/>
              </w:rPr>
              <w:t>to confirm proposals (agreements) 1 and 2.</w:t>
            </w:r>
          </w:p>
          <w:p w14:paraId="4628CD0C" w14:textId="77777777" w:rsidR="003A0E2E" w:rsidRDefault="003A0E2E" w:rsidP="003A0E2E">
            <w:pPr>
              <w:pStyle w:val="Agreement"/>
              <w:rPr>
                <w:lang w:val="sv-SE"/>
              </w:rPr>
            </w:pPr>
            <w:r w:rsidRPr="00D83DB5">
              <w:rPr>
                <w:lang w:val="sv-SE"/>
              </w:rPr>
              <w:t>FFS if the RRC layer forwards the MeasConfigAppLayerId together with the QoE configuration to the application layer.</w:t>
            </w:r>
          </w:p>
          <w:p w14:paraId="264F1AC8" w14:textId="77777777" w:rsidR="003A0E2E" w:rsidRPr="00A67A15" w:rsidRDefault="003A0E2E" w:rsidP="003A0E2E">
            <w:pPr>
              <w:pStyle w:val="Agreement"/>
              <w:rPr>
                <w:lang w:val="sv-SE"/>
              </w:rPr>
            </w:pPr>
            <w:r w:rsidRPr="00D83DB5">
              <w:rPr>
                <w:lang w:val="sv-SE"/>
              </w:rPr>
              <w:t>Confirm that RAN2 deprioritizes QoE measurement in RRC_IDLE/RRC_INACTIVE in Rel-17.</w:t>
            </w:r>
          </w:p>
          <w:p w14:paraId="43C320D4" w14:textId="77777777" w:rsidR="003A0E2E" w:rsidRDefault="003A0E2E" w:rsidP="003A0E2E">
            <w:pPr>
              <w:pStyle w:val="Agreement"/>
              <w:rPr>
                <w:lang w:val="sv-SE"/>
              </w:rPr>
            </w:pPr>
            <w:r w:rsidRPr="00D83DB5">
              <w:rPr>
                <w:lang w:val="sv-SE"/>
              </w:rPr>
              <w:t>Sen</w:t>
            </w:r>
            <w:r>
              <w:rPr>
                <w:lang w:val="sv-SE"/>
              </w:rPr>
              <w:t xml:space="preserve">d an LS to SA5 for confirmation of max number of QoE configurations per UE. Number 8 could be assumed, to be finally concluded offline. </w:t>
            </w:r>
          </w:p>
          <w:p w14:paraId="2FCF4B5E" w14:textId="77777777" w:rsidR="003A0E2E" w:rsidRDefault="003A0E2E" w:rsidP="003A0E2E">
            <w:pPr>
              <w:pStyle w:val="Doc-text2"/>
              <w:rPr>
                <w:lang w:val="sv-SE"/>
              </w:rPr>
            </w:pPr>
          </w:p>
          <w:p w14:paraId="7D48A98F" w14:textId="77777777" w:rsidR="003A0E2E" w:rsidRPr="0073147C" w:rsidRDefault="003A0E2E" w:rsidP="003A0E2E">
            <w:pPr>
              <w:pStyle w:val="Agreement"/>
              <w:rPr>
                <w:lang w:val="sv-SE"/>
              </w:rPr>
            </w:pPr>
            <w:r>
              <w:rPr>
                <w:lang w:val="sv-SE"/>
              </w:rPr>
              <w:t>R2 has not concluded the max no of QoE configs per UE, numbers in the range 8 - 64 are discussed.</w:t>
            </w:r>
          </w:p>
          <w:p w14:paraId="2C50DB13" w14:textId="77777777" w:rsidR="003A0E2E" w:rsidRPr="003A0E2E" w:rsidRDefault="003A0E2E" w:rsidP="00505BF1">
            <w:pPr>
              <w:jc w:val="both"/>
              <w:rPr>
                <w:lang w:val="sv-SE"/>
              </w:rPr>
            </w:pPr>
          </w:p>
        </w:tc>
      </w:tr>
    </w:tbl>
    <w:p w14:paraId="069767F0" w14:textId="38CCAEC3" w:rsidR="004350B4" w:rsidRDefault="005A7496" w:rsidP="00B44DD5">
      <w:pPr>
        <w:spacing w:before="240" w:after="0"/>
      </w:pPr>
      <w:r>
        <w:t>In this contribution, we will discuss the remaining issues of configuration and reporting.</w:t>
      </w:r>
    </w:p>
    <w:p w14:paraId="797B21E0" w14:textId="77777777" w:rsidR="00A31492" w:rsidRDefault="00A31492" w:rsidP="00A31492">
      <w:pPr>
        <w:pStyle w:val="Heading3"/>
      </w:pPr>
      <w:r w:rsidRPr="00A304A0">
        <w:t>2</w:t>
      </w:r>
      <w:r w:rsidRPr="00A304A0">
        <w:tab/>
      </w:r>
      <w:r w:rsidR="006933B3">
        <w:t>Discussion</w:t>
      </w:r>
    </w:p>
    <w:p w14:paraId="604EF4E9" w14:textId="4202D6A0" w:rsidR="009C50D3" w:rsidRDefault="009C50D3" w:rsidP="009C50D3">
      <w:pPr>
        <w:pStyle w:val="Heading4"/>
      </w:pPr>
      <w:r w:rsidRPr="00A304A0">
        <w:t>2</w:t>
      </w:r>
      <w:r>
        <w:t>.</w:t>
      </w:r>
      <w:r w:rsidR="004B0ADC">
        <w:t>1</w:t>
      </w:r>
      <w:r w:rsidRPr="00A304A0">
        <w:tab/>
      </w:r>
      <w:r>
        <w:t>RRC level ID</w:t>
      </w:r>
    </w:p>
    <w:p w14:paraId="0EDCCE09" w14:textId="3705CE06" w:rsidR="002425A9" w:rsidRDefault="002425A9" w:rsidP="008E2953">
      <w:pPr>
        <w:tabs>
          <w:tab w:val="left" w:pos="1560"/>
        </w:tabs>
        <w:overflowPunct/>
        <w:autoSpaceDE/>
        <w:autoSpaceDN/>
        <w:adjustRightInd/>
        <w:textAlignment w:val="auto"/>
        <w:rPr>
          <w:rFonts w:eastAsia="宋体"/>
          <w:lang w:eastAsia="zh-CN"/>
        </w:rPr>
      </w:pPr>
      <w:r w:rsidRPr="002425A9">
        <w:rPr>
          <w:rFonts w:eastAsia="宋体" w:hint="eastAsia"/>
          <w:lang w:eastAsia="zh-CN"/>
        </w:rPr>
        <w:t>I</w:t>
      </w:r>
      <w:r w:rsidRPr="002425A9">
        <w:rPr>
          <w:rFonts w:eastAsia="宋体"/>
          <w:lang w:eastAsia="zh-CN"/>
        </w:rPr>
        <w:t xml:space="preserve">n the </w:t>
      </w:r>
      <w:r>
        <w:rPr>
          <w:rFonts w:eastAsia="宋体"/>
          <w:lang w:eastAsia="zh-CN"/>
        </w:rPr>
        <w:t xml:space="preserve">last meeting </w:t>
      </w:r>
      <w:r w:rsidR="00B87851">
        <w:rPr>
          <w:rFonts w:eastAsia="宋体"/>
          <w:lang w:eastAsia="zh-CN"/>
        </w:rPr>
        <w:t xml:space="preserve">of </w:t>
      </w:r>
      <w:r w:rsidR="006E593C">
        <w:rPr>
          <w:rFonts w:eastAsia="宋体"/>
          <w:lang w:eastAsia="zh-CN"/>
        </w:rPr>
        <w:t xml:space="preserve">RAN2#115, RAN2 </w:t>
      </w:r>
      <w:r>
        <w:rPr>
          <w:rFonts w:eastAsia="宋体"/>
          <w:lang w:eastAsia="zh-CN"/>
        </w:rPr>
        <w:t xml:space="preserve">agreed that the NG-RAN will send the RRC level ID, </w:t>
      </w:r>
      <w:r w:rsidR="006E593C">
        <w:rPr>
          <w:rFonts w:eastAsia="宋体"/>
          <w:lang w:eastAsia="zh-CN"/>
        </w:rPr>
        <w:t>M</w:t>
      </w:r>
      <w:r>
        <w:rPr>
          <w:rFonts w:eastAsia="宋体"/>
          <w:lang w:eastAsia="zh-CN"/>
        </w:rPr>
        <w:t xml:space="preserve">easConfigAppLayerId, to the UE in order to identify the QoE configuration. In the meeting </w:t>
      </w:r>
      <w:r w:rsidR="00B87851">
        <w:rPr>
          <w:rFonts w:eastAsia="宋体"/>
          <w:lang w:eastAsia="zh-CN"/>
        </w:rPr>
        <w:t xml:space="preserve">of </w:t>
      </w:r>
      <w:r w:rsidR="006E593C">
        <w:rPr>
          <w:rFonts w:eastAsia="宋体"/>
          <w:lang w:eastAsia="zh-CN"/>
        </w:rPr>
        <w:t xml:space="preserve">RAN2#114, RAN2 </w:t>
      </w:r>
      <w:r>
        <w:rPr>
          <w:rFonts w:eastAsia="宋体"/>
          <w:lang w:eastAsia="zh-CN"/>
        </w:rPr>
        <w:t>agreed that the RRC level ID together with corresponding QoE report container should be included in MeasReportAppLayer message for each QoE report.</w:t>
      </w:r>
      <w:r w:rsidR="006E593C">
        <w:rPr>
          <w:rFonts w:eastAsia="宋体"/>
          <w:lang w:eastAsia="zh-CN"/>
        </w:rPr>
        <w:t xml:space="preserve"> In this meeting, RAN2 received</w:t>
      </w:r>
      <w:r w:rsidR="0049277E">
        <w:rPr>
          <w:rFonts w:eastAsia="宋体"/>
          <w:lang w:eastAsia="zh-CN"/>
        </w:rPr>
        <w:t xml:space="preserve"> the reply LSs [1] [2] from SA5 and RAN3. Both of them think it is possible to </w:t>
      </w:r>
      <w:r w:rsidR="0049277E" w:rsidRPr="0049277E">
        <w:rPr>
          <w:rFonts w:eastAsia="宋体"/>
          <w:lang w:eastAsia="zh-CN"/>
        </w:rPr>
        <w:t>provide multiple QoE measurement configurations for one certain service type</w:t>
      </w:r>
      <w:r w:rsidR="0049277E">
        <w:rPr>
          <w:rFonts w:eastAsia="宋体"/>
          <w:lang w:eastAsia="zh-CN"/>
        </w:rPr>
        <w:t>. Therefore</w:t>
      </w:r>
      <w:r w:rsidR="006E593C">
        <w:rPr>
          <w:rFonts w:eastAsia="宋体"/>
          <w:lang w:eastAsia="zh-CN"/>
        </w:rPr>
        <w:t>,</w:t>
      </w:r>
      <w:r w:rsidR="0049277E">
        <w:rPr>
          <w:rFonts w:eastAsia="宋体"/>
          <w:lang w:eastAsia="zh-CN"/>
        </w:rPr>
        <w:t xml:space="preserve"> we think the UE </w:t>
      </w:r>
      <w:r w:rsidR="002C3E3A">
        <w:rPr>
          <w:rFonts w:eastAsia="宋体"/>
          <w:lang w:eastAsia="zh-CN"/>
        </w:rPr>
        <w:t>RRC layer</w:t>
      </w:r>
      <w:r w:rsidR="0049277E">
        <w:rPr>
          <w:rFonts w:eastAsia="宋体"/>
          <w:lang w:eastAsia="zh-CN"/>
        </w:rPr>
        <w:t xml:space="preserve"> should forward the MeasConfigAppLayerId to the UE APP, then the UE APP will send the MeasConfigAppLayerId together with the QoE report container to the UE </w:t>
      </w:r>
      <w:r w:rsidR="00B87851">
        <w:rPr>
          <w:rFonts w:eastAsia="宋体"/>
          <w:lang w:eastAsia="zh-CN"/>
        </w:rPr>
        <w:t>RRC layer</w:t>
      </w:r>
      <w:r w:rsidR="0049277E">
        <w:rPr>
          <w:rFonts w:eastAsia="宋体"/>
          <w:lang w:eastAsia="zh-CN"/>
        </w:rPr>
        <w:t>.</w:t>
      </w:r>
    </w:p>
    <w:p w14:paraId="07DD752F" w14:textId="015E5B10" w:rsidR="0049277E" w:rsidRDefault="0049277E" w:rsidP="0049277E">
      <w:pPr>
        <w:tabs>
          <w:tab w:val="left" w:pos="1560"/>
        </w:tabs>
        <w:overflowPunct/>
        <w:autoSpaceDE/>
        <w:autoSpaceDN/>
        <w:adjustRightInd/>
        <w:textAlignment w:val="auto"/>
        <w:rPr>
          <w:rFonts w:eastAsia="宋体"/>
          <w:b/>
          <w:lang w:eastAsia="zh-CN"/>
        </w:rPr>
      </w:pPr>
      <w:r w:rsidRPr="001A5C87">
        <w:rPr>
          <w:rFonts w:eastAsia="宋体"/>
          <w:b/>
          <w:lang w:eastAsia="zh-CN"/>
        </w:rPr>
        <w:lastRenderedPageBreak/>
        <w:t xml:space="preserve">Proposal </w:t>
      </w:r>
      <w:r>
        <w:rPr>
          <w:rFonts w:eastAsia="宋体"/>
          <w:b/>
          <w:lang w:eastAsia="zh-CN"/>
        </w:rPr>
        <w:t>1</w:t>
      </w:r>
      <w:r w:rsidRPr="001A5C87">
        <w:rPr>
          <w:rFonts w:eastAsia="宋体"/>
          <w:b/>
          <w:lang w:eastAsia="zh-CN"/>
        </w:rPr>
        <w:t xml:space="preserve">:  </w:t>
      </w:r>
      <w:r w:rsidR="002C3E3A">
        <w:rPr>
          <w:rFonts w:eastAsia="宋体"/>
          <w:b/>
          <w:lang w:eastAsia="zh-CN"/>
        </w:rPr>
        <w:t xml:space="preserve">The UE </w:t>
      </w:r>
      <w:r w:rsidR="002C3E3A" w:rsidRPr="002C3E3A">
        <w:rPr>
          <w:rFonts w:eastAsia="宋体"/>
          <w:b/>
          <w:lang w:eastAsia="zh-CN"/>
        </w:rPr>
        <w:t>RRC layer forwards the MeasConfigAppLayerId together with the QoE configuration to the application layer</w:t>
      </w:r>
      <w:r w:rsidR="002C3E3A">
        <w:rPr>
          <w:rFonts w:eastAsia="宋体"/>
          <w:b/>
          <w:lang w:eastAsia="zh-CN"/>
        </w:rPr>
        <w:t xml:space="preserve">. The application layer sends the </w:t>
      </w:r>
      <w:r w:rsidR="002C3E3A" w:rsidRPr="002C3E3A">
        <w:rPr>
          <w:rFonts w:eastAsia="宋体"/>
          <w:b/>
          <w:lang w:eastAsia="zh-CN"/>
        </w:rPr>
        <w:t xml:space="preserve">MeasConfigAppLayerId together with the QoE </w:t>
      </w:r>
      <w:r w:rsidR="002C3E3A">
        <w:rPr>
          <w:rFonts w:eastAsia="宋体"/>
          <w:b/>
          <w:lang w:eastAsia="zh-CN"/>
        </w:rPr>
        <w:t>report</w:t>
      </w:r>
      <w:r w:rsidR="002C3E3A" w:rsidRPr="002C3E3A">
        <w:rPr>
          <w:rFonts w:eastAsia="宋体"/>
          <w:b/>
          <w:lang w:eastAsia="zh-CN"/>
        </w:rPr>
        <w:t xml:space="preserve"> to the </w:t>
      </w:r>
      <w:r w:rsidR="002C3E3A">
        <w:rPr>
          <w:rFonts w:eastAsia="宋体"/>
          <w:b/>
          <w:lang w:eastAsia="zh-CN"/>
        </w:rPr>
        <w:t>UE RRC layer.</w:t>
      </w:r>
    </w:p>
    <w:p w14:paraId="2CB155E3" w14:textId="4F1E813C" w:rsidR="00781A91" w:rsidRDefault="00781A91" w:rsidP="00781A91">
      <w:pPr>
        <w:pStyle w:val="Heading4"/>
      </w:pPr>
      <w:r w:rsidRPr="00A304A0">
        <w:t>2</w:t>
      </w:r>
      <w:r>
        <w:t>.</w:t>
      </w:r>
      <w:r>
        <w:t>2</w:t>
      </w:r>
      <w:r w:rsidRPr="00A304A0">
        <w:tab/>
      </w:r>
      <w:r>
        <w:t xml:space="preserve">QoE </w:t>
      </w:r>
      <w:r>
        <w:t>configuration and report size</w:t>
      </w:r>
    </w:p>
    <w:p w14:paraId="77E46455" w14:textId="289DCB11" w:rsidR="00781A91" w:rsidRDefault="00781A91" w:rsidP="00781A91">
      <w:pPr>
        <w:rPr>
          <w:rFonts w:eastAsiaTheme="minorEastAsia"/>
          <w:lang w:eastAsia="zh-CN"/>
        </w:rPr>
      </w:pPr>
      <w:r>
        <w:rPr>
          <w:rFonts w:eastAsiaTheme="minorEastAsia"/>
          <w:lang w:eastAsia="zh-CN"/>
        </w:rPr>
        <w:t>According to the reply LS [</w:t>
      </w:r>
      <w:r w:rsidR="00B9421D">
        <w:rPr>
          <w:rFonts w:eastAsiaTheme="minorEastAsia"/>
          <w:lang w:eastAsia="zh-CN"/>
        </w:rPr>
        <w:t>5</w:t>
      </w:r>
      <w:bookmarkStart w:id="1" w:name="_GoBack"/>
      <w:bookmarkEnd w:id="1"/>
      <w:r>
        <w:rPr>
          <w:rFonts w:eastAsiaTheme="minorEastAsia"/>
          <w:lang w:eastAsia="zh-CN"/>
        </w:rPr>
        <w:t>] from SA4, SA4 thinks that the size of configuration and reporting may be exceeded in some cases (e.g the VR) and also thinks it is better to remove the size limits for NR QoE configuration and reporting. Otherwise, the APP will discard the NR QoE reporting if the size limit is exceeded.</w:t>
      </w:r>
    </w:p>
    <w:tbl>
      <w:tblPr>
        <w:tblStyle w:val="TableGrid"/>
        <w:tblW w:w="0" w:type="auto"/>
        <w:tblLook w:val="04A0" w:firstRow="1" w:lastRow="0" w:firstColumn="1" w:lastColumn="0" w:noHBand="0" w:noVBand="1"/>
      </w:tblPr>
      <w:tblGrid>
        <w:gridCol w:w="9628"/>
      </w:tblGrid>
      <w:tr w:rsidR="00781A91" w14:paraId="0A0B9F82" w14:textId="77777777" w:rsidTr="000002E5">
        <w:tc>
          <w:tcPr>
            <w:tcW w:w="9628" w:type="dxa"/>
          </w:tcPr>
          <w:p w14:paraId="0FE9FE94" w14:textId="77777777" w:rsidR="00781A91" w:rsidRPr="00007B1F" w:rsidRDefault="00781A91" w:rsidP="000002E5">
            <w:pPr>
              <w:jc w:val="both"/>
              <w:rPr>
                <w:rFonts w:ascii="Arial" w:hAnsi="Arial" w:cs="Arial"/>
                <w:color w:val="000000"/>
                <w:sz w:val="22"/>
                <w:szCs w:val="22"/>
              </w:rPr>
            </w:pPr>
            <w:r w:rsidRPr="00007B1F">
              <w:rPr>
                <w:rFonts w:ascii="Arial" w:hAnsi="Arial" w:cs="Arial"/>
                <w:color w:val="000000"/>
                <w:sz w:val="22"/>
                <w:szCs w:val="22"/>
              </w:rPr>
              <w:t>On your questions about the maximum container size for one QoE measurement configuration or report, SA4 would like to give the answers together.</w:t>
            </w:r>
          </w:p>
          <w:p w14:paraId="1ED8243F" w14:textId="77777777" w:rsidR="00781A91" w:rsidRPr="002C0DBD" w:rsidRDefault="00781A91" w:rsidP="000002E5">
            <w:pPr>
              <w:ind w:leftChars="100" w:left="200"/>
              <w:jc w:val="both"/>
              <w:rPr>
                <w:rFonts w:ascii="Arial" w:hAnsi="Arial" w:cs="Arial"/>
                <w:i/>
                <w:iCs/>
                <w:color w:val="000000"/>
              </w:rPr>
            </w:pPr>
            <w:r w:rsidRPr="002C0DBD">
              <w:rPr>
                <w:rFonts w:ascii="Arial" w:hAnsi="Arial" w:cs="Arial"/>
                <w:i/>
                <w:iCs/>
                <w:color w:val="000000"/>
              </w:rPr>
              <w:t>Issue 3: The maximum container size for one QoE measurement configuration</w:t>
            </w:r>
          </w:p>
          <w:p w14:paraId="64F34C5E" w14:textId="77777777" w:rsidR="00781A91" w:rsidRPr="002C0DBD" w:rsidRDefault="00781A91" w:rsidP="000002E5">
            <w:pPr>
              <w:ind w:leftChars="100" w:left="200"/>
              <w:jc w:val="both"/>
              <w:rPr>
                <w:rFonts w:ascii="Arial" w:hAnsi="Arial" w:cs="Arial"/>
                <w:i/>
                <w:iCs/>
                <w:color w:val="000000"/>
              </w:rPr>
            </w:pPr>
            <w:r w:rsidRPr="002C0DBD">
              <w:rPr>
                <w:rFonts w:ascii="Arial" w:hAnsi="Arial" w:cs="Arial"/>
                <w:i/>
                <w:iCs/>
                <w:color w:val="000000"/>
              </w:rPr>
              <w:t>RAN2 assumes to re-use the maximum container size of 1000 bytes for QoE measurements configuration which is the same as in LTE. RAN2 would like SA4 to confirm the assumption.</w:t>
            </w:r>
          </w:p>
          <w:p w14:paraId="64C596ED" w14:textId="77777777" w:rsidR="00781A91" w:rsidRPr="002C0DBD" w:rsidRDefault="00781A91" w:rsidP="000002E5">
            <w:pPr>
              <w:ind w:leftChars="100" w:left="200"/>
              <w:jc w:val="both"/>
              <w:rPr>
                <w:rFonts w:ascii="Arial" w:hAnsi="Arial" w:cs="Arial"/>
                <w:i/>
                <w:iCs/>
                <w:color w:val="000000"/>
              </w:rPr>
            </w:pPr>
            <w:r w:rsidRPr="002C0DBD">
              <w:rPr>
                <w:rFonts w:ascii="Arial" w:hAnsi="Arial" w:cs="Arial"/>
                <w:i/>
                <w:iCs/>
                <w:color w:val="000000"/>
              </w:rPr>
              <w:t xml:space="preserve">Issue 4: The maximum container size for one QoE report </w:t>
            </w:r>
          </w:p>
          <w:p w14:paraId="0B3BE7B4" w14:textId="77777777" w:rsidR="00781A91" w:rsidRPr="002C0DBD" w:rsidRDefault="00781A91" w:rsidP="000002E5">
            <w:pPr>
              <w:ind w:leftChars="100" w:left="200"/>
              <w:jc w:val="both"/>
              <w:rPr>
                <w:rFonts w:ascii="Arial" w:eastAsia="DengXian" w:hAnsi="Arial" w:cs="Arial"/>
                <w:color w:val="000000"/>
                <w:sz w:val="22"/>
                <w:szCs w:val="22"/>
                <w:lang w:eastAsia="zh-CN"/>
              </w:rPr>
            </w:pPr>
            <w:r w:rsidRPr="002C0DBD">
              <w:rPr>
                <w:rFonts w:ascii="Arial" w:hAnsi="Arial" w:cs="Arial"/>
                <w:i/>
                <w:iCs/>
                <w:color w:val="000000"/>
              </w:rPr>
              <w:t>RAN2 discussed how to report QoE measurements in RRC layer, e.g. whether multiple QoE reports could be included in one RRC message. RAN2 discussed whether to re-use from LTE the maximum container size of 8000 bytes for one QoE report and would like to check with SA4 whether the maximum container size for one QoE report could go beyond 8000 bytes in NR?</w:t>
            </w:r>
          </w:p>
          <w:p w14:paraId="1434A38F" w14:textId="77777777" w:rsidR="00781A91" w:rsidRDefault="00781A91" w:rsidP="000002E5">
            <w:pPr>
              <w:jc w:val="both"/>
              <w:rPr>
                <w:rFonts w:ascii="Arial" w:hAnsi="Arial" w:cs="Arial"/>
                <w:color w:val="000000"/>
                <w:sz w:val="22"/>
                <w:szCs w:val="22"/>
              </w:rPr>
            </w:pPr>
            <w:r>
              <w:rPr>
                <w:rFonts w:ascii="Arial" w:hAnsi="Arial" w:cs="Arial"/>
                <w:color w:val="000000"/>
                <w:sz w:val="22"/>
                <w:szCs w:val="22"/>
              </w:rPr>
              <w:t xml:space="preserve">The current limits were defined based on the then-existing QoE metrics from the MTSI and </w:t>
            </w:r>
            <w:r w:rsidRPr="002011DE">
              <w:rPr>
                <w:rFonts w:ascii="Arial" w:hAnsi="Arial" w:cs="Arial"/>
                <w:color w:val="000000"/>
                <w:sz w:val="22"/>
                <w:szCs w:val="22"/>
              </w:rPr>
              <w:t>3GP-DASH</w:t>
            </w:r>
            <w:r>
              <w:rPr>
                <w:rFonts w:ascii="Arial" w:hAnsi="Arial" w:cs="Arial"/>
                <w:color w:val="000000"/>
                <w:sz w:val="22"/>
                <w:szCs w:val="22"/>
              </w:rPr>
              <w:t xml:space="preserve"> streaming services. While there could be no hard guarantees, it was seen as unlikely that these limits would be exceeded, except for rare cases. Currently, any QoE container exceeding the size limit is simply discarded, under the assumption that </w:t>
            </w:r>
            <w:r w:rsidRPr="002011DE">
              <w:rPr>
                <w:rFonts w:ascii="Arial" w:hAnsi="Arial" w:cs="Arial"/>
                <w:color w:val="000000"/>
                <w:sz w:val="22"/>
                <w:szCs w:val="22"/>
              </w:rPr>
              <w:t>such discards</w:t>
            </w:r>
            <w:r>
              <w:rPr>
                <w:rFonts w:ascii="Arial" w:hAnsi="Arial" w:cs="Arial"/>
                <w:color w:val="000000"/>
                <w:sz w:val="22"/>
                <w:szCs w:val="22"/>
              </w:rPr>
              <w:t xml:space="preserve"> are very rare.</w:t>
            </w:r>
          </w:p>
          <w:p w14:paraId="42735D25" w14:textId="77777777" w:rsidR="00781A91" w:rsidRDefault="00781A91" w:rsidP="000002E5">
            <w:pPr>
              <w:jc w:val="both"/>
              <w:rPr>
                <w:rFonts w:ascii="Arial" w:hAnsi="Arial" w:cs="Arial"/>
                <w:color w:val="000000"/>
                <w:sz w:val="22"/>
                <w:szCs w:val="22"/>
              </w:rPr>
            </w:pPr>
            <w:r>
              <w:rPr>
                <w:rFonts w:ascii="Arial" w:hAnsi="Arial" w:cs="Arial"/>
                <w:color w:val="000000"/>
                <w:sz w:val="22"/>
                <w:szCs w:val="22"/>
              </w:rPr>
              <w:t xml:space="preserve">However, more advanced networks, such as NR, makes it even more relevant to use more advanced immersive services, such as Virtual Reality (VR). These services have much more complex metrics (defined in TS 26.118, clause 9), and </w:t>
            </w:r>
            <w:r w:rsidRPr="00301D7A">
              <w:rPr>
                <w:rFonts w:ascii="Arial" w:hAnsi="Arial" w:cs="Arial"/>
                <w:color w:val="000000"/>
                <w:sz w:val="22"/>
                <w:szCs w:val="22"/>
                <w:shd w:val="clear" w:color="auto" w:fill="FFD966" w:themeFill="accent4" w:themeFillTint="99"/>
              </w:rPr>
              <w:t>there is a higher risk that both the configuration and the reporting size limits might be exceeded</w:t>
            </w:r>
            <w:r>
              <w:rPr>
                <w:rFonts w:ascii="Arial" w:hAnsi="Arial" w:cs="Arial"/>
                <w:color w:val="000000"/>
                <w:sz w:val="22"/>
                <w:szCs w:val="22"/>
              </w:rPr>
              <w:t xml:space="preserve">. </w:t>
            </w:r>
          </w:p>
          <w:p w14:paraId="5EC9371F" w14:textId="77777777" w:rsidR="00781A91" w:rsidRDefault="00781A91" w:rsidP="000002E5">
            <w:pPr>
              <w:jc w:val="both"/>
              <w:rPr>
                <w:rFonts w:ascii="Arial" w:hAnsi="Arial" w:cs="Arial"/>
                <w:color w:val="000000"/>
                <w:sz w:val="22"/>
                <w:szCs w:val="22"/>
              </w:rPr>
            </w:pPr>
            <w:r w:rsidRPr="00EB6193">
              <w:rPr>
                <w:rFonts w:ascii="Arial" w:hAnsi="Arial" w:cs="Arial"/>
                <w:color w:val="000000"/>
                <w:sz w:val="22"/>
                <w:szCs w:val="22"/>
              </w:rPr>
              <w:t xml:space="preserve">SA4 </w:t>
            </w:r>
            <w:r>
              <w:rPr>
                <w:rFonts w:ascii="Arial" w:hAnsi="Arial" w:cs="Arial"/>
                <w:color w:val="000000"/>
                <w:sz w:val="22"/>
                <w:szCs w:val="22"/>
              </w:rPr>
              <w:t xml:space="preserve">has </w:t>
            </w:r>
            <w:r w:rsidRPr="00EB6193">
              <w:rPr>
                <w:rFonts w:ascii="Arial" w:hAnsi="Arial" w:cs="Arial"/>
                <w:color w:val="000000"/>
                <w:sz w:val="22"/>
                <w:szCs w:val="22"/>
              </w:rPr>
              <w:t>evaluated one possible VR metric</w:t>
            </w:r>
            <w:r>
              <w:rPr>
                <w:rFonts w:ascii="Arial" w:hAnsi="Arial" w:cs="Arial"/>
                <w:color w:val="000000"/>
                <w:sz w:val="22"/>
                <w:szCs w:val="22"/>
              </w:rPr>
              <w:t xml:space="preserve"> collection test</w:t>
            </w:r>
            <w:r w:rsidRPr="00EB6193">
              <w:rPr>
                <w:rFonts w:ascii="Arial" w:hAnsi="Arial" w:cs="Arial"/>
                <w:color w:val="000000"/>
                <w:sz w:val="22"/>
                <w:szCs w:val="22"/>
              </w:rPr>
              <w:t xml:space="preserve">, and with reporting every ten minutes </w:t>
            </w:r>
            <w:r w:rsidRPr="008E226F">
              <w:rPr>
                <w:rFonts w:ascii="Arial" w:hAnsi="Arial" w:cs="Arial"/>
                <w:color w:val="000000"/>
                <w:sz w:val="22"/>
                <w:szCs w:val="22"/>
                <w:shd w:val="clear" w:color="auto" w:fill="FFD966" w:themeFill="accent4" w:themeFillTint="99"/>
              </w:rPr>
              <w:t>the resulting zipped report container is then about 18 kB in size</w:t>
            </w:r>
            <w:r w:rsidRPr="00EB6193">
              <w:rPr>
                <w:rFonts w:ascii="Arial" w:hAnsi="Arial" w:cs="Arial"/>
                <w:color w:val="000000"/>
                <w:sz w:val="22"/>
                <w:szCs w:val="22"/>
              </w:rPr>
              <w:t>. Although that metrics</w:t>
            </w:r>
            <w:r>
              <w:rPr>
                <w:rFonts w:ascii="Arial" w:hAnsi="Arial" w:cs="Arial"/>
                <w:color w:val="000000"/>
                <w:sz w:val="22"/>
                <w:szCs w:val="22"/>
              </w:rPr>
              <w:t xml:space="preserve"> can be configure</w:t>
            </w:r>
            <w:r w:rsidRPr="00EB6193">
              <w:rPr>
                <w:rFonts w:ascii="Arial" w:hAnsi="Arial" w:cs="Arial"/>
                <w:color w:val="000000"/>
                <w:sz w:val="22"/>
                <w:szCs w:val="22"/>
              </w:rPr>
              <w:t>d in different ways, it illustrates that newer services can in some cases produce larger reports</w:t>
            </w:r>
            <w:r>
              <w:rPr>
                <w:rFonts w:ascii="Arial" w:hAnsi="Arial" w:cs="Arial"/>
                <w:color w:val="000000"/>
                <w:sz w:val="22"/>
                <w:szCs w:val="22"/>
              </w:rPr>
              <w:t xml:space="preserve"> exceeding </w:t>
            </w:r>
            <w:r w:rsidRPr="002011DE">
              <w:rPr>
                <w:rFonts w:ascii="Arial" w:hAnsi="Arial" w:cs="Arial"/>
                <w:color w:val="000000"/>
                <w:sz w:val="22"/>
                <w:szCs w:val="22"/>
              </w:rPr>
              <w:t>the existing size limits</w:t>
            </w:r>
            <w:r>
              <w:rPr>
                <w:rFonts w:ascii="Arial" w:hAnsi="Arial" w:cs="Arial"/>
                <w:color w:val="000000"/>
                <w:sz w:val="22"/>
                <w:szCs w:val="22"/>
              </w:rPr>
              <w:t>.</w:t>
            </w:r>
          </w:p>
          <w:p w14:paraId="68548291" w14:textId="77777777" w:rsidR="00781A91" w:rsidRDefault="00781A91" w:rsidP="000002E5">
            <w:pPr>
              <w:jc w:val="both"/>
              <w:rPr>
                <w:rFonts w:ascii="Arial" w:hAnsi="Arial" w:cs="Arial"/>
                <w:color w:val="000000"/>
                <w:sz w:val="22"/>
                <w:szCs w:val="22"/>
              </w:rPr>
            </w:pPr>
            <w:r>
              <w:rPr>
                <w:rFonts w:ascii="Arial" w:hAnsi="Arial" w:cs="Arial"/>
                <w:color w:val="000000"/>
                <w:sz w:val="22"/>
                <w:szCs w:val="22"/>
              </w:rPr>
              <w:t xml:space="preserve">Unfortunately, it is difficult to specify a certain (higher) limit which would always be enough for these services, as (especially) the QoE report size is dependent on things like user head movements etc.,  </w:t>
            </w:r>
            <w:r w:rsidRPr="008E226F">
              <w:rPr>
                <w:rFonts w:ascii="Arial" w:hAnsi="Arial" w:cs="Arial"/>
                <w:color w:val="000000"/>
                <w:sz w:val="22"/>
                <w:szCs w:val="22"/>
                <w:shd w:val="clear" w:color="auto" w:fill="FFD966" w:themeFill="accent4" w:themeFillTint="99"/>
              </w:rPr>
              <w:t>thus the only safe way forward is to remove the size limits</w:t>
            </w:r>
            <w:r>
              <w:rPr>
                <w:rFonts w:ascii="Arial" w:hAnsi="Arial" w:cs="Arial"/>
                <w:color w:val="000000"/>
                <w:sz w:val="22"/>
                <w:szCs w:val="22"/>
              </w:rPr>
              <w:t>.</w:t>
            </w:r>
          </w:p>
          <w:p w14:paraId="0D21DA82" w14:textId="77777777" w:rsidR="00781A91" w:rsidRDefault="00781A91" w:rsidP="000002E5">
            <w:pPr>
              <w:jc w:val="both"/>
              <w:rPr>
                <w:rFonts w:ascii="Arial" w:hAnsi="Arial" w:cs="Arial"/>
                <w:color w:val="000000"/>
                <w:sz w:val="22"/>
                <w:szCs w:val="22"/>
              </w:rPr>
            </w:pPr>
            <w:r>
              <w:rPr>
                <w:rFonts w:ascii="Arial" w:hAnsi="Arial" w:cs="Arial"/>
                <w:color w:val="000000"/>
                <w:sz w:val="22"/>
                <w:szCs w:val="22"/>
              </w:rPr>
              <w:t xml:space="preserve">SA4 understands that RRC segmentation is already available in NR, which can be used in the (still rare) cases where a QoE configuration or report exceeds the PDCP size limit. </w:t>
            </w:r>
          </w:p>
          <w:p w14:paraId="66C85AEE" w14:textId="77777777" w:rsidR="00781A91" w:rsidRDefault="00781A91" w:rsidP="000002E5">
            <w:pPr>
              <w:jc w:val="both"/>
              <w:rPr>
                <w:rFonts w:ascii="Arial" w:hAnsi="Arial" w:cs="Arial"/>
                <w:color w:val="000000"/>
                <w:sz w:val="22"/>
                <w:szCs w:val="22"/>
              </w:rPr>
            </w:pPr>
            <w:r>
              <w:rPr>
                <w:rFonts w:ascii="Arial" w:hAnsi="Arial" w:cs="Arial"/>
                <w:color w:val="000000"/>
                <w:sz w:val="22"/>
                <w:szCs w:val="22"/>
              </w:rPr>
              <w:t xml:space="preserve">Note that removing the size limits does not imply that QoE data in general will be more bulky, as the QoE data collection is still done in exactly the same way without adding any further complexity to the QoE architecture.  </w:t>
            </w:r>
          </w:p>
          <w:p w14:paraId="77AB849E" w14:textId="6F527870" w:rsidR="00781A91" w:rsidRPr="00781A91" w:rsidRDefault="00781A91" w:rsidP="00781A91">
            <w:pPr>
              <w:jc w:val="both"/>
              <w:rPr>
                <w:rFonts w:ascii="Arial" w:hAnsi="Arial" w:cs="Arial"/>
                <w:color w:val="000000"/>
                <w:sz w:val="22"/>
                <w:szCs w:val="22"/>
              </w:rPr>
            </w:pPr>
            <w:r w:rsidRPr="008E226F">
              <w:rPr>
                <w:rFonts w:ascii="Arial" w:hAnsi="Arial" w:cs="Arial"/>
                <w:color w:val="000000"/>
                <w:sz w:val="22"/>
                <w:szCs w:val="22"/>
                <w:shd w:val="clear" w:color="auto" w:fill="FFD966" w:themeFill="accent4" w:themeFillTint="99"/>
              </w:rPr>
              <w:t>Thus in principle SA4 would welcome if the limits could be removed in NR</w:t>
            </w:r>
            <w:r>
              <w:rPr>
                <w:rFonts w:ascii="Arial" w:hAnsi="Arial" w:cs="Arial"/>
                <w:color w:val="000000"/>
                <w:sz w:val="22"/>
                <w:szCs w:val="22"/>
              </w:rPr>
              <w:t xml:space="preserve">.  </w:t>
            </w:r>
          </w:p>
        </w:tc>
      </w:tr>
    </w:tbl>
    <w:p w14:paraId="7AF2E64F" w14:textId="77777777" w:rsidR="00781A91" w:rsidRDefault="00781A91" w:rsidP="00781A91">
      <w:pPr>
        <w:rPr>
          <w:rFonts w:eastAsiaTheme="minorEastAsia"/>
          <w:b/>
          <w:lang w:eastAsia="zh-CN"/>
        </w:rPr>
      </w:pPr>
      <w:r w:rsidRPr="00975DB4">
        <w:rPr>
          <w:rFonts w:eastAsiaTheme="minorEastAsia" w:hint="eastAsia"/>
          <w:b/>
          <w:lang w:eastAsia="zh-CN"/>
        </w:rPr>
        <w:t>O</w:t>
      </w:r>
      <w:r w:rsidRPr="00975DB4">
        <w:rPr>
          <w:rFonts w:eastAsiaTheme="minorEastAsia"/>
          <w:b/>
          <w:lang w:eastAsia="zh-CN"/>
        </w:rPr>
        <w:t>bservation 1:</w:t>
      </w:r>
      <w:r>
        <w:rPr>
          <w:rFonts w:eastAsiaTheme="minorEastAsia"/>
          <w:b/>
          <w:lang w:eastAsia="zh-CN"/>
        </w:rPr>
        <w:t xml:space="preserve"> SA4 thinks it is better to remove the size limits for NR QoE configuration and reporting.</w:t>
      </w:r>
    </w:p>
    <w:p w14:paraId="537A6BB8" w14:textId="336D7820" w:rsidR="00781A91" w:rsidRDefault="00781A91" w:rsidP="00781A91">
      <w:pPr>
        <w:rPr>
          <w:rFonts w:eastAsiaTheme="minorEastAsia"/>
          <w:lang w:eastAsia="zh-CN"/>
        </w:rPr>
      </w:pPr>
      <w:r>
        <w:rPr>
          <w:rFonts w:eastAsiaTheme="minorEastAsia"/>
          <w:lang w:eastAsia="zh-CN"/>
        </w:rPr>
        <w:lastRenderedPageBreak/>
        <w:t xml:space="preserve">RAN2 agreed that the NR QoE configuration is included in the RRC reconfiguration and RRC segmentation for the RRC reconfiguration message is already supported in the current specifications. The support for QoE measurement report message will have to be added, but this is a fairly simple change from specifications point of view. </w:t>
      </w:r>
    </w:p>
    <w:p w14:paraId="1A8357F9" w14:textId="11573FF4" w:rsidR="00781A91" w:rsidRPr="00975DB4" w:rsidRDefault="00AB584A" w:rsidP="00781A91">
      <w:pPr>
        <w:rPr>
          <w:rFonts w:eastAsiaTheme="minorEastAsia"/>
          <w:b/>
          <w:lang w:eastAsia="zh-CN"/>
        </w:rPr>
      </w:pPr>
      <w:r>
        <w:rPr>
          <w:rFonts w:eastAsiaTheme="minorEastAsia"/>
          <w:b/>
          <w:lang w:eastAsia="zh-CN"/>
        </w:rPr>
        <w:t>Proposal 2</w:t>
      </w:r>
      <w:r w:rsidR="00781A91" w:rsidRPr="00975DB4">
        <w:rPr>
          <w:rFonts w:eastAsiaTheme="minorEastAsia"/>
          <w:b/>
          <w:lang w:eastAsia="zh-CN"/>
        </w:rPr>
        <w:t xml:space="preserve">: </w:t>
      </w:r>
      <w:r w:rsidR="00781A91">
        <w:rPr>
          <w:rFonts w:eastAsiaTheme="minorEastAsia"/>
          <w:b/>
          <w:lang w:eastAsia="zh-CN"/>
        </w:rPr>
        <w:t xml:space="preserve">Support the RRC segmentation for </w:t>
      </w:r>
      <w:r w:rsidR="00781A91" w:rsidRPr="001A3E25">
        <w:rPr>
          <w:rFonts w:eastAsiaTheme="minorEastAsia"/>
          <w:b/>
          <w:lang w:eastAsia="zh-CN"/>
        </w:rPr>
        <w:t>MeasReportAppLayer</w:t>
      </w:r>
      <w:r w:rsidR="00781A91">
        <w:rPr>
          <w:rFonts w:eastAsiaTheme="minorEastAsia"/>
          <w:b/>
          <w:lang w:eastAsia="zh-CN"/>
        </w:rPr>
        <w:t xml:space="preserve"> message.</w:t>
      </w:r>
    </w:p>
    <w:p w14:paraId="3BD2B50A" w14:textId="75E79853" w:rsidR="00781A91" w:rsidRDefault="00781A91" w:rsidP="00781A91">
      <w:pPr>
        <w:rPr>
          <w:rFonts w:eastAsiaTheme="minorEastAsia"/>
          <w:lang w:eastAsia="zh-CN"/>
        </w:rPr>
      </w:pPr>
      <w:r>
        <w:rPr>
          <w:rFonts w:eastAsiaTheme="minorEastAsia"/>
          <w:lang w:eastAsia="zh-CN"/>
        </w:rPr>
        <w:t xml:space="preserve">In LTE, the </w:t>
      </w:r>
      <w:r w:rsidRPr="000C0BA7">
        <w:rPr>
          <w:rFonts w:eastAsiaTheme="minorEastAsia"/>
          <w:lang w:eastAsia="zh-CN"/>
        </w:rPr>
        <w:t xml:space="preserve">maximum container size for QoE measurements configuration </w:t>
      </w:r>
      <w:r>
        <w:rPr>
          <w:rFonts w:eastAsiaTheme="minorEastAsia"/>
          <w:lang w:eastAsia="zh-CN"/>
        </w:rPr>
        <w:t>is</w:t>
      </w:r>
      <w:r w:rsidRPr="000C0BA7">
        <w:rPr>
          <w:rFonts w:eastAsiaTheme="minorEastAsia"/>
          <w:lang w:eastAsia="zh-CN"/>
        </w:rPr>
        <w:t xml:space="preserve"> 1000 bytes</w:t>
      </w:r>
      <w:r>
        <w:rPr>
          <w:rFonts w:eastAsiaTheme="minorEastAsia"/>
          <w:lang w:eastAsia="zh-CN"/>
        </w:rPr>
        <w:t>. T</w:t>
      </w:r>
      <w:r>
        <w:rPr>
          <w:rFonts w:eastAsiaTheme="minorEastAsia"/>
          <w:lang w:eastAsia="zh-CN"/>
        </w:rPr>
        <w:t xml:space="preserve">he </w:t>
      </w:r>
      <w:r w:rsidRPr="00EC6C83">
        <w:rPr>
          <w:rFonts w:eastAsiaTheme="minorEastAsia"/>
          <w:lang w:eastAsia="zh-CN"/>
        </w:rPr>
        <w:t>maximum supported size of a PDCP SDU is 9000 bytes</w:t>
      </w:r>
      <w:r>
        <w:rPr>
          <w:rFonts w:eastAsiaTheme="minorEastAsia"/>
          <w:lang w:eastAsia="zh-CN"/>
        </w:rPr>
        <w:t>. Therefore, in the meeting of RAN2#113, RAN2 agreed to support the multiple QoE configurations in one RRC message even if the RRC segmentation of NR QoE configuration is not supported.</w:t>
      </w:r>
    </w:p>
    <w:tbl>
      <w:tblPr>
        <w:tblStyle w:val="TableGrid"/>
        <w:tblW w:w="0" w:type="auto"/>
        <w:tblLook w:val="04A0" w:firstRow="1" w:lastRow="0" w:firstColumn="1" w:lastColumn="0" w:noHBand="0" w:noVBand="1"/>
      </w:tblPr>
      <w:tblGrid>
        <w:gridCol w:w="9628"/>
      </w:tblGrid>
      <w:tr w:rsidR="00781A91" w14:paraId="0F59B5AB" w14:textId="77777777" w:rsidTr="000002E5">
        <w:tc>
          <w:tcPr>
            <w:tcW w:w="9628" w:type="dxa"/>
          </w:tcPr>
          <w:p w14:paraId="1D780259" w14:textId="77777777" w:rsidR="00781A91" w:rsidRDefault="00781A91" w:rsidP="000002E5">
            <w:pPr>
              <w:pStyle w:val="Agreement"/>
              <w:rPr>
                <w:lang w:eastAsia="zh-CN"/>
              </w:rPr>
            </w:pPr>
            <w:r>
              <w:rPr>
                <w:lang w:eastAsia="zh-CN"/>
              </w:rPr>
              <w:t xml:space="preserve">Configure QoE measurements for NR in </w:t>
            </w:r>
            <w:r w:rsidRPr="00FE3F6C">
              <w:rPr>
                <w:i/>
                <w:lang w:eastAsia="zh-CN"/>
              </w:rPr>
              <w:t>RRCReconfiguration</w:t>
            </w:r>
            <w:r w:rsidRPr="00FE3F6C">
              <w:rPr>
                <w:lang w:eastAsia="zh-CN"/>
              </w:rPr>
              <w:t>.</w:t>
            </w:r>
          </w:p>
          <w:p w14:paraId="1FFECF46" w14:textId="77777777" w:rsidR="00781A91" w:rsidRDefault="00781A91" w:rsidP="000002E5">
            <w:pPr>
              <w:pStyle w:val="Agreement"/>
              <w:rPr>
                <w:lang w:eastAsia="zh-CN"/>
              </w:rPr>
            </w:pPr>
            <w:r>
              <w:rPr>
                <w:lang w:eastAsia="zh-CN"/>
              </w:rPr>
              <w:t>A</w:t>
            </w:r>
            <w:r w:rsidRPr="000A1986">
              <w:rPr>
                <w:lang w:eastAsia="zh-CN"/>
              </w:rPr>
              <w:t xml:space="preserve">dd configuration of QoE measurements in </w:t>
            </w:r>
            <w:r w:rsidRPr="000A1986">
              <w:rPr>
                <w:i/>
                <w:lang w:eastAsia="zh-CN"/>
              </w:rPr>
              <w:t>OtherConfig</w:t>
            </w:r>
            <w:r w:rsidRPr="000A1986">
              <w:rPr>
                <w:lang w:eastAsia="zh-CN"/>
              </w:rPr>
              <w:t xml:space="preserve"> in </w:t>
            </w:r>
            <w:r w:rsidRPr="00FE3F6C">
              <w:rPr>
                <w:i/>
                <w:lang w:eastAsia="zh-CN"/>
              </w:rPr>
              <w:t>RRCReconfiguration</w:t>
            </w:r>
            <w:r w:rsidRPr="00FE3F6C">
              <w:rPr>
                <w:lang w:eastAsia="zh-CN"/>
              </w:rPr>
              <w:t>.</w:t>
            </w:r>
          </w:p>
          <w:p w14:paraId="0D627A16" w14:textId="77777777" w:rsidR="00781A91" w:rsidRDefault="00781A91" w:rsidP="000002E5">
            <w:pPr>
              <w:pStyle w:val="Agreement"/>
              <w:rPr>
                <w:lang w:eastAsia="zh-CN"/>
              </w:rPr>
            </w:pPr>
            <w:r w:rsidRPr="008538A4">
              <w:rPr>
                <w:lang w:eastAsia="zh-CN"/>
              </w:rPr>
              <w:t>Add the configuration of</w:t>
            </w:r>
            <w:r>
              <w:rPr>
                <w:lang w:eastAsia="zh-CN"/>
              </w:rPr>
              <w:t xml:space="preserve"> QoE measurements by means of </w:t>
            </w:r>
            <w:r w:rsidRPr="008538A4">
              <w:rPr>
                <w:lang w:eastAsia="zh-CN"/>
              </w:rPr>
              <w:t xml:space="preserve">list to </w:t>
            </w:r>
            <w:r>
              <w:rPr>
                <w:lang w:eastAsia="zh-CN"/>
              </w:rPr>
              <w:t>enable</w:t>
            </w:r>
            <w:r w:rsidRPr="008538A4">
              <w:rPr>
                <w:lang w:eastAsia="zh-CN"/>
              </w:rPr>
              <w:t xml:space="preserve"> configuration of multiple simultaneous measurements.</w:t>
            </w:r>
          </w:p>
          <w:p w14:paraId="15F266AD" w14:textId="77777777" w:rsidR="00781A91" w:rsidRPr="000C0BA7" w:rsidRDefault="00781A91" w:rsidP="000002E5">
            <w:pPr>
              <w:rPr>
                <w:rFonts w:eastAsiaTheme="minorEastAsia"/>
                <w:lang w:eastAsia="zh-CN"/>
              </w:rPr>
            </w:pPr>
          </w:p>
        </w:tc>
      </w:tr>
    </w:tbl>
    <w:p w14:paraId="7F9B2B26" w14:textId="77777777" w:rsidR="00781A91" w:rsidRDefault="00781A91" w:rsidP="00781A91">
      <w:pPr>
        <w:rPr>
          <w:rFonts w:eastAsiaTheme="minorEastAsia"/>
          <w:lang w:eastAsia="zh-CN"/>
        </w:rPr>
      </w:pPr>
      <w:r>
        <w:rPr>
          <w:rFonts w:eastAsiaTheme="minorEastAsia" w:hint="eastAsia"/>
          <w:lang w:eastAsia="zh-CN"/>
        </w:rPr>
        <w:t>I</w:t>
      </w:r>
      <w:r>
        <w:rPr>
          <w:rFonts w:eastAsiaTheme="minorEastAsia"/>
          <w:lang w:eastAsia="zh-CN"/>
        </w:rPr>
        <w:t xml:space="preserve">n our understanding, if the NG-RAN finds the size of multiple QoE configurations exceed the limit of PDCP SDU, the NG-RAN can perform the RRC </w:t>
      </w:r>
      <w:r w:rsidRPr="00DF3D9D">
        <w:rPr>
          <w:rFonts w:eastAsiaTheme="minorEastAsia"/>
          <w:lang w:eastAsia="zh-CN"/>
        </w:rPr>
        <w:t>segmentation</w:t>
      </w:r>
      <w:r>
        <w:rPr>
          <w:rFonts w:eastAsiaTheme="minorEastAsia"/>
          <w:lang w:eastAsia="zh-CN"/>
        </w:rPr>
        <w:t>.</w:t>
      </w:r>
      <w:r w:rsidRPr="00DD0473">
        <w:rPr>
          <w:rFonts w:eastAsiaTheme="minorEastAsia"/>
          <w:lang w:eastAsia="zh-CN"/>
        </w:rPr>
        <w:t xml:space="preserve"> </w:t>
      </w:r>
      <w:r w:rsidRPr="00975DB4">
        <w:rPr>
          <w:rFonts w:eastAsiaTheme="minorEastAsia" w:hint="eastAsia"/>
          <w:lang w:eastAsia="zh-CN"/>
        </w:rPr>
        <w:t>T</w:t>
      </w:r>
      <w:r w:rsidRPr="00975DB4">
        <w:rPr>
          <w:rFonts w:eastAsiaTheme="minorEastAsia"/>
          <w:lang w:eastAsia="zh-CN"/>
        </w:rPr>
        <w:t>herefore</w:t>
      </w:r>
      <w:r>
        <w:rPr>
          <w:rFonts w:eastAsiaTheme="minorEastAsia"/>
          <w:lang w:eastAsia="zh-CN"/>
        </w:rPr>
        <w:t xml:space="preserve">, it should be noted that the size of QoE configuration container has no bearing when it comes to the number of QoE configurations that can be carried within a single RRC message. </w:t>
      </w:r>
      <w:r w:rsidRPr="00975DB4">
        <w:rPr>
          <w:rFonts w:eastAsiaTheme="minorEastAsia"/>
          <w:lang w:eastAsia="zh-CN"/>
        </w:rPr>
        <w:t xml:space="preserve"> </w:t>
      </w:r>
    </w:p>
    <w:p w14:paraId="7ED33C53" w14:textId="1AF5526B" w:rsidR="00781A91" w:rsidRDefault="00AB584A" w:rsidP="00781A91">
      <w:pPr>
        <w:rPr>
          <w:rFonts w:eastAsiaTheme="minorEastAsia"/>
          <w:b/>
          <w:lang w:eastAsia="zh-CN"/>
        </w:rPr>
      </w:pPr>
      <w:r>
        <w:rPr>
          <w:rFonts w:eastAsiaTheme="minorEastAsia"/>
          <w:b/>
          <w:lang w:eastAsia="zh-CN"/>
        </w:rPr>
        <w:t>Observation 2</w:t>
      </w:r>
      <w:r w:rsidR="00781A91" w:rsidRPr="00975DB4">
        <w:rPr>
          <w:rFonts w:eastAsiaTheme="minorEastAsia"/>
          <w:b/>
          <w:lang w:eastAsia="zh-CN"/>
        </w:rPr>
        <w:t xml:space="preserve">: </w:t>
      </w:r>
      <w:r w:rsidR="00781A91">
        <w:rPr>
          <w:rFonts w:eastAsiaTheme="minorEastAsia"/>
          <w:b/>
          <w:lang w:eastAsia="zh-CN"/>
        </w:rPr>
        <w:t>T</w:t>
      </w:r>
      <w:r w:rsidR="00781A91" w:rsidRPr="007E0D05">
        <w:rPr>
          <w:rFonts w:eastAsiaTheme="minorEastAsia"/>
          <w:b/>
          <w:lang w:eastAsia="zh-CN"/>
        </w:rPr>
        <w:t>he size of QoE configuration container has no bearing when it comes to the number of QoE configurations that can be carried within a single RRC message.</w:t>
      </w:r>
    </w:p>
    <w:p w14:paraId="08BE2F2C" w14:textId="1B8F9119" w:rsidR="00781A91" w:rsidRDefault="00781A91" w:rsidP="00781A91">
      <w:pPr>
        <w:rPr>
          <w:rFonts w:eastAsiaTheme="minorEastAsia"/>
          <w:lang w:eastAsia="zh-CN"/>
        </w:rPr>
      </w:pPr>
      <w:r>
        <w:rPr>
          <w:rFonts w:eastAsiaTheme="minorEastAsia"/>
          <w:lang w:eastAsia="zh-CN"/>
        </w:rPr>
        <w:t xml:space="preserve">Even though, in general, it is fairly easy to support QoE report segmentation in specifications, it should be noted that RRC segmentation is an optional feature for the UE. Therefore, in order to support QoE configuration on all UEs it is still important that the </w:t>
      </w:r>
      <w:r>
        <w:rPr>
          <w:rFonts w:eastAsiaTheme="minorEastAsia"/>
          <w:lang w:eastAsia="zh-CN"/>
        </w:rPr>
        <w:t>maximum QoE con</w:t>
      </w:r>
      <w:r>
        <w:rPr>
          <w:rFonts w:eastAsiaTheme="minorEastAsia"/>
          <w:lang w:eastAsia="zh-CN"/>
        </w:rPr>
        <w:t>f</w:t>
      </w:r>
      <w:r>
        <w:rPr>
          <w:rFonts w:eastAsiaTheme="minorEastAsia"/>
          <w:lang w:eastAsia="zh-CN"/>
        </w:rPr>
        <w:t>igura</w:t>
      </w:r>
      <w:r>
        <w:rPr>
          <w:rFonts w:eastAsiaTheme="minorEastAsia"/>
          <w:lang w:eastAsia="zh-CN"/>
        </w:rPr>
        <w:t>t</w:t>
      </w:r>
      <w:r>
        <w:rPr>
          <w:rFonts w:eastAsiaTheme="minorEastAsia"/>
          <w:lang w:eastAsia="zh-CN"/>
        </w:rPr>
        <w:t>i</w:t>
      </w:r>
      <w:r>
        <w:rPr>
          <w:rFonts w:eastAsiaTheme="minorEastAsia"/>
          <w:lang w:eastAsia="zh-CN"/>
        </w:rPr>
        <w:t>on container size can still fit into a sing</w:t>
      </w:r>
      <w:r>
        <w:rPr>
          <w:rFonts w:eastAsiaTheme="minorEastAsia"/>
          <w:lang w:eastAsia="zh-CN"/>
        </w:rPr>
        <w:t>l</w:t>
      </w:r>
      <w:r>
        <w:rPr>
          <w:rFonts w:eastAsiaTheme="minorEastAsia"/>
          <w:lang w:eastAsia="zh-CN"/>
        </w:rPr>
        <w:t xml:space="preserve">e RRC message segment, i.e. it should not exceed, e.g. 8 kBytes. </w:t>
      </w:r>
    </w:p>
    <w:p w14:paraId="03245792" w14:textId="57F22EF4" w:rsidR="00781A91" w:rsidRPr="0057487D" w:rsidRDefault="00781A91" w:rsidP="00781A91">
      <w:pPr>
        <w:rPr>
          <w:rFonts w:eastAsiaTheme="minorEastAsia"/>
          <w:b/>
          <w:lang w:eastAsia="zh-CN"/>
        </w:rPr>
      </w:pPr>
      <w:r>
        <w:rPr>
          <w:rFonts w:eastAsiaTheme="minorEastAsia"/>
          <w:b/>
          <w:lang w:eastAsia="zh-CN"/>
        </w:rPr>
        <w:t xml:space="preserve">Proposal </w:t>
      </w:r>
      <w:r w:rsidR="00AB584A">
        <w:rPr>
          <w:rFonts w:eastAsiaTheme="minorEastAsia"/>
          <w:b/>
          <w:lang w:eastAsia="zh-CN"/>
        </w:rPr>
        <w:t>3</w:t>
      </w:r>
      <w:r>
        <w:rPr>
          <w:rFonts w:eastAsiaTheme="minorEastAsia"/>
          <w:b/>
          <w:lang w:eastAsia="zh-CN"/>
        </w:rPr>
        <w:t xml:space="preserve">: The maximum size of the QoE configuration container should be 8 kBytes to ensure all UEs are able to receive it. </w:t>
      </w:r>
    </w:p>
    <w:p w14:paraId="24403270" w14:textId="77777777" w:rsidR="00781A91" w:rsidRDefault="00781A91" w:rsidP="00781A91">
      <w:pPr>
        <w:rPr>
          <w:rFonts w:eastAsiaTheme="minorEastAsia"/>
          <w:lang w:eastAsia="zh-CN"/>
        </w:rPr>
      </w:pPr>
      <w:r>
        <w:rPr>
          <w:rFonts w:eastAsiaTheme="minorEastAsia"/>
          <w:lang w:eastAsia="zh-CN"/>
        </w:rPr>
        <w:t xml:space="preserve">When it comes to the report size, as indicated by SA4, it may exceed the size of 9 kBytes, especially for new service type such as VR. Therefore, the size limitation of the QoE report could be lifted in RRC specifications, as per SA4 request. </w:t>
      </w:r>
    </w:p>
    <w:p w14:paraId="4DDBC795" w14:textId="7C808523" w:rsidR="00781A91" w:rsidRPr="00887322" w:rsidRDefault="00781A91" w:rsidP="00781A91">
      <w:pPr>
        <w:rPr>
          <w:rFonts w:eastAsiaTheme="minorEastAsia"/>
          <w:lang w:eastAsia="zh-CN"/>
        </w:rPr>
      </w:pPr>
      <w:r>
        <w:rPr>
          <w:rFonts w:eastAsiaTheme="minorEastAsia"/>
          <w:b/>
          <w:lang w:eastAsia="zh-CN"/>
        </w:rPr>
        <w:t>P</w:t>
      </w:r>
      <w:r w:rsidR="00AB584A">
        <w:rPr>
          <w:rFonts w:eastAsiaTheme="minorEastAsia"/>
          <w:b/>
          <w:lang w:eastAsia="zh-CN"/>
        </w:rPr>
        <w:t>roposal 4</w:t>
      </w:r>
      <w:r>
        <w:rPr>
          <w:rFonts w:eastAsiaTheme="minorEastAsia"/>
          <w:b/>
          <w:lang w:eastAsia="zh-CN"/>
        </w:rPr>
        <w:t>: QoE report container can be specified as OCTET STRING with no maximum size in RRC signalling.</w:t>
      </w:r>
    </w:p>
    <w:p w14:paraId="03848842" w14:textId="77777777" w:rsidR="00781A91" w:rsidRDefault="00781A91" w:rsidP="00781A91">
      <w:pPr>
        <w:rPr>
          <w:rFonts w:eastAsiaTheme="minorEastAsia"/>
          <w:lang w:eastAsia="zh-CN"/>
        </w:rPr>
      </w:pPr>
      <w:r>
        <w:rPr>
          <w:rFonts w:eastAsiaTheme="minorEastAsia"/>
          <w:lang w:eastAsia="zh-CN"/>
        </w:rPr>
        <w:t xml:space="preserve">However, since not all UEs will support RRC segmentation as mentioned above, it is important that the application layer does consider the UE capability when generating QoE reports to avoid a situation where they exceed the size of 8 kBytes when the UE does not support RRC segmentation. </w:t>
      </w:r>
    </w:p>
    <w:p w14:paraId="59E529DE" w14:textId="03E76A0B" w:rsidR="00781A91" w:rsidRDefault="00AB584A" w:rsidP="00781A91">
      <w:pPr>
        <w:tabs>
          <w:tab w:val="left" w:pos="1560"/>
        </w:tabs>
        <w:overflowPunct/>
        <w:autoSpaceDE/>
        <w:autoSpaceDN/>
        <w:adjustRightInd/>
        <w:textAlignment w:val="auto"/>
        <w:rPr>
          <w:rFonts w:eastAsia="宋体"/>
          <w:b/>
          <w:lang w:eastAsia="zh-CN"/>
        </w:rPr>
      </w:pPr>
      <w:r>
        <w:rPr>
          <w:rFonts w:eastAsiaTheme="minorEastAsia"/>
          <w:b/>
          <w:lang w:eastAsia="zh-CN"/>
        </w:rPr>
        <w:t>Proposal 5</w:t>
      </w:r>
      <w:r w:rsidR="00781A91">
        <w:rPr>
          <w:rFonts w:eastAsiaTheme="minorEastAsia"/>
          <w:b/>
          <w:lang w:eastAsia="zh-CN"/>
        </w:rPr>
        <w:t>: Application layer should be informed by the UE whether UE supports sending QoE reports with the size exceeding the previous limitation of 8 kBytes (which depends on whether UE supports RRC segmentation).</w:t>
      </w:r>
    </w:p>
    <w:p w14:paraId="424A0512" w14:textId="77777777" w:rsidR="00781A91" w:rsidRDefault="00781A91" w:rsidP="0049277E">
      <w:pPr>
        <w:tabs>
          <w:tab w:val="left" w:pos="1560"/>
        </w:tabs>
        <w:overflowPunct/>
        <w:autoSpaceDE/>
        <w:autoSpaceDN/>
        <w:adjustRightInd/>
        <w:textAlignment w:val="auto"/>
        <w:rPr>
          <w:rFonts w:eastAsia="宋体"/>
          <w:b/>
          <w:lang w:eastAsia="zh-CN"/>
        </w:rPr>
      </w:pPr>
    </w:p>
    <w:p w14:paraId="125C58F0" w14:textId="2EA082EB" w:rsidR="004B0ADC" w:rsidRDefault="004B0ADC" w:rsidP="004B0ADC">
      <w:pPr>
        <w:pStyle w:val="Heading4"/>
      </w:pPr>
      <w:r w:rsidRPr="00A304A0">
        <w:lastRenderedPageBreak/>
        <w:t>2</w:t>
      </w:r>
      <w:r>
        <w:t>.</w:t>
      </w:r>
      <w:r w:rsidR="00781A91">
        <w:t>3</w:t>
      </w:r>
      <w:r w:rsidRPr="00A304A0">
        <w:tab/>
      </w:r>
      <w:r>
        <w:t>QoE measurement per slice</w:t>
      </w:r>
    </w:p>
    <w:p w14:paraId="2F7A5986" w14:textId="67C03B62" w:rsidR="004B0ADC" w:rsidRDefault="00875167" w:rsidP="004B0ADC">
      <w:pPr>
        <w:rPr>
          <w:rFonts w:eastAsia="宋体"/>
          <w:lang w:eastAsia="zh-CN"/>
        </w:rPr>
      </w:pPr>
      <w:r>
        <w:rPr>
          <w:rFonts w:eastAsia="宋体"/>
          <w:lang w:eastAsia="zh-CN"/>
        </w:rPr>
        <w:t>According to the LS [3</w:t>
      </w:r>
      <w:r w:rsidR="004B0ADC">
        <w:rPr>
          <w:rFonts w:eastAsia="宋体"/>
          <w:lang w:eastAsia="zh-CN"/>
        </w:rPr>
        <w:t>] from RAN3, RAN3 has agreed to support the QoE measurement per slice.</w:t>
      </w:r>
    </w:p>
    <w:tbl>
      <w:tblPr>
        <w:tblStyle w:val="TableGrid"/>
        <w:tblW w:w="0" w:type="auto"/>
        <w:tblLook w:val="04A0" w:firstRow="1" w:lastRow="0" w:firstColumn="1" w:lastColumn="0" w:noHBand="0" w:noVBand="1"/>
      </w:tblPr>
      <w:tblGrid>
        <w:gridCol w:w="9628"/>
      </w:tblGrid>
      <w:tr w:rsidR="004B0ADC" w14:paraId="0A036DE5" w14:textId="77777777" w:rsidTr="004B0ADC">
        <w:tc>
          <w:tcPr>
            <w:tcW w:w="9628" w:type="dxa"/>
          </w:tcPr>
          <w:p w14:paraId="409BA802" w14:textId="77777777" w:rsidR="004B0ADC" w:rsidRPr="00432E10" w:rsidRDefault="004B0ADC" w:rsidP="004B0ADC">
            <w:pPr>
              <w:rPr>
                <w:rFonts w:ascii="Arial" w:hAnsi="Arial" w:cs="Arial"/>
                <w:b/>
                <w:u w:val="single"/>
              </w:rPr>
            </w:pPr>
            <w:r w:rsidRPr="00432E10">
              <w:rPr>
                <w:rFonts w:ascii="Arial" w:hAnsi="Arial" w:cs="Arial"/>
                <w:b/>
                <w:u w:val="single"/>
              </w:rPr>
              <w:t>Configuration details</w:t>
            </w:r>
          </w:p>
          <w:p w14:paraId="2E8928F3" w14:textId="77777777" w:rsidR="004B0ADC" w:rsidRPr="00432E10" w:rsidRDefault="004B0ADC" w:rsidP="004B0ADC">
            <w:pPr>
              <w:pStyle w:val="ListParagraph"/>
              <w:numPr>
                <w:ilvl w:val="0"/>
                <w:numId w:val="18"/>
              </w:numPr>
              <w:spacing w:after="160" w:line="259" w:lineRule="auto"/>
              <w:ind w:firstLineChars="0"/>
              <w:rPr>
                <w:rFonts w:ascii="Arial" w:hAnsi="Arial" w:cs="Arial"/>
                <w:iCs/>
              </w:rPr>
            </w:pPr>
            <w:r w:rsidRPr="00432E10">
              <w:rPr>
                <w:rFonts w:ascii="Arial" w:hAnsi="Arial" w:cs="Arial"/>
                <w:iCs/>
              </w:rPr>
              <w:t>RAN3 agree to introduce a new IE "QoE Reference" explicitly over interfaces at least for s-based, whether it can be applied to m-based and whether it is per service type or per slice depends on feedback from SA5.</w:t>
            </w:r>
          </w:p>
          <w:p w14:paraId="5EF4AC0C" w14:textId="77777777" w:rsidR="004B0ADC" w:rsidRPr="00432E10" w:rsidRDefault="004B0ADC" w:rsidP="004B0ADC">
            <w:pPr>
              <w:pStyle w:val="ListParagraph"/>
              <w:numPr>
                <w:ilvl w:val="0"/>
                <w:numId w:val="18"/>
              </w:numPr>
              <w:spacing w:after="160" w:line="259" w:lineRule="auto"/>
              <w:ind w:firstLineChars="0"/>
              <w:rPr>
                <w:rFonts w:ascii="Arial" w:hAnsi="Arial" w:cs="Arial"/>
                <w:iCs/>
              </w:rPr>
            </w:pPr>
            <w:r w:rsidRPr="00432E10">
              <w:rPr>
                <w:rFonts w:ascii="Arial" w:hAnsi="Arial" w:cs="Arial"/>
                <w:iCs/>
              </w:rPr>
              <w:t>RAN3 agree to introduce a new IE "Measurement Collection Entity IP Address", whether it is per service type or per "QoE Reference" depends on feedback from SA5.</w:t>
            </w:r>
          </w:p>
          <w:p w14:paraId="6B7923EB" w14:textId="77777777" w:rsidR="004B0ADC" w:rsidRPr="00432E10" w:rsidRDefault="004B0ADC" w:rsidP="004B0ADC">
            <w:pPr>
              <w:pStyle w:val="ListParagraph"/>
              <w:numPr>
                <w:ilvl w:val="0"/>
                <w:numId w:val="18"/>
              </w:numPr>
              <w:spacing w:after="160" w:line="259" w:lineRule="auto"/>
              <w:ind w:firstLineChars="0"/>
              <w:rPr>
                <w:rFonts w:ascii="Arial" w:hAnsi="Arial" w:cs="Arial"/>
                <w:iCs/>
              </w:rPr>
            </w:pPr>
            <w:r w:rsidRPr="00432E10">
              <w:rPr>
                <w:rFonts w:ascii="Arial" w:hAnsi="Arial" w:cs="Arial"/>
                <w:iCs/>
              </w:rPr>
              <w:t xml:space="preserve">RAN3 agree to introduce the following additional new IEs: </w:t>
            </w:r>
          </w:p>
          <w:p w14:paraId="2163ED3A" w14:textId="77777777" w:rsidR="004B0ADC" w:rsidRPr="00432E10" w:rsidRDefault="004B0ADC" w:rsidP="004B0ADC">
            <w:pPr>
              <w:pStyle w:val="ListParagraph"/>
              <w:numPr>
                <w:ilvl w:val="1"/>
                <w:numId w:val="18"/>
              </w:numPr>
              <w:spacing w:after="160" w:line="259" w:lineRule="auto"/>
              <w:ind w:firstLineChars="0"/>
              <w:rPr>
                <w:rFonts w:ascii="Arial" w:hAnsi="Arial" w:cs="Arial"/>
                <w:iCs/>
              </w:rPr>
            </w:pPr>
            <w:r w:rsidRPr="00432E10">
              <w:rPr>
                <w:rFonts w:ascii="Arial" w:hAnsi="Arial" w:cs="Arial"/>
                <w:iCs/>
              </w:rPr>
              <w:t xml:space="preserve">a list of UE Application layer measurement configuration IE for each service type. </w:t>
            </w:r>
          </w:p>
          <w:p w14:paraId="1190917B" w14:textId="77777777" w:rsidR="004B0ADC" w:rsidRPr="00432E10" w:rsidRDefault="004B0ADC" w:rsidP="004B0ADC">
            <w:pPr>
              <w:pStyle w:val="ListParagraph"/>
              <w:numPr>
                <w:ilvl w:val="1"/>
                <w:numId w:val="18"/>
              </w:numPr>
              <w:spacing w:after="160" w:line="259" w:lineRule="auto"/>
              <w:ind w:firstLineChars="0"/>
              <w:rPr>
                <w:rFonts w:ascii="Arial" w:hAnsi="Arial" w:cs="Arial"/>
                <w:iCs/>
              </w:rPr>
            </w:pPr>
            <w:r w:rsidRPr="00432E10">
              <w:rPr>
                <w:rFonts w:ascii="Arial" w:hAnsi="Arial" w:cs="Arial"/>
                <w:iCs/>
              </w:rPr>
              <w:t>inside each UE Application layer measurement configuration IE:</w:t>
            </w:r>
          </w:p>
          <w:p w14:paraId="7229D321" w14:textId="77777777" w:rsidR="004B0ADC" w:rsidRPr="00432E10" w:rsidRDefault="004B0ADC" w:rsidP="004B0ADC">
            <w:pPr>
              <w:pStyle w:val="ListParagraph"/>
              <w:numPr>
                <w:ilvl w:val="1"/>
                <w:numId w:val="18"/>
              </w:numPr>
              <w:spacing w:after="160" w:line="259" w:lineRule="auto"/>
              <w:ind w:firstLineChars="0"/>
              <w:rPr>
                <w:rFonts w:ascii="Arial" w:hAnsi="Arial" w:cs="Arial"/>
                <w:iCs/>
              </w:rPr>
            </w:pPr>
            <w:r w:rsidRPr="00432E10">
              <w:rPr>
                <w:rFonts w:ascii="Arial" w:hAnsi="Arial" w:cs="Arial"/>
                <w:iCs/>
              </w:rPr>
              <w:t>Container.</w:t>
            </w:r>
          </w:p>
          <w:p w14:paraId="499582B6" w14:textId="77777777" w:rsidR="004B0ADC" w:rsidRPr="00432E10" w:rsidRDefault="004B0ADC" w:rsidP="004B0ADC">
            <w:pPr>
              <w:pStyle w:val="ListParagraph"/>
              <w:numPr>
                <w:ilvl w:val="1"/>
                <w:numId w:val="18"/>
              </w:numPr>
              <w:spacing w:after="160" w:line="259" w:lineRule="auto"/>
              <w:ind w:firstLineChars="0"/>
              <w:rPr>
                <w:rFonts w:ascii="Arial" w:hAnsi="Arial" w:cs="Arial"/>
                <w:iCs/>
              </w:rPr>
            </w:pPr>
            <w:r w:rsidRPr="00432E10">
              <w:rPr>
                <w:rFonts w:ascii="Arial" w:hAnsi="Arial" w:cs="Arial"/>
                <w:iCs/>
              </w:rPr>
              <w:t>an enumerated IE indicating service type (e.g., Streaming services, MTSI services, VR).</w:t>
            </w:r>
          </w:p>
          <w:p w14:paraId="07C46559" w14:textId="77777777" w:rsidR="004B0ADC" w:rsidRPr="00432E10" w:rsidRDefault="004B0ADC" w:rsidP="004B0ADC">
            <w:pPr>
              <w:pStyle w:val="ListParagraph"/>
              <w:numPr>
                <w:ilvl w:val="1"/>
                <w:numId w:val="18"/>
              </w:numPr>
              <w:spacing w:after="160" w:line="259" w:lineRule="auto"/>
              <w:ind w:firstLineChars="0"/>
              <w:rPr>
                <w:rFonts w:ascii="Arial" w:hAnsi="Arial" w:cs="Arial"/>
                <w:iCs/>
              </w:rPr>
            </w:pPr>
            <w:r w:rsidRPr="00432E10">
              <w:rPr>
                <w:rFonts w:ascii="Arial" w:hAnsi="Arial" w:cs="Arial"/>
                <w:iCs/>
              </w:rPr>
              <w:t>Area scope (a list of cells/TA/TAI/PLMN).</w:t>
            </w:r>
          </w:p>
          <w:p w14:paraId="1470CA05" w14:textId="77777777" w:rsidR="004B0ADC" w:rsidRPr="00432E10" w:rsidRDefault="004B0ADC" w:rsidP="004B0ADC">
            <w:pPr>
              <w:pStyle w:val="ListParagraph"/>
              <w:numPr>
                <w:ilvl w:val="1"/>
                <w:numId w:val="18"/>
              </w:numPr>
              <w:spacing w:after="160" w:line="259" w:lineRule="auto"/>
              <w:ind w:firstLineChars="0"/>
              <w:rPr>
                <w:rFonts w:ascii="Arial" w:hAnsi="Arial" w:cs="Arial"/>
                <w:iCs/>
              </w:rPr>
            </w:pPr>
            <w:r w:rsidRPr="00611CD7">
              <w:rPr>
                <w:rFonts w:ascii="Arial" w:hAnsi="Arial" w:cs="Arial"/>
                <w:iCs/>
                <w:shd w:val="clear" w:color="auto" w:fill="FFD966" w:themeFill="accent4" w:themeFillTint="99"/>
              </w:rPr>
              <w:t>Slice scope</w:t>
            </w:r>
            <w:r w:rsidRPr="00432E10">
              <w:rPr>
                <w:rFonts w:ascii="Arial" w:hAnsi="Arial" w:cs="Arial"/>
                <w:iCs/>
              </w:rPr>
              <w:t>.</w:t>
            </w:r>
          </w:p>
          <w:p w14:paraId="4602EE9E" w14:textId="77777777" w:rsidR="004B0ADC" w:rsidRPr="00432E10" w:rsidRDefault="004B0ADC" w:rsidP="004B0ADC">
            <w:pPr>
              <w:pStyle w:val="ListParagraph"/>
              <w:numPr>
                <w:ilvl w:val="0"/>
                <w:numId w:val="18"/>
              </w:numPr>
              <w:spacing w:after="160" w:line="259" w:lineRule="auto"/>
              <w:ind w:firstLineChars="0"/>
              <w:rPr>
                <w:rFonts w:ascii="Arial" w:hAnsi="Arial" w:cs="Arial"/>
              </w:rPr>
            </w:pPr>
            <w:r w:rsidRPr="004B0ADC">
              <w:rPr>
                <w:rFonts w:ascii="Arial" w:hAnsi="Arial" w:cs="Arial"/>
                <w:iCs/>
                <w:shd w:val="clear" w:color="auto" w:fill="FFD966" w:themeFill="accent4" w:themeFillTint="99"/>
              </w:rPr>
              <w:t>RAN3 agree</w:t>
            </w:r>
            <w:r w:rsidRPr="004B0ADC">
              <w:rPr>
                <w:rFonts w:ascii="Arial" w:hAnsi="Arial" w:cs="Arial"/>
                <w:shd w:val="clear" w:color="auto" w:fill="FFD966" w:themeFill="accent4" w:themeFillTint="99"/>
              </w:rPr>
              <w:t xml:space="preserve"> slice scope is a list of S-NSSAI</w:t>
            </w:r>
            <w:r w:rsidRPr="00432E10">
              <w:rPr>
                <w:rFonts w:ascii="Arial" w:hAnsi="Arial" w:cs="Arial"/>
              </w:rPr>
              <w:t>.</w:t>
            </w:r>
          </w:p>
          <w:p w14:paraId="79890434" w14:textId="77777777" w:rsidR="004B0ADC" w:rsidRPr="00432E10" w:rsidRDefault="004B0ADC" w:rsidP="004B0ADC">
            <w:pPr>
              <w:pStyle w:val="ListParagraph"/>
              <w:numPr>
                <w:ilvl w:val="0"/>
                <w:numId w:val="18"/>
              </w:numPr>
              <w:spacing w:after="160" w:line="259" w:lineRule="auto"/>
              <w:ind w:firstLineChars="0"/>
              <w:rPr>
                <w:rFonts w:ascii="Arial" w:hAnsi="Arial" w:cs="Arial"/>
              </w:rPr>
            </w:pPr>
            <w:r w:rsidRPr="004B0ADC">
              <w:rPr>
                <w:rFonts w:ascii="Arial" w:hAnsi="Arial" w:cs="Arial"/>
                <w:iCs/>
                <w:shd w:val="clear" w:color="auto" w:fill="FFD966" w:themeFill="accent4" w:themeFillTint="99"/>
              </w:rPr>
              <w:t>RAN3 agree</w:t>
            </w:r>
            <w:r w:rsidRPr="004B0ADC">
              <w:rPr>
                <w:rFonts w:ascii="Arial" w:hAnsi="Arial" w:cs="Arial"/>
                <w:shd w:val="clear" w:color="auto" w:fill="FFD966" w:themeFill="accent4" w:themeFillTint="99"/>
              </w:rPr>
              <w:t xml:space="preserve"> that slice related identifier should be included in the QoE measurement report from UE</w:t>
            </w:r>
            <w:r w:rsidRPr="00432E10">
              <w:rPr>
                <w:rFonts w:ascii="Arial" w:hAnsi="Arial" w:cs="Arial"/>
              </w:rPr>
              <w:t>.</w:t>
            </w:r>
          </w:p>
          <w:p w14:paraId="53AF6004" w14:textId="353A72E9" w:rsidR="004B0ADC" w:rsidRPr="00AB584A" w:rsidRDefault="004B0ADC" w:rsidP="004B0ADC">
            <w:pPr>
              <w:pStyle w:val="ListParagraph"/>
              <w:numPr>
                <w:ilvl w:val="0"/>
                <w:numId w:val="18"/>
              </w:numPr>
              <w:spacing w:after="160" w:line="259" w:lineRule="auto"/>
              <w:ind w:firstLineChars="0"/>
              <w:rPr>
                <w:rFonts w:ascii="Arial" w:hAnsi="Arial" w:cs="Arial"/>
              </w:rPr>
            </w:pPr>
            <w:r w:rsidRPr="00432E10">
              <w:rPr>
                <w:rFonts w:ascii="Arial" w:hAnsi="Arial" w:cs="Arial"/>
                <w:iCs/>
              </w:rPr>
              <w:t>RAN3 agree</w:t>
            </w:r>
            <w:r w:rsidRPr="00432E10">
              <w:rPr>
                <w:rFonts w:ascii="Arial" w:hAnsi="Arial" w:cs="Arial"/>
              </w:rPr>
              <w:t xml:space="preserve"> that there are no additional requirements on QoE measurement to support roaming UEs.</w:t>
            </w:r>
          </w:p>
        </w:tc>
      </w:tr>
    </w:tbl>
    <w:p w14:paraId="053DA89F" w14:textId="62177B23" w:rsidR="00611CD7" w:rsidRDefault="006E593C" w:rsidP="00611CD7">
      <w:pPr>
        <w:rPr>
          <w:rFonts w:eastAsiaTheme="minorEastAsia"/>
          <w:lang w:eastAsia="zh-CN"/>
        </w:rPr>
      </w:pPr>
      <w:r>
        <w:rPr>
          <w:rFonts w:eastAsiaTheme="minorEastAsia"/>
          <w:lang w:eastAsia="zh-CN"/>
        </w:rPr>
        <w:t xml:space="preserve">One issue that has to be discussed by RAN2 is </w:t>
      </w:r>
      <w:r w:rsidR="00611CD7">
        <w:rPr>
          <w:rFonts w:eastAsiaTheme="minorEastAsia"/>
          <w:lang w:eastAsia="zh-CN"/>
        </w:rPr>
        <w:t xml:space="preserve">how slice information is configured </w:t>
      </w:r>
      <w:r w:rsidR="003D0463">
        <w:rPr>
          <w:rFonts w:eastAsiaTheme="minorEastAsia"/>
          <w:lang w:eastAsia="zh-CN"/>
        </w:rPr>
        <w:t>at the UE, in particular whether it is included in RRC signalling</w:t>
      </w:r>
      <w:r w:rsidR="00611CD7">
        <w:rPr>
          <w:rFonts w:eastAsiaTheme="minorEastAsia"/>
          <w:lang w:eastAsia="zh-CN"/>
        </w:rPr>
        <w:t xml:space="preserve">. In our understanding, </w:t>
      </w:r>
      <w:r w:rsidR="00611CD7" w:rsidRPr="006824B9">
        <w:rPr>
          <w:rFonts w:eastAsiaTheme="minorEastAsia"/>
          <w:lang w:eastAsia="zh-CN"/>
        </w:rPr>
        <w:t xml:space="preserve">RAN will check the slice scope </w:t>
      </w:r>
      <w:r w:rsidR="003D0463">
        <w:rPr>
          <w:rFonts w:eastAsiaTheme="minorEastAsia"/>
          <w:lang w:eastAsia="zh-CN"/>
        </w:rPr>
        <w:t xml:space="preserve">included in the QoE configuration from OAM/CN and based on this RAN will identify the UEs to configure with QoE (for management based QoE). RAN may further </w:t>
      </w:r>
      <w:r w:rsidR="00611CD7" w:rsidRPr="006824B9">
        <w:rPr>
          <w:rFonts w:eastAsiaTheme="minorEastAsia"/>
          <w:lang w:eastAsia="zh-CN"/>
        </w:rPr>
        <w:t xml:space="preserve">decide </w:t>
      </w:r>
      <w:r w:rsidR="003D0463">
        <w:rPr>
          <w:rFonts w:eastAsiaTheme="minorEastAsia"/>
          <w:lang w:eastAsia="zh-CN"/>
        </w:rPr>
        <w:t xml:space="preserve">to only configure a specific UE for QoE measurements within </w:t>
      </w:r>
      <w:r w:rsidR="00611CD7">
        <w:rPr>
          <w:rFonts w:eastAsiaTheme="minorEastAsia"/>
          <w:lang w:eastAsia="zh-CN"/>
        </w:rPr>
        <w:t>select</w:t>
      </w:r>
      <w:r w:rsidR="003D0463">
        <w:rPr>
          <w:rFonts w:eastAsiaTheme="minorEastAsia"/>
          <w:lang w:eastAsia="zh-CN"/>
        </w:rPr>
        <w:t>ed</w:t>
      </w:r>
      <w:r w:rsidR="00611CD7">
        <w:rPr>
          <w:rFonts w:eastAsiaTheme="minorEastAsia"/>
          <w:lang w:eastAsia="zh-CN"/>
        </w:rPr>
        <w:t xml:space="preserve"> </w:t>
      </w:r>
      <w:r w:rsidR="003D0463">
        <w:rPr>
          <w:rFonts w:eastAsiaTheme="minorEastAsia"/>
          <w:lang w:eastAsia="zh-CN"/>
        </w:rPr>
        <w:t xml:space="preserve">slices which are subset of slice scope list from OAM/CN, e.g. </w:t>
      </w:r>
      <w:r w:rsidR="00611CD7">
        <w:rPr>
          <w:rFonts w:eastAsiaTheme="minorEastAsia"/>
          <w:lang w:eastAsia="zh-CN"/>
        </w:rPr>
        <w:t xml:space="preserve">based on the maximum number of QoE measurement supported by the UE </w:t>
      </w:r>
      <w:r w:rsidR="003D0463">
        <w:rPr>
          <w:rFonts w:eastAsiaTheme="minorEastAsia"/>
          <w:lang w:eastAsia="zh-CN"/>
        </w:rPr>
        <w:t>etc</w:t>
      </w:r>
      <w:r w:rsidR="00611CD7">
        <w:rPr>
          <w:rFonts w:eastAsiaTheme="minorEastAsia"/>
          <w:lang w:eastAsia="zh-CN"/>
        </w:rPr>
        <w:t>. Therefore</w:t>
      </w:r>
      <w:r w:rsidR="003D0463">
        <w:rPr>
          <w:rFonts w:eastAsiaTheme="minorEastAsia"/>
          <w:lang w:eastAsia="zh-CN"/>
        </w:rPr>
        <w:t>, the slice scope information should be provided to the UE via RRC signalling. I</w:t>
      </w:r>
      <w:r w:rsidR="00611CD7">
        <w:rPr>
          <w:rFonts w:eastAsiaTheme="minorEastAsia"/>
          <w:lang w:eastAsia="zh-CN"/>
        </w:rPr>
        <w:t xml:space="preserve">f the slice information </w:t>
      </w:r>
      <w:r w:rsidR="003D0463">
        <w:rPr>
          <w:rFonts w:eastAsiaTheme="minorEastAsia"/>
          <w:lang w:eastAsia="zh-CN"/>
        </w:rPr>
        <w:t xml:space="preserve">was </w:t>
      </w:r>
      <w:r w:rsidR="00611CD7">
        <w:rPr>
          <w:rFonts w:eastAsiaTheme="minorEastAsia"/>
          <w:lang w:eastAsia="zh-CN"/>
        </w:rPr>
        <w:t xml:space="preserve">also included in the QoE configuration container, </w:t>
      </w:r>
      <w:r w:rsidR="003D0463">
        <w:rPr>
          <w:rFonts w:eastAsiaTheme="minorEastAsia"/>
          <w:lang w:eastAsia="zh-CN"/>
        </w:rPr>
        <w:t>the configuration could be inconsistent with RAN configuration leading to improper UE behaviour.</w:t>
      </w:r>
    </w:p>
    <w:p w14:paraId="297A8413" w14:textId="10826281" w:rsidR="00611CD7" w:rsidRPr="00611CD7" w:rsidRDefault="00611CD7" w:rsidP="00611CD7">
      <w:pPr>
        <w:rPr>
          <w:rFonts w:eastAsia="宋体"/>
          <w:b/>
          <w:lang w:eastAsia="zh-CN"/>
        </w:rPr>
      </w:pPr>
      <w:r>
        <w:rPr>
          <w:b/>
        </w:rPr>
        <w:t xml:space="preserve">Proposal </w:t>
      </w:r>
      <w:r w:rsidR="00AB584A">
        <w:rPr>
          <w:b/>
        </w:rPr>
        <w:t>6</w:t>
      </w:r>
      <w:r>
        <w:rPr>
          <w:b/>
        </w:rPr>
        <w:t>:</w:t>
      </w:r>
      <w:r w:rsidR="006F1739" w:rsidRPr="006F1739">
        <w:rPr>
          <w:rFonts w:eastAsia="宋体"/>
          <w:b/>
          <w:lang w:eastAsia="zh-CN"/>
        </w:rPr>
        <w:t xml:space="preserve"> </w:t>
      </w:r>
      <w:r w:rsidR="006F1739" w:rsidRPr="00611CD7">
        <w:rPr>
          <w:rFonts w:eastAsia="宋体"/>
          <w:b/>
          <w:lang w:eastAsia="zh-CN"/>
        </w:rPr>
        <w:t xml:space="preserve">The </w:t>
      </w:r>
      <w:r w:rsidR="006F1739">
        <w:rPr>
          <w:rFonts w:eastAsia="宋体"/>
          <w:b/>
          <w:lang w:eastAsia="zh-CN"/>
        </w:rPr>
        <w:t>gNB</w:t>
      </w:r>
      <w:r w:rsidR="006F1739" w:rsidRPr="00611CD7">
        <w:rPr>
          <w:rFonts w:eastAsia="宋体"/>
          <w:b/>
          <w:lang w:eastAsia="zh-CN"/>
        </w:rPr>
        <w:t xml:space="preserve"> sends the slice info</w:t>
      </w:r>
      <w:r w:rsidR="006F1739" w:rsidRPr="00ED776D">
        <w:t xml:space="preserve"> </w:t>
      </w:r>
      <w:r w:rsidR="006F1739" w:rsidRPr="00611CD7">
        <w:rPr>
          <w:rFonts w:eastAsia="宋体"/>
          <w:b/>
          <w:lang w:eastAsia="zh-CN"/>
        </w:rPr>
        <w:t xml:space="preserve">as an explicit IE </w:t>
      </w:r>
      <w:r w:rsidR="006F1739">
        <w:rPr>
          <w:rFonts w:eastAsia="宋体"/>
          <w:b/>
          <w:lang w:eastAsia="zh-CN"/>
        </w:rPr>
        <w:t>in RRC QoE configuration</w:t>
      </w:r>
      <w:r w:rsidR="006F1739" w:rsidRPr="00611CD7">
        <w:rPr>
          <w:rFonts w:eastAsia="宋体"/>
          <w:b/>
          <w:lang w:eastAsia="zh-CN"/>
        </w:rPr>
        <w:t>.</w:t>
      </w:r>
      <w:r>
        <w:rPr>
          <w:b/>
        </w:rPr>
        <w:t xml:space="preserve"> </w:t>
      </w:r>
      <w:r w:rsidRPr="00611CD7">
        <w:rPr>
          <w:rFonts w:eastAsia="宋体"/>
          <w:b/>
          <w:lang w:eastAsia="zh-CN"/>
        </w:rPr>
        <w:t xml:space="preserve">The </w:t>
      </w:r>
      <w:r w:rsidR="006F1739">
        <w:rPr>
          <w:rFonts w:eastAsia="宋体"/>
          <w:b/>
          <w:lang w:eastAsia="zh-CN"/>
        </w:rPr>
        <w:t xml:space="preserve">QoE </w:t>
      </w:r>
      <w:r w:rsidRPr="00611CD7">
        <w:rPr>
          <w:rFonts w:eastAsia="宋体"/>
          <w:b/>
          <w:lang w:eastAsia="zh-CN"/>
        </w:rPr>
        <w:t xml:space="preserve">configuration container </w:t>
      </w:r>
      <w:r w:rsidR="006F1739">
        <w:rPr>
          <w:rFonts w:eastAsia="宋体"/>
          <w:b/>
          <w:lang w:eastAsia="zh-CN"/>
        </w:rPr>
        <w:t xml:space="preserve">should </w:t>
      </w:r>
      <w:r w:rsidRPr="00611CD7">
        <w:rPr>
          <w:rFonts w:eastAsia="宋体"/>
          <w:b/>
          <w:lang w:eastAsia="zh-CN"/>
        </w:rPr>
        <w:t xml:space="preserve">not include the slice info. </w:t>
      </w:r>
    </w:p>
    <w:p w14:paraId="5C299C1A" w14:textId="60B8CE09" w:rsidR="00611CD7" w:rsidRDefault="00611CD7" w:rsidP="00611CD7">
      <w:pPr>
        <w:rPr>
          <w:rFonts w:eastAsiaTheme="minorEastAsia"/>
          <w:lang w:eastAsia="zh-CN"/>
        </w:rPr>
      </w:pPr>
      <w:r>
        <w:rPr>
          <w:rFonts w:eastAsiaTheme="minorEastAsia" w:hint="eastAsia"/>
          <w:lang w:eastAsia="zh-CN"/>
        </w:rPr>
        <w:t>A</w:t>
      </w:r>
      <w:r>
        <w:rPr>
          <w:rFonts w:eastAsiaTheme="minorEastAsia"/>
          <w:lang w:eastAsia="zh-CN"/>
        </w:rPr>
        <w:t xml:space="preserve">nother </w:t>
      </w:r>
      <w:r w:rsidR="008B35FD">
        <w:rPr>
          <w:rFonts w:eastAsiaTheme="minorEastAsia"/>
          <w:lang w:eastAsia="zh-CN"/>
        </w:rPr>
        <w:t xml:space="preserve">point that has to be solved </w:t>
      </w:r>
      <w:r>
        <w:rPr>
          <w:rFonts w:eastAsiaTheme="minorEastAsia"/>
          <w:lang w:eastAsia="zh-CN"/>
        </w:rPr>
        <w:t>is w</w:t>
      </w:r>
      <w:r w:rsidRPr="00B472C5">
        <w:rPr>
          <w:rFonts w:eastAsiaTheme="minorEastAsia"/>
          <w:lang w:eastAsia="zh-CN"/>
        </w:rPr>
        <w:t xml:space="preserve">hether slice ID </w:t>
      </w:r>
      <w:r w:rsidR="008B35FD">
        <w:rPr>
          <w:rFonts w:eastAsiaTheme="minorEastAsia"/>
          <w:lang w:eastAsia="zh-CN"/>
        </w:rPr>
        <w:t xml:space="preserve">needs to be included in RRC signalling or should rather be included within </w:t>
      </w:r>
      <w:r w:rsidRPr="00B472C5">
        <w:rPr>
          <w:rFonts w:eastAsiaTheme="minorEastAsia"/>
          <w:lang w:eastAsia="zh-CN"/>
        </w:rPr>
        <w:t>QoE measurement report container</w:t>
      </w:r>
      <w:r>
        <w:rPr>
          <w:rFonts w:eastAsiaTheme="minorEastAsia"/>
          <w:lang w:eastAsia="zh-CN"/>
        </w:rPr>
        <w:t xml:space="preserve">. </w:t>
      </w:r>
    </w:p>
    <w:p w14:paraId="43566B0F" w14:textId="724EED4F" w:rsidR="00611CD7" w:rsidRDefault="00386F21" w:rsidP="00611CD7">
      <w:pPr>
        <w:rPr>
          <w:rFonts w:eastAsia="宋体"/>
          <w:lang w:eastAsia="zh-CN"/>
        </w:rPr>
      </w:pPr>
      <w:r>
        <w:rPr>
          <w:rFonts w:eastAsia="宋体"/>
          <w:lang w:eastAsia="zh-CN"/>
        </w:rPr>
        <w:t>T</w:t>
      </w:r>
      <w:r w:rsidR="00611CD7" w:rsidRPr="00ED776D">
        <w:rPr>
          <w:rFonts w:eastAsia="宋体"/>
          <w:lang w:eastAsia="zh-CN"/>
        </w:rPr>
        <w:t>he QoE report</w:t>
      </w:r>
      <w:r w:rsidR="00611CD7">
        <w:rPr>
          <w:rFonts w:eastAsia="宋体"/>
          <w:lang w:eastAsia="zh-CN"/>
        </w:rPr>
        <w:t xml:space="preserve"> </w:t>
      </w:r>
      <w:r>
        <w:rPr>
          <w:rFonts w:eastAsia="宋体"/>
          <w:lang w:eastAsia="zh-CN"/>
        </w:rPr>
        <w:t xml:space="preserve">carried in </w:t>
      </w:r>
      <w:r w:rsidR="00611CD7">
        <w:rPr>
          <w:rFonts w:eastAsia="宋体"/>
          <w:lang w:eastAsia="zh-CN"/>
        </w:rPr>
        <w:t xml:space="preserve">a </w:t>
      </w:r>
      <w:r>
        <w:rPr>
          <w:rFonts w:eastAsia="宋体"/>
          <w:lang w:eastAsia="zh-CN"/>
        </w:rPr>
        <w:t xml:space="preserve">QoE </w:t>
      </w:r>
      <w:r w:rsidR="00611CD7">
        <w:rPr>
          <w:rFonts w:eastAsia="宋体"/>
          <w:lang w:eastAsia="zh-CN"/>
        </w:rPr>
        <w:t>report container is used by the OAM</w:t>
      </w:r>
      <w:r>
        <w:rPr>
          <w:rFonts w:eastAsia="宋体"/>
          <w:lang w:eastAsia="zh-CN"/>
        </w:rPr>
        <w:t xml:space="preserve"> directly</w:t>
      </w:r>
      <w:r w:rsidR="00611CD7">
        <w:rPr>
          <w:rFonts w:eastAsia="宋体"/>
          <w:lang w:eastAsia="zh-CN"/>
        </w:rPr>
        <w:t>. Therefore, the NG-RAN does not need to know the slice ID of the QoE report</w:t>
      </w:r>
      <w:r>
        <w:rPr>
          <w:rFonts w:eastAsia="宋体"/>
          <w:lang w:eastAsia="zh-CN"/>
        </w:rPr>
        <w:t xml:space="preserve"> and it is sufficient if</w:t>
      </w:r>
      <w:r w:rsidR="00611CD7">
        <w:rPr>
          <w:rFonts w:eastAsia="宋体"/>
          <w:lang w:eastAsia="zh-CN"/>
        </w:rPr>
        <w:t xml:space="preserve"> the slice ID is only included in the transparent reporting container.</w:t>
      </w:r>
      <w:r w:rsidR="00611CD7" w:rsidRPr="00B472C5">
        <w:rPr>
          <w:rFonts w:eastAsiaTheme="minorEastAsia"/>
          <w:lang w:eastAsia="zh-CN"/>
        </w:rPr>
        <w:t xml:space="preserve"> </w:t>
      </w:r>
      <w:r w:rsidR="00611CD7">
        <w:rPr>
          <w:rFonts w:eastAsiaTheme="minorEastAsia"/>
          <w:lang w:eastAsia="zh-CN"/>
        </w:rPr>
        <w:t>According to the LS</w:t>
      </w:r>
      <w:r w:rsidR="007A357A">
        <w:rPr>
          <w:rFonts w:eastAsiaTheme="minorEastAsia"/>
          <w:lang w:eastAsia="zh-CN"/>
        </w:rPr>
        <w:t xml:space="preserve"> </w:t>
      </w:r>
      <w:r w:rsidR="007A357A">
        <w:rPr>
          <w:rFonts w:eastAsiaTheme="minorEastAsia" w:hint="eastAsia"/>
          <w:lang w:eastAsia="zh-CN"/>
        </w:rPr>
        <w:t>[</w:t>
      </w:r>
      <w:r w:rsidR="00875167">
        <w:rPr>
          <w:rFonts w:eastAsiaTheme="minorEastAsia"/>
          <w:lang w:eastAsia="zh-CN"/>
        </w:rPr>
        <w:t>4</w:t>
      </w:r>
      <w:r w:rsidR="007A357A">
        <w:rPr>
          <w:rFonts w:eastAsiaTheme="minorEastAsia"/>
          <w:lang w:eastAsia="zh-CN"/>
        </w:rPr>
        <w:t>]</w:t>
      </w:r>
      <w:r w:rsidR="00611CD7">
        <w:rPr>
          <w:rFonts w:eastAsiaTheme="minorEastAsia"/>
          <w:lang w:eastAsia="zh-CN"/>
        </w:rPr>
        <w:t xml:space="preserve"> from SA4, SA4 are also considering to include the slice ID in the QoE report container.</w:t>
      </w:r>
    </w:p>
    <w:p w14:paraId="2F877085" w14:textId="0CF65D2B" w:rsidR="00611CD7" w:rsidRPr="00611CD7" w:rsidRDefault="00E75E8F" w:rsidP="00611CD7">
      <w:pPr>
        <w:rPr>
          <w:b/>
        </w:rPr>
      </w:pPr>
      <w:r>
        <w:rPr>
          <w:b/>
        </w:rPr>
        <w:lastRenderedPageBreak/>
        <w:t xml:space="preserve">Proposal </w:t>
      </w:r>
      <w:r w:rsidR="00AB584A">
        <w:rPr>
          <w:b/>
        </w:rPr>
        <w:t>7</w:t>
      </w:r>
      <w:r w:rsidR="00611CD7">
        <w:rPr>
          <w:b/>
        </w:rPr>
        <w:t xml:space="preserve">: </w:t>
      </w:r>
      <w:r w:rsidR="00611CD7" w:rsidRPr="00611CD7">
        <w:rPr>
          <w:b/>
        </w:rPr>
        <w:t xml:space="preserve">For the legacy QoE measurement reporting, </w:t>
      </w:r>
      <w:r w:rsidR="00386F21">
        <w:rPr>
          <w:b/>
        </w:rPr>
        <w:t>there is no need to include slice information in the RRC signalling. T</w:t>
      </w:r>
      <w:r w:rsidR="00611CD7" w:rsidRPr="00611CD7">
        <w:rPr>
          <w:b/>
        </w:rPr>
        <w:t xml:space="preserve">he slice ID </w:t>
      </w:r>
      <w:r w:rsidR="00386F21">
        <w:rPr>
          <w:b/>
        </w:rPr>
        <w:t>should be</w:t>
      </w:r>
      <w:r w:rsidR="00611CD7" w:rsidRPr="00611CD7">
        <w:rPr>
          <w:b/>
        </w:rPr>
        <w:t xml:space="preserve"> included in the </w:t>
      </w:r>
      <w:r w:rsidR="00386F21">
        <w:rPr>
          <w:b/>
        </w:rPr>
        <w:t>QoE</w:t>
      </w:r>
      <w:r w:rsidR="00386F21" w:rsidRPr="00611CD7">
        <w:rPr>
          <w:b/>
        </w:rPr>
        <w:t xml:space="preserve"> </w:t>
      </w:r>
      <w:r w:rsidR="00611CD7" w:rsidRPr="00611CD7">
        <w:rPr>
          <w:b/>
        </w:rPr>
        <w:t>report container.</w:t>
      </w:r>
    </w:p>
    <w:p w14:paraId="5C6A6389" w14:textId="77777777" w:rsidR="004B0ADC" w:rsidRPr="00611CD7" w:rsidRDefault="004B0ADC" w:rsidP="004B0ADC">
      <w:pPr>
        <w:rPr>
          <w:rFonts w:eastAsia="宋体"/>
          <w:lang w:eastAsia="zh-CN"/>
        </w:rPr>
      </w:pPr>
    </w:p>
    <w:p w14:paraId="32C3B9DE" w14:textId="77777777" w:rsidR="00E05C2E" w:rsidRDefault="00E05C2E" w:rsidP="00E05C2E">
      <w:pPr>
        <w:pStyle w:val="Heading3"/>
      </w:pPr>
      <w:r>
        <w:t>3</w:t>
      </w:r>
      <w:r w:rsidRPr="00A304A0">
        <w:tab/>
      </w:r>
      <w:r>
        <w:t>Conclusions</w:t>
      </w:r>
    </w:p>
    <w:p w14:paraId="2B168E0B" w14:textId="77777777" w:rsidR="00E7544B" w:rsidRDefault="00F6732C" w:rsidP="00E7544B">
      <w:pPr>
        <w:tabs>
          <w:tab w:val="left" w:pos="1560"/>
        </w:tabs>
        <w:overflowPunct/>
        <w:autoSpaceDE/>
        <w:autoSpaceDN/>
        <w:adjustRightInd/>
        <w:textAlignment w:val="auto"/>
        <w:rPr>
          <w:rFonts w:eastAsia="宋体"/>
          <w:b/>
          <w:lang w:eastAsia="zh-CN"/>
        </w:rPr>
      </w:pPr>
      <w:r>
        <w:t xml:space="preserve">Based on the above discussions, the following </w:t>
      </w:r>
      <w:r w:rsidR="003B7066">
        <w:t>is observed and proposed</w:t>
      </w:r>
      <w:r>
        <w:t>:</w:t>
      </w:r>
      <w:r w:rsidR="00E7544B" w:rsidRPr="00E7544B">
        <w:rPr>
          <w:rFonts w:eastAsia="宋体"/>
          <w:b/>
          <w:lang w:eastAsia="zh-CN"/>
        </w:rPr>
        <w:t xml:space="preserve"> </w:t>
      </w:r>
    </w:p>
    <w:p w14:paraId="4761235A" w14:textId="3AE87A12" w:rsidR="00AB584A" w:rsidRDefault="00AB584A" w:rsidP="00AB584A">
      <w:r w:rsidRPr="00975DB4">
        <w:rPr>
          <w:rFonts w:eastAsiaTheme="minorEastAsia" w:hint="eastAsia"/>
          <w:b/>
          <w:lang w:eastAsia="zh-CN"/>
        </w:rPr>
        <w:t>O</w:t>
      </w:r>
      <w:r w:rsidRPr="00975DB4">
        <w:rPr>
          <w:rFonts w:eastAsiaTheme="minorEastAsia"/>
          <w:b/>
          <w:lang w:eastAsia="zh-CN"/>
        </w:rPr>
        <w:t>bservation 1:</w:t>
      </w:r>
      <w:r>
        <w:rPr>
          <w:rFonts w:eastAsiaTheme="minorEastAsia"/>
          <w:b/>
          <w:lang w:eastAsia="zh-CN"/>
        </w:rPr>
        <w:t xml:space="preserve"> SA4 thinks it is better to remove the size limits for NR QoE configuration and reporting</w:t>
      </w:r>
      <w:r>
        <w:rPr>
          <w:rFonts w:eastAsiaTheme="minorEastAsia"/>
          <w:b/>
          <w:lang w:eastAsia="zh-CN"/>
        </w:rPr>
        <w:t>.</w:t>
      </w:r>
    </w:p>
    <w:p w14:paraId="7496091C" w14:textId="77777777" w:rsidR="00AB584A" w:rsidRDefault="00AB584A" w:rsidP="00AB584A">
      <w:pPr>
        <w:rPr>
          <w:rFonts w:eastAsiaTheme="minorEastAsia"/>
          <w:b/>
          <w:lang w:eastAsia="zh-CN"/>
        </w:rPr>
      </w:pPr>
      <w:r>
        <w:rPr>
          <w:rFonts w:eastAsiaTheme="minorEastAsia"/>
          <w:b/>
          <w:lang w:eastAsia="zh-CN"/>
        </w:rPr>
        <w:t>Observation 2</w:t>
      </w:r>
      <w:r w:rsidRPr="00975DB4">
        <w:rPr>
          <w:rFonts w:eastAsiaTheme="minorEastAsia"/>
          <w:b/>
          <w:lang w:eastAsia="zh-CN"/>
        </w:rPr>
        <w:t xml:space="preserve">: </w:t>
      </w:r>
      <w:r>
        <w:rPr>
          <w:rFonts w:eastAsiaTheme="minorEastAsia"/>
          <w:b/>
          <w:lang w:eastAsia="zh-CN"/>
        </w:rPr>
        <w:t>T</w:t>
      </w:r>
      <w:r w:rsidRPr="007E0D05">
        <w:rPr>
          <w:rFonts w:eastAsiaTheme="minorEastAsia"/>
          <w:b/>
          <w:lang w:eastAsia="zh-CN"/>
        </w:rPr>
        <w:t>he size of QoE configuration container has no bearing when it comes to the number of QoE configurations that can be carried within a single RRC message.</w:t>
      </w:r>
    </w:p>
    <w:p w14:paraId="2374800C" w14:textId="77777777" w:rsidR="00AB584A" w:rsidRDefault="00AB584A" w:rsidP="00AB584A">
      <w:pPr>
        <w:tabs>
          <w:tab w:val="left" w:pos="1560"/>
        </w:tabs>
        <w:overflowPunct/>
        <w:autoSpaceDE/>
        <w:autoSpaceDN/>
        <w:adjustRightInd/>
        <w:textAlignment w:val="auto"/>
        <w:rPr>
          <w:rFonts w:eastAsia="宋体"/>
          <w:b/>
          <w:lang w:eastAsia="zh-CN"/>
        </w:rPr>
      </w:pPr>
    </w:p>
    <w:p w14:paraId="506798B4" w14:textId="77777777" w:rsidR="00AB584A" w:rsidRDefault="00AB584A" w:rsidP="00AB584A">
      <w:pPr>
        <w:tabs>
          <w:tab w:val="left" w:pos="1560"/>
        </w:tabs>
        <w:overflowPunct/>
        <w:autoSpaceDE/>
        <w:autoSpaceDN/>
        <w:adjustRightInd/>
        <w:textAlignment w:val="auto"/>
        <w:rPr>
          <w:rFonts w:eastAsia="宋体"/>
          <w:b/>
          <w:lang w:eastAsia="zh-CN"/>
        </w:rPr>
      </w:pPr>
      <w:r w:rsidRPr="001A5C87">
        <w:rPr>
          <w:rFonts w:eastAsia="宋体"/>
          <w:b/>
          <w:lang w:eastAsia="zh-CN"/>
        </w:rPr>
        <w:t xml:space="preserve">Proposal </w:t>
      </w:r>
      <w:r>
        <w:rPr>
          <w:rFonts w:eastAsia="宋体"/>
          <w:b/>
          <w:lang w:eastAsia="zh-CN"/>
        </w:rPr>
        <w:t>1</w:t>
      </w:r>
      <w:r w:rsidRPr="001A5C87">
        <w:rPr>
          <w:rFonts w:eastAsia="宋体"/>
          <w:b/>
          <w:lang w:eastAsia="zh-CN"/>
        </w:rPr>
        <w:t xml:space="preserve">:  </w:t>
      </w:r>
      <w:r>
        <w:rPr>
          <w:rFonts w:eastAsia="宋体"/>
          <w:b/>
          <w:lang w:eastAsia="zh-CN"/>
        </w:rPr>
        <w:t xml:space="preserve">The UE </w:t>
      </w:r>
      <w:r w:rsidRPr="002C3E3A">
        <w:rPr>
          <w:rFonts w:eastAsia="宋体"/>
          <w:b/>
          <w:lang w:eastAsia="zh-CN"/>
        </w:rPr>
        <w:t>RRC layer forwards the MeasConfigAppLayerId together with the QoE configuration to the application layer</w:t>
      </w:r>
      <w:r>
        <w:rPr>
          <w:rFonts w:eastAsia="宋体"/>
          <w:b/>
          <w:lang w:eastAsia="zh-CN"/>
        </w:rPr>
        <w:t xml:space="preserve">. The application layer sends the </w:t>
      </w:r>
      <w:r w:rsidRPr="002C3E3A">
        <w:rPr>
          <w:rFonts w:eastAsia="宋体"/>
          <w:b/>
          <w:lang w:eastAsia="zh-CN"/>
        </w:rPr>
        <w:t xml:space="preserve">MeasConfigAppLayerId together with the QoE </w:t>
      </w:r>
      <w:r>
        <w:rPr>
          <w:rFonts w:eastAsia="宋体"/>
          <w:b/>
          <w:lang w:eastAsia="zh-CN"/>
        </w:rPr>
        <w:t>report</w:t>
      </w:r>
      <w:r w:rsidRPr="002C3E3A">
        <w:rPr>
          <w:rFonts w:eastAsia="宋体"/>
          <w:b/>
          <w:lang w:eastAsia="zh-CN"/>
        </w:rPr>
        <w:t xml:space="preserve"> to the </w:t>
      </w:r>
      <w:r>
        <w:rPr>
          <w:rFonts w:eastAsia="宋体"/>
          <w:b/>
          <w:lang w:eastAsia="zh-CN"/>
        </w:rPr>
        <w:t>UE RRC layer.</w:t>
      </w:r>
    </w:p>
    <w:p w14:paraId="315A1652" w14:textId="77777777" w:rsidR="00AB584A" w:rsidRPr="00975DB4" w:rsidRDefault="00AB584A" w:rsidP="00AB584A">
      <w:pPr>
        <w:rPr>
          <w:rFonts w:eastAsiaTheme="minorEastAsia"/>
          <w:b/>
          <w:lang w:eastAsia="zh-CN"/>
        </w:rPr>
      </w:pPr>
      <w:r>
        <w:rPr>
          <w:rFonts w:eastAsiaTheme="minorEastAsia"/>
          <w:b/>
          <w:lang w:eastAsia="zh-CN"/>
        </w:rPr>
        <w:t>Proposal 2</w:t>
      </w:r>
      <w:r w:rsidRPr="00975DB4">
        <w:rPr>
          <w:rFonts w:eastAsiaTheme="minorEastAsia"/>
          <w:b/>
          <w:lang w:eastAsia="zh-CN"/>
        </w:rPr>
        <w:t xml:space="preserve">: </w:t>
      </w:r>
      <w:r>
        <w:rPr>
          <w:rFonts w:eastAsiaTheme="minorEastAsia"/>
          <w:b/>
          <w:lang w:eastAsia="zh-CN"/>
        </w:rPr>
        <w:t xml:space="preserve">Support the RRC segmentation for </w:t>
      </w:r>
      <w:r w:rsidRPr="001A3E25">
        <w:rPr>
          <w:rFonts w:eastAsiaTheme="minorEastAsia"/>
          <w:b/>
          <w:lang w:eastAsia="zh-CN"/>
        </w:rPr>
        <w:t>MeasReportAppLayer</w:t>
      </w:r>
      <w:r>
        <w:rPr>
          <w:rFonts w:eastAsiaTheme="minorEastAsia"/>
          <w:b/>
          <w:lang w:eastAsia="zh-CN"/>
        </w:rPr>
        <w:t xml:space="preserve"> message.</w:t>
      </w:r>
    </w:p>
    <w:p w14:paraId="681714F7" w14:textId="77777777" w:rsidR="00AB584A" w:rsidRPr="0057487D" w:rsidRDefault="00AB584A" w:rsidP="00AB584A">
      <w:pPr>
        <w:rPr>
          <w:rFonts w:eastAsiaTheme="minorEastAsia"/>
          <w:b/>
          <w:lang w:eastAsia="zh-CN"/>
        </w:rPr>
      </w:pPr>
      <w:r>
        <w:rPr>
          <w:rFonts w:eastAsiaTheme="minorEastAsia"/>
          <w:b/>
          <w:lang w:eastAsia="zh-CN"/>
        </w:rPr>
        <w:t xml:space="preserve">Proposal 3: The maximum size of the QoE configuration container should be 8 kBytes to ensure all UEs are able to receive it. </w:t>
      </w:r>
    </w:p>
    <w:p w14:paraId="588C2504" w14:textId="77777777" w:rsidR="00AB584A" w:rsidRPr="00887322" w:rsidRDefault="00AB584A" w:rsidP="00AB584A">
      <w:pPr>
        <w:rPr>
          <w:rFonts w:eastAsiaTheme="minorEastAsia"/>
          <w:lang w:eastAsia="zh-CN"/>
        </w:rPr>
      </w:pPr>
      <w:r>
        <w:rPr>
          <w:rFonts w:eastAsiaTheme="minorEastAsia"/>
          <w:b/>
          <w:lang w:eastAsia="zh-CN"/>
        </w:rPr>
        <w:t>Proposal 4: QoE report container can be specified as OCTET STRING with no maximum size in RRC signalling.</w:t>
      </w:r>
    </w:p>
    <w:p w14:paraId="1374E9C4" w14:textId="77777777" w:rsidR="00AB584A" w:rsidRDefault="00AB584A" w:rsidP="00AB584A">
      <w:pPr>
        <w:tabs>
          <w:tab w:val="left" w:pos="1560"/>
        </w:tabs>
        <w:overflowPunct/>
        <w:autoSpaceDE/>
        <w:autoSpaceDN/>
        <w:adjustRightInd/>
        <w:textAlignment w:val="auto"/>
        <w:rPr>
          <w:rFonts w:eastAsia="宋体"/>
          <w:b/>
          <w:lang w:eastAsia="zh-CN"/>
        </w:rPr>
      </w:pPr>
      <w:r>
        <w:rPr>
          <w:rFonts w:eastAsiaTheme="minorEastAsia"/>
          <w:b/>
          <w:lang w:eastAsia="zh-CN"/>
        </w:rPr>
        <w:t>Proposal 5: Application layer should be informed by the UE whether UE supports sending QoE reports with the size exceeding the previous limitation of 8 kBytes (which depends on whether UE supports RRC segmentation).</w:t>
      </w:r>
    </w:p>
    <w:p w14:paraId="0738B97B" w14:textId="77777777" w:rsidR="00AB584A" w:rsidRPr="00611CD7" w:rsidRDefault="00AB584A" w:rsidP="00AB584A">
      <w:pPr>
        <w:rPr>
          <w:rFonts w:eastAsia="宋体"/>
          <w:b/>
          <w:lang w:eastAsia="zh-CN"/>
        </w:rPr>
      </w:pPr>
      <w:r>
        <w:rPr>
          <w:b/>
        </w:rPr>
        <w:t>Proposal 6:</w:t>
      </w:r>
      <w:r w:rsidRPr="006F1739">
        <w:rPr>
          <w:rFonts w:eastAsia="宋体"/>
          <w:b/>
          <w:lang w:eastAsia="zh-CN"/>
        </w:rPr>
        <w:t xml:space="preserve"> </w:t>
      </w:r>
      <w:r w:rsidRPr="00611CD7">
        <w:rPr>
          <w:rFonts w:eastAsia="宋体"/>
          <w:b/>
          <w:lang w:eastAsia="zh-CN"/>
        </w:rPr>
        <w:t xml:space="preserve">The </w:t>
      </w:r>
      <w:r>
        <w:rPr>
          <w:rFonts w:eastAsia="宋体"/>
          <w:b/>
          <w:lang w:eastAsia="zh-CN"/>
        </w:rPr>
        <w:t>gNB</w:t>
      </w:r>
      <w:r w:rsidRPr="00611CD7">
        <w:rPr>
          <w:rFonts w:eastAsia="宋体"/>
          <w:b/>
          <w:lang w:eastAsia="zh-CN"/>
        </w:rPr>
        <w:t xml:space="preserve"> sends the slice info</w:t>
      </w:r>
      <w:r w:rsidRPr="00ED776D">
        <w:t xml:space="preserve"> </w:t>
      </w:r>
      <w:r w:rsidRPr="00611CD7">
        <w:rPr>
          <w:rFonts w:eastAsia="宋体"/>
          <w:b/>
          <w:lang w:eastAsia="zh-CN"/>
        </w:rPr>
        <w:t xml:space="preserve">as an explicit IE </w:t>
      </w:r>
      <w:r>
        <w:rPr>
          <w:rFonts w:eastAsia="宋体"/>
          <w:b/>
          <w:lang w:eastAsia="zh-CN"/>
        </w:rPr>
        <w:t>in RRC QoE configuration</w:t>
      </w:r>
      <w:r w:rsidRPr="00611CD7">
        <w:rPr>
          <w:rFonts w:eastAsia="宋体"/>
          <w:b/>
          <w:lang w:eastAsia="zh-CN"/>
        </w:rPr>
        <w:t>.</w:t>
      </w:r>
      <w:r>
        <w:rPr>
          <w:b/>
        </w:rPr>
        <w:t xml:space="preserve"> </w:t>
      </w:r>
      <w:r w:rsidRPr="00611CD7">
        <w:rPr>
          <w:rFonts w:eastAsia="宋体"/>
          <w:b/>
          <w:lang w:eastAsia="zh-CN"/>
        </w:rPr>
        <w:t xml:space="preserve">The </w:t>
      </w:r>
      <w:r>
        <w:rPr>
          <w:rFonts w:eastAsia="宋体"/>
          <w:b/>
          <w:lang w:eastAsia="zh-CN"/>
        </w:rPr>
        <w:t xml:space="preserve">QoE </w:t>
      </w:r>
      <w:r w:rsidRPr="00611CD7">
        <w:rPr>
          <w:rFonts w:eastAsia="宋体"/>
          <w:b/>
          <w:lang w:eastAsia="zh-CN"/>
        </w:rPr>
        <w:t xml:space="preserve">configuration container </w:t>
      </w:r>
      <w:r>
        <w:rPr>
          <w:rFonts w:eastAsia="宋体"/>
          <w:b/>
          <w:lang w:eastAsia="zh-CN"/>
        </w:rPr>
        <w:t xml:space="preserve">should </w:t>
      </w:r>
      <w:r w:rsidRPr="00611CD7">
        <w:rPr>
          <w:rFonts w:eastAsia="宋体"/>
          <w:b/>
          <w:lang w:eastAsia="zh-CN"/>
        </w:rPr>
        <w:t xml:space="preserve">not include the slice info. </w:t>
      </w:r>
    </w:p>
    <w:p w14:paraId="26305CC8" w14:textId="77777777" w:rsidR="00AB584A" w:rsidRPr="00611CD7" w:rsidRDefault="00AB584A" w:rsidP="00AB584A">
      <w:pPr>
        <w:rPr>
          <w:b/>
        </w:rPr>
      </w:pPr>
      <w:r>
        <w:rPr>
          <w:b/>
        </w:rPr>
        <w:t xml:space="preserve">Proposal 7: </w:t>
      </w:r>
      <w:r w:rsidRPr="00611CD7">
        <w:rPr>
          <w:b/>
        </w:rPr>
        <w:t xml:space="preserve">For the legacy QoE measurement reporting, </w:t>
      </w:r>
      <w:r>
        <w:rPr>
          <w:b/>
        </w:rPr>
        <w:t>there is no need to include slice information in the RRC signalling. T</w:t>
      </w:r>
      <w:r w:rsidRPr="00611CD7">
        <w:rPr>
          <w:b/>
        </w:rPr>
        <w:t xml:space="preserve">he slice ID </w:t>
      </w:r>
      <w:r>
        <w:rPr>
          <w:b/>
        </w:rPr>
        <w:t>should be</w:t>
      </w:r>
      <w:r w:rsidRPr="00611CD7">
        <w:rPr>
          <w:b/>
        </w:rPr>
        <w:t xml:space="preserve"> included in the </w:t>
      </w:r>
      <w:r>
        <w:rPr>
          <w:b/>
        </w:rPr>
        <w:t>QoE</w:t>
      </w:r>
      <w:r w:rsidRPr="00611CD7">
        <w:rPr>
          <w:b/>
        </w:rPr>
        <w:t xml:space="preserve"> report container.</w:t>
      </w:r>
    </w:p>
    <w:p w14:paraId="5BECEC74" w14:textId="77777777" w:rsidR="00E7544B" w:rsidRPr="007A357A" w:rsidRDefault="00E7544B" w:rsidP="00E7544B">
      <w:pPr>
        <w:tabs>
          <w:tab w:val="left" w:pos="1560"/>
        </w:tabs>
        <w:overflowPunct/>
        <w:autoSpaceDE/>
        <w:autoSpaceDN/>
        <w:adjustRightInd/>
        <w:textAlignment w:val="auto"/>
        <w:rPr>
          <w:rFonts w:eastAsia="宋体"/>
          <w:b/>
          <w:lang w:eastAsia="zh-CN"/>
        </w:rPr>
      </w:pPr>
    </w:p>
    <w:p w14:paraId="6A612645" w14:textId="2CA6887D" w:rsidR="00B334B5" w:rsidRDefault="00B334B5" w:rsidP="00E7544B">
      <w:pPr>
        <w:pStyle w:val="Heading3"/>
      </w:pPr>
      <w:r>
        <w:t>4</w:t>
      </w:r>
      <w:r w:rsidRPr="00A304A0">
        <w:tab/>
      </w:r>
      <w:r w:rsidR="004350B4">
        <w:t>Reference</w:t>
      </w:r>
      <w:r>
        <w:t>s</w:t>
      </w:r>
    </w:p>
    <w:p w14:paraId="03F7FAF6" w14:textId="22296133" w:rsidR="00FE4311" w:rsidRPr="0049277E" w:rsidRDefault="0049277E" w:rsidP="0049277E">
      <w:pPr>
        <w:numPr>
          <w:ilvl w:val="0"/>
          <w:numId w:val="1"/>
        </w:numPr>
        <w:overflowPunct/>
        <w:autoSpaceDE/>
        <w:autoSpaceDN/>
        <w:adjustRightInd/>
        <w:textAlignment w:val="auto"/>
        <w:rPr>
          <w:lang w:eastAsia="zh-CN"/>
        </w:rPr>
      </w:pPr>
      <w:r w:rsidRPr="0049277E">
        <w:rPr>
          <w:rFonts w:eastAsiaTheme="minorEastAsia"/>
          <w:lang w:eastAsia="zh-CN"/>
        </w:rPr>
        <w:t>S5-214520</w:t>
      </w:r>
      <w:r>
        <w:rPr>
          <w:rFonts w:eastAsiaTheme="minorEastAsia"/>
          <w:lang w:eastAsia="zh-CN"/>
        </w:rPr>
        <w:t xml:space="preserve">, </w:t>
      </w:r>
      <w:r w:rsidRPr="0049277E">
        <w:rPr>
          <w:rFonts w:eastAsiaTheme="minorEastAsia"/>
          <w:lang w:eastAsia="zh-CN"/>
        </w:rPr>
        <w:t>Reply LS on QoE configuration and reporting related issues</w:t>
      </w:r>
      <w:r>
        <w:rPr>
          <w:rFonts w:eastAsiaTheme="minorEastAsia"/>
          <w:lang w:eastAsia="zh-CN"/>
        </w:rPr>
        <w:t>, SA5</w:t>
      </w:r>
    </w:p>
    <w:p w14:paraId="5AF42D4B" w14:textId="24976FFC" w:rsidR="0049277E" w:rsidRDefault="0049277E" w:rsidP="0049277E">
      <w:pPr>
        <w:numPr>
          <w:ilvl w:val="0"/>
          <w:numId w:val="1"/>
        </w:numPr>
        <w:overflowPunct/>
        <w:autoSpaceDE/>
        <w:autoSpaceDN/>
        <w:adjustRightInd/>
        <w:textAlignment w:val="auto"/>
        <w:rPr>
          <w:lang w:eastAsia="zh-CN"/>
        </w:rPr>
      </w:pPr>
      <w:r w:rsidRPr="0049277E">
        <w:rPr>
          <w:lang w:eastAsia="zh-CN"/>
        </w:rPr>
        <w:t>R3-214471</w:t>
      </w:r>
      <w:r>
        <w:rPr>
          <w:lang w:eastAsia="zh-CN"/>
        </w:rPr>
        <w:t>,</w:t>
      </w:r>
      <w:r w:rsidRPr="0049277E">
        <w:t xml:space="preserve"> </w:t>
      </w:r>
      <w:r w:rsidRPr="0049277E">
        <w:rPr>
          <w:lang w:eastAsia="zh-CN"/>
        </w:rPr>
        <w:t>Reply LS on QoE configuration and reporting related issues</w:t>
      </w:r>
      <w:r>
        <w:rPr>
          <w:lang w:eastAsia="zh-CN"/>
        </w:rPr>
        <w:t>, RAN3</w:t>
      </w:r>
    </w:p>
    <w:p w14:paraId="247BC254" w14:textId="3354CC59" w:rsidR="004B0ADC" w:rsidRPr="004B0ADC" w:rsidRDefault="004B0ADC" w:rsidP="004B0ADC">
      <w:pPr>
        <w:pStyle w:val="ListParagraph"/>
        <w:numPr>
          <w:ilvl w:val="0"/>
          <w:numId w:val="1"/>
        </w:numPr>
        <w:ind w:firstLineChars="0"/>
        <w:rPr>
          <w:lang w:val="en-US" w:eastAsia="zh-CN"/>
        </w:rPr>
      </w:pPr>
      <w:r w:rsidRPr="004B0ADC">
        <w:rPr>
          <w:lang w:val="en-US" w:eastAsia="zh-CN"/>
        </w:rPr>
        <w:t>R3-214477</w:t>
      </w:r>
      <w:r>
        <w:rPr>
          <w:lang w:val="en-US" w:eastAsia="zh-CN"/>
        </w:rPr>
        <w:t>,</w:t>
      </w:r>
      <w:r w:rsidRPr="004B0ADC">
        <w:t xml:space="preserve"> </w:t>
      </w:r>
      <w:r w:rsidRPr="004B0ADC">
        <w:rPr>
          <w:lang w:val="en-US" w:eastAsia="zh-CN"/>
        </w:rPr>
        <w:t>LS on RAN3 agreements for NR QoE</w:t>
      </w:r>
      <w:r>
        <w:rPr>
          <w:lang w:val="en-US" w:eastAsia="zh-CN"/>
        </w:rPr>
        <w:t>, RAN3</w:t>
      </w:r>
    </w:p>
    <w:p w14:paraId="4045C9C0" w14:textId="77777777" w:rsidR="007A357A" w:rsidRDefault="007A357A" w:rsidP="007A357A">
      <w:pPr>
        <w:numPr>
          <w:ilvl w:val="0"/>
          <w:numId w:val="1"/>
        </w:numPr>
        <w:overflowPunct/>
        <w:autoSpaceDE/>
        <w:autoSpaceDN/>
        <w:adjustRightInd/>
        <w:textAlignment w:val="auto"/>
        <w:rPr>
          <w:lang w:eastAsia="zh-CN"/>
        </w:rPr>
      </w:pPr>
      <w:r w:rsidRPr="00FA2D5D">
        <w:rPr>
          <w:lang w:eastAsia="zh-CN"/>
        </w:rPr>
        <w:t>S4-211225</w:t>
      </w:r>
      <w:r>
        <w:rPr>
          <w:lang w:eastAsia="zh-CN"/>
        </w:rPr>
        <w:t xml:space="preserve">, </w:t>
      </w:r>
      <w:r w:rsidRPr="00FA2D5D">
        <w:rPr>
          <w:lang w:eastAsia="zh-CN"/>
        </w:rPr>
        <w:t>Draft Reply LS on the mapping between service types and slice at application</w:t>
      </w:r>
      <w:r>
        <w:rPr>
          <w:lang w:eastAsia="zh-CN"/>
        </w:rPr>
        <w:t>, SA4</w:t>
      </w:r>
    </w:p>
    <w:p w14:paraId="13FBFDC1" w14:textId="77777777" w:rsidR="00B9421D" w:rsidRPr="00C54145" w:rsidRDefault="00B9421D" w:rsidP="00B9421D">
      <w:pPr>
        <w:numPr>
          <w:ilvl w:val="0"/>
          <w:numId w:val="1"/>
        </w:numPr>
        <w:overflowPunct/>
        <w:autoSpaceDE/>
        <w:autoSpaceDN/>
        <w:adjustRightInd/>
        <w:textAlignment w:val="auto"/>
        <w:rPr>
          <w:lang w:eastAsia="zh-CN"/>
        </w:rPr>
      </w:pPr>
      <w:r w:rsidRPr="00C54145">
        <w:rPr>
          <w:lang w:eastAsia="zh-CN"/>
        </w:rPr>
        <w:lastRenderedPageBreak/>
        <w:t>S4-211291</w:t>
      </w:r>
      <w:r>
        <w:rPr>
          <w:lang w:eastAsia="zh-CN"/>
        </w:rPr>
        <w:t xml:space="preserve">, </w:t>
      </w:r>
      <w:r w:rsidRPr="00C54145">
        <w:rPr>
          <w:lang w:eastAsia="zh-CN"/>
        </w:rPr>
        <w:t>Reply LS on QoE configuration and reporting related issues</w:t>
      </w:r>
      <w:r>
        <w:rPr>
          <w:lang w:eastAsia="zh-CN"/>
        </w:rPr>
        <w:t>, SA4</w:t>
      </w:r>
    </w:p>
    <w:p w14:paraId="2BA27F57" w14:textId="77777777" w:rsidR="00B9421D" w:rsidRDefault="00B9421D" w:rsidP="00B9421D">
      <w:pPr>
        <w:overflowPunct/>
        <w:autoSpaceDE/>
        <w:autoSpaceDN/>
        <w:adjustRightInd/>
        <w:textAlignment w:val="auto"/>
        <w:rPr>
          <w:lang w:eastAsia="zh-CN"/>
        </w:rPr>
      </w:pPr>
    </w:p>
    <w:p w14:paraId="72E2D58F" w14:textId="77777777" w:rsidR="004B0ADC" w:rsidRPr="00B87851" w:rsidRDefault="004B0ADC" w:rsidP="007A357A">
      <w:pPr>
        <w:pStyle w:val="ListParagraph"/>
        <w:ind w:left="720" w:firstLineChars="0" w:firstLine="0"/>
        <w:rPr>
          <w:lang w:eastAsia="zh-CN"/>
        </w:rPr>
      </w:pPr>
    </w:p>
    <w:p w14:paraId="53504C99" w14:textId="77777777" w:rsidR="00B87851" w:rsidRPr="00B87851" w:rsidRDefault="00B87851" w:rsidP="00B87851">
      <w:pPr>
        <w:overflowPunct/>
        <w:autoSpaceDE/>
        <w:autoSpaceDN/>
        <w:adjustRightInd/>
        <w:ind w:left="720"/>
        <w:textAlignment w:val="auto"/>
        <w:rPr>
          <w:lang w:eastAsia="zh-CN"/>
        </w:rPr>
      </w:pPr>
    </w:p>
    <w:p w14:paraId="4275CD55" w14:textId="6E1ABF06" w:rsidR="00F43768" w:rsidRPr="009C50D3" w:rsidRDefault="00F43768" w:rsidP="009530DA">
      <w:pPr>
        <w:overflowPunct/>
        <w:autoSpaceDE/>
        <w:autoSpaceDN/>
        <w:adjustRightInd/>
        <w:spacing w:after="0"/>
        <w:textAlignment w:val="auto"/>
        <w:rPr>
          <w:rFonts w:ascii="Arial" w:hAnsi="Arial"/>
          <w:sz w:val="28"/>
        </w:rPr>
      </w:pPr>
    </w:p>
    <w:sectPr w:rsidR="00F43768" w:rsidRPr="009C50D3" w:rsidSect="00111CE1">
      <w:footerReference w:type="default" r:id="rId11"/>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9501A" w14:textId="77777777" w:rsidR="00874114" w:rsidRDefault="00874114">
      <w:r>
        <w:separator/>
      </w:r>
    </w:p>
  </w:endnote>
  <w:endnote w:type="continuationSeparator" w:id="0">
    <w:p w14:paraId="3F793DBA" w14:textId="77777777" w:rsidR="00874114" w:rsidRDefault="00874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0EC81" w14:textId="77777777" w:rsidR="006D4D62" w:rsidRDefault="006D4D62">
    <w:pPr>
      <w:pStyle w:val="Footer"/>
    </w:pPr>
    <w:r>
      <w:rPr>
        <w:rStyle w:val="PageNumber"/>
      </w:rPr>
      <w:fldChar w:fldCharType="begin"/>
    </w:r>
    <w:r>
      <w:rPr>
        <w:rStyle w:val="PageNumber"/>
      </w:rPr>
      <w:instrText xml:space="preserve"> PAGE </w:instrText>
    </w:r>
    <w:r>
      <w:rPr>
        <w:rStyle w:val="PageNumber"/>
      </w:rPr>
      <w:fldChar w:fldCharType="separate"/>
    </w:r>
    <w:r w:rsidR="00B9421D">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9421D">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82115" w14:textId="77777777" w:rsidR="00874114" w:rsidRDefault="00874114">
      <w:r>
        <w:separator/>
      </w:r>
    </w:p>
  </w:footnote>
  <w:footnote w:type="continuationSeparator" w:id="0">
    <w:p w14:paraId="56B9EC85" w14:textId="77777777" w:rsidR="00874114" w:rsidRDefault="008741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0FCC"/>
    <w:multiLevelType w:val="multilevel"/>
    <w:tmpl w:val="74208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ED69D6"/>
    <w:multiLevelType w:val="hybridMultilevel"/>
    <w:tmpl w:val="C5E0D9B6"/>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4" w15:restartNumberingAfterBreak="0">
    <w:nsid w:val="2C89344B"/>
    <w:multiLevelType w:val="hybridMultilevel"/>
    <w:tmpl w:val="DB8410B8"/>
    <w:lvl w:ilvl="0" w:tplc="E63889B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1097169"/>
    <w:multiLevelType w:val="multilevel"/>
    <w:tmpl w:val="39F265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2046E61"/>
    <w:multiLevelType w:val="hybridMultilevel"/>
    <w:tmpl w:val="BD608C1E"/>
    <w:lvl w:ilvl="0" w:tplc="CA4AF15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hybridMultilevel"/>
    <w:tmpl w:val="E42E7A4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9441D0B"/>
    <w:multiLevelType w:val="hybridMultilevel"/>
    <w:tmpl w:val="9EE09B22"/>
    <w:lvl w:ilvl="0" w:tplc="8624A08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4B652262"/>
    <w:multiLevelType w:val="hybridMultilevel"/>
    <w:tmpl w:val="F9BC6D88"/>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26D3257"/>
    <w:multiLevelType w:val="hybridMultilevel"/>
    <w:tmpl w:val="BDBEBB74"/>
    <w:lvl w:ilvl="0" w:tplc="5100E49C">
      <w:start w:val="1"/>
      <w:numFmt w:val="decimal"/>
      <w:lvlText w:val="Observation %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10"/>
  </w:num>
  <w:num w:numId="5">
    <w:abstractNumId w:val="4"/>
  </w:num>
  <w:num w:numId="6">
    <w:abstractNumId w:val="8"/>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14"/>
  </w:num>
  <w:num w:numId="14">
    <w:abstractNumId w:val="13"/>
  </w:num>
  <w:num w:numId="15">
    <w:abstractNumId w:val="12"/>
  </w:num>
  <w:num w:numId="16">
    <w:abstractNumId w:val="9"/>
  </w:num>
  <w:num w:numId="17">
    <w:abstractNumId w:val="0"/>
  </w:num>
  <w:num w:numId="18">
    <w:abstractNumId w:val="15"/>
  </w:num>
  <w:num w:numId="1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05A"/>
    <w:rsid w:val="00000480"/>
    <w:rsid w:val="0000049D"/>
    <w:rsid w:val="00001C6D"/>
    <w:rsid w:val="0000238A"/>
    <w:rsid w:val="00003053"/>
    <w:rsid w:val="000030D6"/>
    <w:rsid w:val="000034AB"/>
    <w:rsid w:val="000036E5"/>
    <w:rsid w:val="00003B2B"/>
    <w:rsid w:val="00003DD9"/>
    <w:rsid w:val="00004348"/>
    <w:rsid w:val="00006C7A"/>
    <w:rsid w:val="000070C4"/>
    <w:rsid w:val="00010269"/>
    <w:rsid w:val="000103EC"/>
    <w:rsid w:val="00010904"/>
    <w:rsid w:val="00010D3D"/>
    <w:rsid w:val="0001181D"/>
    <w:rsid w:val="00011DCA"/>
    <w:rsid w:val="00011DFC"/>
    <w:rsid w:val="00012A65"/>
    <w:rsid w:val="00014FE9"/>
    <w:rsid w:val="000153B1"/>
    <w:rsid w:val="000158BA"/>
    <w:rsid w:val="00015E67"/>
    <w:rsid w:val="0001660E"/>
    <w:rsid w:val="00016C9C"/>
    <w:rsid w:val="00017416"/>
    <w:rsid w:val="00017A1C"/>
    <w:rsid w:val="0002010B"/>
    <w:rsid w:val="00020708"/>
    <w:rsid w:val="00020C1B"/>
    <w:rsid w:val="0002209B"/>
    <w:rsid w:val="000244DF"/>
    <w:rsid w:val="00025356"/>
    <w:rsid w:val="00025CD5"/>
    <w:rsid w:val="00025FDA"/>
    <w:rsid w:val="00026AE7"/>
    <w:rsid w:val="00027038"/>
    <w:rsid w:val="000278B2"/>
    <w:rsid w:val="0003005C"/>
    <w:rsid w:val="00030A59"/>
    <w:rsid w:val="00030FFB"/>
    <w:rsid w:val="00032D86"/>
    <w:rsid w:val="00033583"/>
    <w:rsid w:val="00034778"/>
    <w:rsid w:val="00034A5F"/>
    <w:rsid w:val="0003510F"/>
    <w:rsid w:val="00035241"/>
    <w:rsid w:val="00035433"/>
    <w:rsid w:val="0003560E"/>
    <w:rsid w:val="0003573A"/>
    <w:rsid w:val="00036046"/>
    <w:rsid w:val="0003609B"/>
    <w:rsid w:val="00037653"/>
    <w:rsid w:val="0003777E"/>
    <w:rsid w:val="000400EA"/>
    <w:rsid w:val="00040D62"/>
    <w:rsid w:val="00042163"/>
    <w:rsid w:val="000436CB"/>
    <w:rsid w:val="00043A47"/>
    <w:rsid w:val="00044335"/>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C50"/>
    <w:rsid w:val="000560B4"/>
    <w:rsid w:val="00056A23"/>
    <w:rsid w:val="00056A79"/>
    <w:rsid w:val="00056BFB"/>
    <w:rsid w:val="00056E4A"/>
    <w:rsid w:val="000575CB"/>
    <w:rsid w:val="00057621"/>
    <w:rsid w:val="00057BBB"/>
    <w:rsid w:val="00061605"/>
    <w:rsid w:val="00062F7F"/>
    <w:rsid w:val="00063402"/>
    <w:rsid w:val="00063769"/>
    <w:rsid w:val="00063957"/>
    <w:rsid w:val="00063986"/>
    <w:rsid w:val="00063B21"/>
    <w:rsid w:val="00063CC6"/>
    <w:rsid w:val="00064199"/>
    <w:rsid w:val="00064B4F"/>
    <w:rsid w:val="00064F65"/>
    <w:rsid w:val="0006531F"/>
    <w:rsid w:val="00065A94"/>
    <w:rsid w:val="00065BAD"/>
    <w:rsid w:val="00067216"/>
    <w:rsid w:val="0007009E"/>
    <w:rsid w:val="00071100"/>
    <w:rsid w:val="0007137C"/>
    <w:rsid w:val="0007138E"/>
    <w:rsid w:val="00073DCA"/>
    <w:rsid w:val="00074371"/>
    <w:rsid w:val="00074A22"/>
    <w:rsid w:val="00074C91"/>
    <w:rsid w:val="00075259"/>
    <w:rsid w:val="00075305"/>
    <w:rsid w:val="00075A29"/>
    <w:rsid w:val="000761C7"/>
    <w:rsid w:val="000761E4"/>
    <w:rsid w:val="000771BE"/>
    <w:rsid w:val="00077886"/>
    <w:rsid w:val="0008038F"/>
    <w:rsid w:val="00080DB5"/>
    <w:rsid w:val="00080E9D"/>
    <w:rsid w:val="00081B5F"/>
    <w:rsid w:val="00081CA1"/>
    <w:rsid w:val="00082CCF"/>
    <w:rsid w:val="000831AA"/>
    <w:rsid w:val="000832B6"/>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97B79"/>
    <w:rsid w:val="000A00AD"/>
    <w:rsid w:val="000A0820"/>
    <w:rsid w:val="000A1A33"/>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304"/>
    <w:rsid w:val="000B4613"/>
    <w:rsid w:val="000B490D"/>
    <w:rsid w:val="000B5006"/>
    <w:rsid w:val="000B5812"/>
    <w:rsid w:val="000B5B22"/>
    <w:rsid w:val="000B5E32"/>
    <w:rsid w:val="000B65A6"/>
    <w:rsid w:val="000B79F3"/>
    <w:rsid w:val="000C1415"/>
    <w:rsid w:val="000C148E"/>
    <w:rsid w:val="000C18B8"/>
    <w:rsid w:val="000C1C43"/>
    <w:rsid w:val="000C2D9F"/>
    <w:rsid w:val="000C3128"/>
    <w:rsid w:val="000C4476"/>
    <w:rsid w:val="000C4502"/>
    <w:rsid w:val="000C4D0A"/>
    <w:rsid w:val="000C5476"/>
    <w:rsid w:val="000C5491"/>
    <w:rsid w:val="000C5773"/>
    <w:rsid w:val="000C5872"/>
    <w:rsid w:val="000C5F28"/>
    <w:rsid w:val="000C64CA"/>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0FC1"/>
    <w:rsid w:val="000F1992"/>
    <w:rsid w:val="000F2D35"/>
    <w:rsid w:val="000F31C3"/>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21D"/>
    <w:rsid w:val="001054F7"/>
    <w:rsid w:val="00105C84"/>
    <w:rsid w:val="00106EAA"/>
    <w:rsid w:val="0010719C"/>
    <w:rsid w:val="0010757A"/>
    <w:rsid w:val="00107BFC"/>
    <w:rsid w:val="00107FD8"/>
    <w:rsid w:val="00110CAD"/>
    <w:rsid w:val="00111161"/>
    <w:rsid w:val="001117C8"/>
    <w:rsid w:val="00111A3E"/>
    <w:rsid w:val="00111CE1"/>
    <w:rsid w:val="00111FB8"/>
    <w:rsid w:val="00112D06"/>
    <w:rsid w:val="00112DFE"/>
    <w:rsid w:val="00113047"/>
    <w:rsid w:val="00113C9A"/>
    <w:rsid w:val="00113D7B"/>
    <w:rsid w:val="0011464B"/>
    <w:rsid w:val="00116DCB"/>
    <w:rsid w:val="001173E1"/>
    <w:rsid w:val="00117653"/>
    <w:rsid w:val="00121208"/>
    <w:rsid w:val="00121DF3"/>
    <w:rsid w:val="0012239D"/>
    <w:rsid w:val="001227EC"/>
    <w:rsid w:val="00122CE3"/>
    <w:rsid w:val="00123085"/>
    <w:rsid w:val="00123227"/>
    <w:rsid w:val="00123CD1"/>
    <w:rsid w:val="00124F1D"/>
    <w:rsid w:val="0012503F"/>
    <w:rsid w:val="00125677"/>
    <w:rsid w:val="00125A8E"/>
    <w:rsid w:val="001260B3"/>
    <w:rsid w:val="001262BE"/>
    <w:rsid w:val="001265BF"/>
    <w:rsid w:val="0013021E"/>
    <w:rsid w:val="0013038F"/>
    <w:rsid w:val="00130F73"/>
    <w:rsid w:val="00131D4F"/>
    <w:rsid w:val="0013220E"/>
    <w:rsid w:val="00132C5E"/>
    <w:rsid w:val="00132F7C"/>
    <w:rsid w:val="00133104"/>
    <w:rsid w:val="00133C85"/>
    <w:rsid w:val="00134B52"/>
    <w:rsid w:val="00135482"/>
    <w:rsid w:val="0013642E"/>
    <w:rsid w:val="001377A3"/>
    <w:rsid w:val="00137BBD"/>
    <w:rsid w:val="001405E2"/>
    <w:rsid w:val="001406F0"/>
    <w:rsid w:val="0014084F"/>
    <w:rsid w:val="00141273"/>
    <w:rsid w:val="00142154"/>
    <w:rsid w:val="001424DE"/>
    <w:rsid w:val="00142F30"/>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4AE0"/>
    <w:rsid w:val="001651BC"/>
    <w:rsid w:val="00166A30"/>
    <w:rsid w:val="00167122"/>
    <w:rsid w:val="00167453"/>
    <w:rsid w:val="001676A5"/>
    <w:rsid w:val="00167856"/>
    <w:rsid w:val="00167872"/>
    <w:rsid w:val="00167954"/>
    <w:rsid w:val="0017003D"/>
    <w:rsid w:val="0017010E"/>
    <w:rsid w:val="001704DF"/>
    <w:rsid w:val="00170B86"/>
    <w:rsid w:val="00170F14"/>
    <w:rsid w:val="00171764"/>
    <w:rsid w:val="001722F9"/>
    <w:rsid w:val="001730D3"/>
    <w:rsid w:val="00173254"/>
    <w:rsid w:val="001732C4"/>
    <w:rsid w:val="00173595"/>
    <w:rsid w:val="00173A15"/>
    <w:rsid w:val="00173BF7"/>
    <w:rsid w:val="00173DA0"/>
    <w:rsid w:val="00174AF9"/>
    <w:rsid w:val="00174D04"/>
    <w:rsid w:val="00174FF0"/>
    <w:rsid w:val="00175EEA"/>
    <w:rsid w:val="001760A5"/>
    <w:rsid w:val="00176619"/>
    <w:rsid w:val="00176A09"/>
    <w:rsid w:val="00176A4E"/>
    <w:rsid w:val="00176AAC"/>
    <w:rsid w:val="001807DE"/>
    <w:rsid w:val="00180A47"/>
    <w:rsid w:val="00180F3D"/>
    <w:rsid w:val="00182214"/>
    <w:rsid w:val="00183653"/>
    <w:rsid w:val="0018410C"/>
    <w:rsid w:val="001849CC"/>
    <w:rsid w:val="0018538D"/>
    <w:rsid w:val="00185474"/>
    <w:rsid w:val="00187BD8"/>
    <w:rsid w:val="00187C3A"/>
    <w:rsid w:val="001913EE"/>
    <w:rsid w:val="0019371F"/>
    <w:rsid w:val="0019460F"/>
    <w:rsid w:val="00194A58"/>
    <w:rsid w:val="00197CF2"/>
    <w:rsid w:val="001A0679"/>
    <w:rsid w:val="001A0A48"/>
    <w:rsid w:val="001A0E54"/>
    <w:rsid w:val="001A1A85"/>
    <w:rsid w:val="001A21F0"/>
    <w:rsid w:val="001A2841"/>
    <w:rsid w:val="001A42BA"/>
    <w:rsid w:val="001A4B5D"/>
    <w:rsid w:val="001A4E07"/>
    <w:rsid w:val="001A5051"/>
    <w:rsid w:val="001A5C87"/>
    <w:rsid w:val="001A6598"/>
    <w:rsid w:val="001A6DD8"/>
    <w:rsid w:val="001A6EFA"/>
    <w:rsid w:val="001B08ED"/>
    <w:rsid w:val="001B140D"/>
    <w:rsid w:val="001B1907"/>
    <w:rsid w:val="001B2679"/>
    <w:rsid w:val="001B36B4"/>
    <w:rsid w:val="001B39A2"/>
    <w:rsid w:val="001B3CCC"/>
    <w:rsid w:val="001B4952"/>
    <w:rsid w:val="001B5520"/>
    <w:rsid w:val="001B59B6"/>
    <w:rsid w:val="001B59BA"/>
    <w:rsid w:val="001B7271"/>
    <w:rsid w:val="001C057C"/>
    <w:rsid w:val="001C0A2D"/>
    <w:rsid w:val="001C0BD4"/>
    <w:rsid w:val="001C18EB"/>
    <w:rsid w:val="001C194E"/>
    <w:rsid w:val="001C213E"/>
    <w:rsid w:val="001C2666"/>
    <w:rsid w:val="001C2995"/>
    <w:rsid w:val="001C5A71"/>
    <w:rsid w:val="001C5C1A"/>
    <w:rsid w:val="001C600D"/>
    <w:rsid w:val="001C692F"/>
    <w:rsid w:val="001C6931"/>
    <w:rsid w:val="001C6A56"/>
    <w:rsid w:val="001C6F5D"/>
    <w:rsid w:val="001C6FC4"/>
    <w:rsid w:val="001C77CF"/>
    <w:rsid w:val="001D0164"/>
    <w:rsid w:val="001D16B2"/>
    <w:rsid w:val="001D2F35"/>
    <w:rsid w:val="001D3599"/>
    <w:rsid w:val="001D3B4A"/>
    <w:rsid w:val="001D4075"/>
    <w:rsid w:val="001D4421"/>
    <w:rsid w:val="001D48BB"/>
    <w:rsid w:val="001D57AC"/>
    <w:rsid w:val="001D5F9B"/>
    <w:rsid w:val="001D5FAF"/>
    <w:rsid w:val="001D641D"/>
    <w:rsid w:val="001D72DC"/>
    <w:rsid w:val="001D797D"/>
    <w:rsid w:val="001E02AA"/>
    <w:rsid w:val="001E105F"/>
    <w:rsid w:val="001E10F6"/>
    <w:rsid w:val="001E11D7"/>
    <w:rsid w:val="001E1A58"/>
    <w:rsid w:val="001E2232"/>
    <w:rsid w:val="001E235C"/>
    <w:rsid w:val="001E25FC"/>
    <w:rsid w:val="001E3C47"/>
    <w:rsid w:val="001E45DE"/>
    <w:rsid w:val="001E52D9"/>
    <w:rsid w:val="001E589A"/>
    <w:rsid w:val="001E5C64"/>
    <w:rsid w:val="001E5E75"/>
    <w:rsid w:val="001E5F88"/>
    <w:rsid w:val="001E718A"/>
    <w:rsid w:val="001F1B5B"/>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08E"/>
    <w:rsid w:val="0020425F"/>
    <w:rsid w:val="00205819"/>
    <w:rsid w:val="00205935"/>
    <w:rsid w:val="0020686C"/>
    <w:rsid w:val="00210292"/>
    <w:rsid w:val="00211048"/>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B4B"/>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4555"/>
    <w:rsid w:val="00235706"/>
    <w:rsid w:val="00235E9F"/>
    <w:rsid w:val="00235F30"/>
    <w:rsid w:val="002365F4"/>
    <w:rsid w:val="0023717B"/>
    <w:rsid w:val="00237808"/>
    <w:rsid w:val="00240369"/>
    <w:rsid w:val="002408A7"/>
    <w:rsid w:val="00241078"/>
    <w:rsid w:val="002423C0"/>
    <w:rsid w:val="002425A9"/>
    <w:rsid w:val="00242A96"/>
    <w:rsid w:val="00242FC1"/>
    <w:rsid w:val="0024431F"/>
    <w:rsid w:val="00244566"/>
    <w:rsid w:val="002449B2"/>
    <w:rsid w:val="00244A13"/>
    <w:rsid w:val="002453D9"/>
    <w:rsid w:val="00246D3F"/>
    <w:rsid w:val="00247CAE"/>
    <w:rsid w:val="002505E5"/>
    <w:rsid w:val="00250895"/>
    <w:rsid w:val="002510DE"/>
    <w:rsid w:val="00251412"/>
    <w:rsid w:val="00251681"/>
    <w:rsid w:val="0025185A"/>
    <w:rsid w:val="00251B24"/>
    <w:rsid w:val="00252859"/>
    <w:rsid w:val="00252CC4"/>
    <w:rsid w:val="00252F82"/>
    <w:rsid w:val="002533BD"/>
    <w:rsid w:val="00254147"/>
    <w:rsid w:val="00254680"/>
    <w:rsid w:val="00260410"/>
    <w:rsid w:val="00260B99"/>
    <w:rsid w:val="00261545"/>
    <w:rsid w:val="00261B54"/>
    <w:rsid w:val="0026220A"/>
    <w:rsid w:val="002624CB"/>
    <w:rsid w:val="00263E1C"/>
    <w:rsid w:val="00263F24"/>
    <w:rsid w:val="00264EA7"/>
    <w:rsid w:val="00264F49"/>
    <w:rsid w:val="002654E3"/>
    <w:rsid w:val="002659EF"/>
    <w:rsid w:val="00265EAF"/>
    <w:rsid w:val="002667CE"/>
    <w:rsid w:val="00266F43"/>
    <w:rsid w:val="002672F5"/>
    <w:rsid w:val="0027031F"/>
    <w:rsid w:val="002703DA"/>
    <w:rsid w:val="00270451"/>
    <w:rsid w:val="00270E15"/>
    <w:rsid w:val="00271844"/>
    <w:rsid w:val="00272BCC"/>
    <w:rsid w:val="00272DCC"/>
    <w:rsid w:val="002733EF"/>
    <w:rsid w:val="0027383F"/>
    <w:rsid w:val="00273CEA"/>
    <w:rsid w:val="00274892"/>
    <w:rsid w:val="00275560"/>
    <w:rsid w:val="00276196"/>
    <w:rsid w:val="00276468"/>
    <w:rsid w:val="00276DB8"/>
    <w:rsid w:val="002772A8"/>
    <w:rsid w:val="00277371"/>
    <w:rsid w:val="002773C6"/>
    <w:rsid w:val="00277A7A"/>
    <w:rsid w:val="002801CE"/>
    <w:rsid w:val="00281A37"/>
    <w:rsid w:val="00282F1A"/>
    <w:rsid w:val="0028312B"/>
    <w:rsid w:val="002831FF"/>
    <w:rsid w:val="002839AD"/>
    <w:rsid w:val="002857EB"/>
    <w:rsid w:val="00285B49"/>
    <w:rsid w:val="0028650A"/>
    <w:rsid w:val="00286542"/>
    <w:rsid w:val="0028706D"/>
    <w:rsid w:val="00290214"/>
    <w:rsid w:val="002906A4"/>
    <w:rsid w:val="0029276D"/>
    <w:rsid w:val="002927C5"/>
    <w:rsid w:val="00292FA2"/>
    <w:rsid w:val="002932DC"/>
    <w:rsid w:val="00293342"/>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93"/>
    <w:rsid w:val="002A20A2"/>
    <w:rsid w:val="002A3C85"/>
    <w:rsid w:val="002A4268"/>
    <w:rsid w:val="002A4C64"/>
    <w:rsid w:val="002A4D81"/>
    <w:rsid w:val="002A4FA6"/>
    <w:rsid w:val="002A5DF4"/>
    <w:rsid w:val="002A605B"/>
    <w:rsid w:val="002A60A7"/>
    <w:rsid w:val="002A7347"/>
    <w:rsid w:val="002A7685"/>
    <w:rsid w:val="002B00AF"/>
    <w:rsid w:val="002B0387"/>
    <w:rsid w:val="002B1156"/>
    <w:rsid w:val="002B117B"/>
    <w:rsid w:val="002B2B25"/>
    <w:rsid w:val="002B3414"/>
    <w:rsid w:val="002B384E"/>
    <w:rsid w:val="002B3CD6"/>
    <w:rsid w:val="002B3D5A"/>
    <w:rsid w:val="002B43FC"/>
    <w:rsid w:val="002B4CB0"/>
    <w:rsid w:val="002B4EA9"/>
    <w:rsid w:val="002B5907"/>
    <w:rsid w:val="002B739C"/>
    <w:rsid w:val="002B7918"/>
    <w:rsid w:val="002C0167"/>
    <w:rsid w:val="002C0256"/>
    <w:rsid w:val="002C18C0"/>
    <w:rsid w:val="002C1A02"/>
    <w:rsid w:val="002C1B6C"/>
    <w:rsid w:val="002C266A"/>
    <w:rsid w:val="002C2A26"/>
    <w:rsid w:val="002C2FA3"/>
    <w:rsid w:val="002C38B9"/>
    <w:rsid w:val="002C3E3A"/>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029"/>
    <w:rsid w:val="002E13FF"/>
    <w:rsid w:val="002E1CF5"/>
    <w:rsid w:val="002E20BB"/>
    <w:rsid w:val="002E22F5"/>
    <w:rsid w:val="002E4DE3"/>
    <w:rsid w:val="002E51CE"/>
    <w:rsid w:val="002E5AC5"/>
    <w:rsid w:val="002E6307"/>
    <w:rsid w:val="002E650E"/>
    <w:rsid w:val="002E6A2B"/>
    <w:rsid w:val="002E6AE0"/>
    <w:rsid w:val="002E7779"/>
    <w:rsid w:val="002F0053"/>
    <w:rsid w:val="002F09A8"/>
    <w:rsid w:val="002F1D70"/>
    <w:rsid w:val="002F260A"/>
    <w:rsid w:val="002F2613"/>
    <w:rsid w:val="002F653F"/>
    <w:rsid w:val="002F757F"/>
    <w:rsid w:val="002F7B8F"/>
    <w:rsid w:val="002F7E84"/>
    <w:rsid w:val="003000C0"/>
    <w:rsid w:val="00300254"/>
    <w:rsid w:val="00300891"/>
    <w:rsid w:val="00300CD0"/>
    <w:rsid w:val="0030265A"/>
    <w:rsid w:val="00302CD4"/>
    <w:rsid w:val="00302FEE"/>
    <w:rsid w:val="00303AB6"/>
    <w:rsid w:val="00303D13"/>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C58"/>
    <w:rsid w:val="00321E3B"/>
    <w:rsid w:val="0032275C"/>
    <w:rsid w:val="00322AFA"/>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590"/>
    <w:rsid w:val="00342746"/>
    <w:rsid w:val="00342A0D"/>
    <w:rsid w:val="003438F1"/>
    <w:rsid w:val="00344261"/>
    <w:rsid w:val="00344344"/>
    <w:rsid w:val="003460DD"/>
    <w:rsid w:val="00346886"/>
    <w:rsid w:val="00347D06"/>
    <w:rsid w:val="003506AE"/>
    <w:rsid w:val="00350825"/>
    <w:rsid w:val="00351B40"/>
    <w:rsid w:val="00351F1E"/>
    <w:rsid w:val="00352B21"/>
    <w:rsid w:val="00353003"/>
    <w:rsid w:val="00353CF6"/>
    <w:rsid w:val="00354CB2"/>
    <w:rsid w:val="00356767"/>
    <w:rsid w:val="003567C1"/>
    <w:rsid w:val="003570A0"/>
    <w:rsid w:val="00360C01"/>
    <w:rsid w:val="0036117C"/>
    <w:rsid w:val="003612A1"/>
    <w:rsid w:val="00362324"/>
    <w:rsid w:val="003623F8"/>
    <w:rsid w:val="00362A99"/>
    <w:rsid w:val="003631DD"/>
    <w:rsid w:val="003632F2"/>
    <w:rsid w:val="00365545"/>
    <w:rsid w:val="00366364"/>
    <w:rsid w:val="003663ED"/>
    <w:rsid w:val="0036726C"/>
    <w:rsid w:val="003679C3"/>
    <w:rsid w:val="00367EEA"/>
    <w:rsid w:val="0037054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1353"/>
    <w:rsid w:val="0038338C"/>
    <w:rsid w:val="00383838"/>
    <w:rsid w:val="00383E1A"/>
    <w:rsid w:val="003841F4"/>
    <w:rsid w:val="00384A0F"/>
    <w:rsid w:val="00385A3E"/>
    <w:rsid w:val="00385BAD"/>
    <w:rsid w:val="0038600B"/>
    <w:rsid w:val="003861BC"/>
    <w:rsid w:val="0038644C"/>
    <w:rsid w:val="00386BD3"/>
    <w:rsid w:val="00386F21"/>
    <w:rsid w:val="00387649"/>
    <w:rsid w:val="0038783E"/>
    <w:rsid w:val="003907FD"/>
    <w:rsid w:val="00390DC0"/>
    <w:rsid w:val="0039110E"/>
    <w:rsid w:val="00391296"/>
    <w:rsid w:val="003922AC"/>
    <w:rsid w:val="00392436"/>
    <w:rsid w:val="003924CA"/>
    <w:rsid w:val="003927A4"/>
    <w:rsid w:val="0039287F"/>
    <w:rsid w:val="00392A63"/>
    <w:rsid w:val="00392A72"/>
    <w:rsid w:val="00392D84"/>
    <w:rsid w:val="00393C6D"/>
    <w:rsid w:val="00393F9E"/>
    <w:rsid w:val="003948B4"/>
    <w:rsid w:val="00394AB0"/>
    <w:rsid w:val="00395676"/>
    <w:rsid w:val="00395D58"/>
    <w:rsid w:val="00396457"/>
    <w:rsid w:val="003967C1"/>
    <w:rsid w:val="00396EA6"/>
    <w:rsid w:val="00397D3C"/>
    <w:rsid w:val="003A0602"/>
    <w:rsid w:val="003A0C07"/>
    <w:rsid w:val="003A0E2E"/>
    <w:rsid w:val="003A12F8"/>
    <w:rsid w:val="003A1569"/>
    <w:rsid w:val="003A16CA"/>
    <w:rsid w:val="003A1BC0"/>
    <w:rsid w:val="003A224B"/>
    <w:rsid w:val="003A372E"/>
    <w:rsid w:val="003A38A4"/>
    <w:rsid w:val="003A39B1"/>
    <w:rsid w:val="003A5076"/>
    <w:rsid w:val="003A5234"/>
    <w:rsid w:val="003A530D"/>
    <w:rsid w:val="003A5DA4"/>
    <w:rsid w:val="003A7CBD"/>
    <w:rsid w:val="003B016E"/>
    <w:rsid w:val="003B0DCD"/>
    <w:rsid w:val="003B10B3"/>
    <w:rsid w:val="003B18EA"/>
    <w:rsid w:val="003B1BC7"/>
    <w:rsid w:val="003B1BD9"/>
    <w:rsid w:val="003B1E4D"/>
    <w:rsid w:val="003B2363"/>
    <w:rsid w:val="003B287C"/>
    <w:rsid w:val="003B29F0"/>
    <w:rsid w:val="003B3225"/>
    <w:rsid w:val="003B3AD9"/>
    <w:rsid w:val="003B45E4"/>
    <w:rsid w:val="003B45F5"/>
    <w:rsid w:val="003B47E8"/>
    <w:rsid w:val="003B4A57"/>
    <w:rsid w:val="003B4D3E"/>
    <w:rsid w:val="003B54AD"/>
    <w:rsid w:val="003B5654"/>
    <w:rsid w:val="003B5CD6"/>
    <w:rsid w:val="003B686D"/>
    <w:rsid w:val="003B699B"/>
    <w:rsid w:val="003B7066"/>
    <w:rsid w:val="003B7121"/>
    <w:rsid w:val="003B712A"/>
    <w:rsid w:val="003C01D4"/>
    <w:rsid w:val="003C0386"/>
    <w:rsid w:val="003C0CA1"/>
    <w:rsid w:val="003C1A9C"/>
    <w:rsid w:val="003C22D8"/>
    <w:rsid w:val="003C2541"/>
    <w:rsid w:val="003C2A7A"/>
    <w:rsid w:val="003C2EFD"/>
    <w:rsid w:val="003C31B8"/>
    <w:rsid w:val="003C37DE"/>
    <w:rsid w:val="003C3A1E"/>
    <w:rsid w:val="003C40E5"/>
    <w:rsid w:val="003C4F5D"/>
    <w:rsid w:val="003C5AD7"/>
    <w:rsid w:val="003C5D5A"/>
    <w:rsid w:val="003C5F99"/>
    <w:rsid w:val="003C6A3C"/>
    <w:rsid w:val="003C73A9"/>
    <w:rsid w:val="003C7AC8"/>
    <w:rsid w:val="003D0463"/>
    <w:rsid w:val="003D04BD"/>
    <w:rsid w:val="003D0551"/>
    <w:rsid w:val="003D1188"/>
    <w:rsid w:val="003D1C42"/>
    <w:rsid w:val="003D1E94"/>
    <w:rsid w:val="003D3EC7"/>
    <w:rsid w:val="003D3F0E"/>
    <w:rsid w:val="003D622D"/>
    <w:rsid w:val="003E08FD"/>
    <w:rsid w:val="003E1EF2"/>
    <w:rsid w:val="003E2844"/>
    <w:rsid w:val="003E3254"/>
    <w:rsid w:val="003E3F62"/>
    <w:rsid w:val="003E49DE"/>
    <w:rsid w:val="003E4E9B"/>
    <w:rsid w:val="003E51E6"/>
    <w:rsid w:val="003E5221"/>
    <w:rsid w:val="003E624D"/>
    <w:rsid w:val="003E62FB"/>
    <w:rsid w:val="003E71E5"/>
    <w:rsid w:val="003E738A"/>
    <w:rsid w:val="003F0EA1"/>
    <w:rsid w:val="003F195C"/>
    <w:rsid w:val="003F22CC"/>
    <w:rsid w:val="003F2431"/>
    <w:rsid w:val="003F26DD"/>
    <w:rsid w:val="003F403B"/>
    <w:rsid w:val="003F409E"/>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1D8"/>
    <w:rsid w:val="004111E2"/>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2E"/>
    <w:rsid w:val="0042324D"/>
    <w:rsid w:val="00424EFD"/>
    <w:rsid w:val="00425499"/>
    <w:rsid w:val="004255E4"/>
    <w:rsid w:val="00425A95"/>
    <w:rsid w:val="00425E55"/>
    <w:rsid w:val="004278C2"/>
    <w:rsid w:val="004300E5"/>
    <w:rsid w:val="00430C09"/>
    <w:rsid w:val="00431042"/>
    <w:rsid w:val="004310A3"/>
    <w:rsid w:val="00431AC9"/>
    <w:rsid w:val="00432AC3"/>
    <w:rsid w:val="00432EBF"/>
    <w:rsid w:val="00432EF9"/>
    <w:rsid w:val="0043352A"/>
    <w:rsid w:val="00433E49"/>
    <w:rsid w:val="004345A1"/>
    <w:rsid w:val="00434621"/>
    <w:rsid w:val="00434908"/>
    <w:rsid w:val="00434E00"/>
    <w:rsid w:val="00435018"/>
    <w:rsid w:val="004350B4"/>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CE7"/>
    <w:rsid w:val="00451E38"/>
    <w:rsid w:val="0045201B"/>
    <w:rsid w:val="0045228B"/>
    <w:rsid w:val="0045272C"/>
    <w:rsid w:val="004527DF"/>
    <w:rsid w:val="00452C51"/>
    <w:rsid w:val="00452CFE"/>
    <w:rsid w:val="0045307B"/>
    <w:rsid w:val="004548BE"/>
    <w:rsid w:val="004565D7"/>
    <w:rsid w:val="00456714"/>
    <w:rsid w:val="00456E84"/>
    <w:rsid w:val="004602D7"/>
    <w:rsid w:val="004603C5"/>
    <w:rsid w:val="00460839"/>
    <w:rsid w:val="00460AE5"/>
    <w:rsid w:val="004614C5"/>
    <w:rsid w:val="00461891"/>
    <w:rsid w:val="004629B8"/>
    <w:rsid w:val="00462EB2"/>
    <w:rsid w:val="004639A8"/>
    <w:rsid w:val="004643F7"/>
    <w:rsid w:val="004652AA"/>
    <w:rsid w:val="0046540C"/>
    <w:rsid w:val="00465ED0"/>
    <w:rsid w:val="00467258"/>
    <w:rsid w:val="00467EC2"/>
    <w:rsid w:val="004701EC"/>
    <w:rsid w:val="004708E8"/>
    <w:rsid w:val="00471D05"/>
    <w:rsid w:val="00471DD1"/>
    <w:rsid w:val="00471F1F"/>
    <w:rsid w:val="004721FA"/>
    <w:rsid w:val="00472DD5"/>
    <w:rsid w:val="00473719"/>
    <w:rsid w:val="00473B2C"/>
    <w:rsid w:val="0047478E"/>
    <w:rsid w:val="004748C4"/>
    <w:rsid w:val="00474D1B"/>
    <w:rsid w:val="004750FA"/>
    <w:rsid w:val="004753C9"/>
    <w:rsid w:val="00475623"/>
    <w:rsid w:val="00475FF6"/>
    <w:rsid w:val="004761B7"/>
    <w:rsid w:val="004762EE"/>
    <w:rsid w:val="004765ED"/>
    <w:rsid w:val="00477AB8"/>
    <w:rsid w:val="00480170"/>
    <w:rsid w:val="0048085A"/>
    <w:rsid w:val="00481062"/>
    <w:rsid w:val="00481515"/>
    <w:rsid w:val="00481715"/>
    <w:rsid w:val="00481EF8"/>
    <w:rsid w:val="00482DC9"/>
    <w:rsid w:val="004832D1"/>
    <w:rsid w:val="004838CB"/>
    <w:rsid w:val="00485A1A"/>
    <w:rsid w:val="00485A7A"/>
    <w:rsid w:val="0048659D"/>
    <w:rsid w:val="00486786"/>
    <w:rsid w:val="0048738F"/>
    <w:rsid w:val="00490099"/>
    <w:rsid w:val="004901C6"/>
    <w:rsid w:val="004916F9"/>
    <w:rsid w:val="0049229A"/>
    <w:rsid w:val="0049277E"/>
    <w:rsid w:val="0049345E"/>
    <w:rsid w:val="00493466"/>
    <w:rsid w:val="00494E5C"/>
    <w:rsid w:val="00494E9F"/>
    <w:rsid w:val="0049537C"/>
    <w:rsid w:val="004954CB"/>
    <w:rsid w:val="00495804"/>
    <w:rsid w:val="00495E4D"/>
    <w:rsid w:val="00496270"/>
    <w:rsid w:val="00496A08"/>
    <w:rsid w:val="00496E31"/>
    <w:rsid w:val="00497248"/>
    <w:rsid w:val="004975B2"/>
    <w:rsid w:val="00497F91"/>
    <w:rsid w:val="004A04B1"/>
    <w:rsid w:val="004A079E"/>
    <w:rsid w:val="004A12FC"/>
    <w:rsid w:val="004A21EA"/>
    <w:rsid w:val="004A2358"/>
    <w:rsid w:val="004A2791"/>
    <w:rsid w:val="004A3516"/>
    <w:rsid w:val="004A36C9"/>
    <w:rsid w:val="004A3FEC"/>
    <w:rsid w:val="004A4095"/>
    <w:rsid w:val="004A4686"/>
    <w:rsid w:val="004A5016"/>
    <w:rsid w:val="004A551A"/>
    <w:rsid w:val="004A5CD2"/>
    <w:rsid w:val="004A62C1"/>
    <w:rsid w:val="004A6396"/>
    <w:rsid w:val="004A6AB1"/>
    <w:rsid w:val="004A719C"/>
    <w:rsid w:val="004A7366"/>
    <w:rsid w:val="004B046A"/>
    <w:rsid w:val="004B0ADC"/>
    <w:rsid w:val="004B10AA"/>
    <w:rsid w:val="004B1476"/>
    <w:rsid w:val="004B1B0B"/>
    <w:rsid w:val="004B1FCF"/>
    <w:rsid w:val="004B2057"/>
    <w:rsid w:val="004B2B02"/>
    <w:rsid w:val="004B2FA4"/>
    <w:rsid w:val="004B3636"/>
    <w:rsid w:val="004B3AD8"/>
    <w:rsid w:val="004B3C92"/>
    <w:rsid w:val="004B3CFE"/>
    <w:rsid w:val="004B42F6"/>
    <w:rsid w:val="004B4312"/>
    <w:rsid w:val="004B535E"/>
    <w:rsid w:val="004B5710"/>
    <w:rsid w:val="004B5720"/>
    <w:rsid w:val="004B5C56"/>
    <w:rsid w:val="004B5E14"/>
    <w:rsid w:val="004B6442"/>
    <w:rsid w:val="004B6687"/>
    <w:rsid w:val="004B6E4E"/>
    <w:rsid w:val="004B725D"/>
    <w:rsid w:val="004B7686"/>
    <w:rsid w:val="004B7E93"/>
    <w:rsid w:val="004C05A7"/>
    <w:rsid w:val="004C0EF4"/>
    <w:rsid w:val="004C1909"/>
    <w:rsid w:val="004C1BBA"/>
    <w:rsid w:val="004C2D72"/>
    <w:rsid w:val="004C36CF"/>
    <w:rsid w:val="004C574C"/>
    <w:rsid w:val="004C625B"/>
    <w:rsid w:val="004C6C7F"/>
    <w:rsid w:val="004D005A"/>
    <w:rsid w:val="004D098A"/>
    <w:rsid w:val="004D0CF8"/>
    <w:rsid w:val="004D0E01"/>
    <w:rsid w:val="004D0E71"/>
    <w:rsid w:val="004D1063"/>
    <w:rsid w:val="004D1085"/>
    <w:rsid w:val="004D16F3"/>
    <w:rsid w:val="004D22E0"/>
    <w:rsid w:val="004D24E5"/>
    <w:rsid w:val="004D33CD"/>
    <w:rsid w:val="004D351B"/>
    <w:rsid w:val="004D405F"/>
    <w:rsid w:val="004D4557"/>
    <w:rsid w:val="004D4931"/>
    <w:rsid w:val="004D4B57"/>
    <w:rsid w:val="004D5EF2"/>
    <w:rsid w:val="004D6344"/>
    <w:rsid w:val="004D7AA7"/>
    <w:rsid w:val="004D7D1A"/>
    <w:rsid w:val="004E0336"/>
    <w:rsid w:val="004E07E9"/>
    <w:rsid w:val="004E0EA4"/>
    <w:rsid w:val="004E105E"/>
    <w:rsid w:val="004E1349"/>
    <w:rsid w:val="004E1D71"/>
    <w:rsid w:val="004E235D"/>
    <w:rsid w:val="004E258F"/>
    <w:rsid w:val="004E2F6C"/>
    <w:rsid w:val="004E3817"/>
    <w:rsid w:val="004E4065"/>
    <w:rsid w:val="004E4435"/>
    <w:rsid w:val="004E447B"/>
    <w:rsid w:val="004E4F9E"/>
    <w:rsid w:val="004E5512"/>
    <w:rsid w:val="004E5E37"/>
    <w:rsid w:val="004E74C6"/>
    <w:rsid w:val="004E7CDD"/>
    <w:rsid w:val="004E7D22"/>
    <w:rsid w:val="004F0C38"/>
    <w:rsid w:val="004F0EDE"/>
    <w:rsid w:val="004F1043"/>
    <w:rsid w:val="004F1D33"/>
    <w:rsid w:val="004F208F"/>
    <w:rsid w:val="004F2819"/>
    <w:rsid w:val="004F2C0F"/>
    <w:rsid w:val="004F35AF"/>
    <w:rsid w:val="004F3AF9"/>
    <w:rsid w:val="004F3D43"/>
    <w:rsid w:val="004F523D"/>
    <w:rsid w:val="004F53AD"/>
    <w:rsid w:val="004F5813"/>
    <w:rsid w:val="004F58FE"/>
    <w:rsid w:val="004F721E"/>
    <w:rsid w:val="004F7FE5"/>
    <w:rsid w:val="00501738"/>
    <w:rsid w:val="00501EDE"/>
    <w:rsid w:val="0050213E"/>
    <w:rsid w:val="00502294"/>
    <w:rsid w:val="00502422"/>
    <w:rsid w:val="005026EC"/>
    <w:rsid w:val="00502BC6"/>
    <w:rsid w:val="00503C31"/>
    <w:rsid w:val="00505AC0"/>
    <w:rsid w:val="00505BF1"/>
    <w:rsid w:val="005069FF"/>
    <w:rsid w:val="00507AE5"/>
    <w:rsid w:val="00507CAD"/>
    <w:rsid w:val="00510068"/>
    <w:rsid w:val="0051081E"/>
    <w:rsid w:val="00511140"/>
    <w:rsid w:val="0051132F"/>
    <w:rsid w:val="0051147A"/>
    <w:rsid w:val="0051601C"/>
    <w:rsid w:val="005164E5"/>
    <w:rsid w:val="00517B1C"/>
    <w:rsid w:val="00517B3F"/>
    <w:rsid w:val="00517F98"/>
    <w:rsid w:val="0052074E"/>
    <w:rsid w:val="00522714"/>
    <w:rsid w:val="0052298D"/>
    <w:rsid w:val="00522A7B"/>
    <w:rsid w:val="00523907"/>
    <w:rsid w:val="00525758"/>
    <w:rsid w:val="00525E21"/>
    <w:rsid w:val="0052659A"/>
    <w:rsid w:val="0052767E"/>
    <w:rsid w:val="00530066"/>
    <w:rsid w:val="005302C7"/>
    <w:rsid w:val="00530929"/>
    <w:rsid w:val="0053147C"/>
    <w:rsid w:val="00531ECD"/>
    <w:rsid w:val="00534281"/>
    <w:rsid w:val="00535005"/>
    <w:rsid w:val="0053506F"/>
    <w:rsid w:val="00535802"/>
    <w:rsid w:val="005362A6"/>
    <w:rsid w:val="0053658B"/>
    <w:rsid w:val="00536595"/>
    <w:rsid w:val="00537198"/>
    <w:rsid w:val="00537C22"/>
    <w:rsid w:val="005409FB"/>
    <w:rsid w:val="00541942"/>
    <w:rsid w:val="00541B7F"/>
    <w:rsid w:val="0054279B"/>
    <w:rsid w:val="005427BD"/>
    <w:rsid w:val="00542BAA"/>
    <w:rsid w:val="00542BC8"/>
    <w:rsid w:val="00542C79"/>
    <w:rsid w:val="00543F14"/>
    <w:rsid w:val="00543F5C"/>
    <w:rsid w:val="005453A8"/>
    <w:rsid w:val="00545FAC"/>
    <w:rsid w:val="005462BE"/>
    <w:rsid w:val="00546E2D"/>
    <w:rsid w:val="00547170"/>
    <w:rsid w:val="00547BF8"/>
    <w:rsid w:val="00550530"/>
    <w:rsid w:val="0055085B"/>
    <w:rsid w:val="00550B11"/>
    <w:rsid w:val="005524AF"/>
    <w:rsid w:val="00552805"/>
    <w:rsid w:val="00552ADE"/>
    <w:rsid w:val="0055358B"/>
    <w:rsid w:val="005539C4"/>
    <w:rsid w:val="00553D20"/>
    <w:rsid w:val="0055413C"/>
    <w:rsid w:val="00554461"/>
    <w:rsid w:val="00554A0D"/>
    <w:rsid w:val="00555D17"/>
    <w:rsid w:val="00556DCD"/>
    <w:rsid w:val="00556F8D"/>
    <w:rsid w:val="00557939"/>
    <w:rsid w:val="00557EDA"/>
    <w:rsid w:val="005605BF"/>
    <w:rsid w:val="00560DB8"/>
    <w:rsid w:val="0056261C"/>
    <w:rsid w:val="0056287E"/>
    <w:rsid w:val="00566658"/>
    <w:rsid w:val="00567784"/>
    <w:rsid w:val="00570402"/>
    <w:rsid w:val="00570E99"/>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583D"/>
    <w:rsid w:val="00586153"/>
    <w:rsid w:val="0058794D"/>
    <w:rsid w:val="005908BB"/>
    <w:rsid w:val="00590ACC"/>
    <w:rsid w:val="00591B5A"/>
    <w:rsid w:val="00591DB3"/>
    <w:rsid w:val="005922A9"/>
    <w:rsid w:val="00592E0A"/>
    <w:rsid w:val="00593149"/>
    <w:rsid w:val="005937BF"/>
    <w:rsid w:val="00595286"/>
    <w:rsid w:val="00595287"/>
    <w:rsid w:val="00595922"/>
    <w:rsid w:val="00597AFD"/>
    <w:rsid w:val="005A0309"/>
    <w:rsid w:val="005A05FA"/>
    <w:rsid w:val="005A0CBB"/>
    <w:rsid w:val="005A0D27"/>
    <w:rsid w:val="005A0E8D"/>
    <w:rsid w:val="005A15C6"/>
    <w:rsid w:val="005A1F8F"/>
    <w:rsid w:val="005A3ED3"/>
    <w:rsid w:val="005A3F3E"/>
    <w:rsid w:val="005A47D4"/>
    <w:rsid w:val="005A48C1"/>
    <w:rsid w:val="005A4D57"/>
    <w:rsid w:val="005A53DC"/>
    <w:rsid w:val="005A5551"/>
    <w:rsid w:val="005A5C74"/>
    <w:rsid w:val="005A5CDD"/>
    <w:rsid w:val="005A6676"/>
    <w:rsid w:val="005A675C"/>
    <w:rsid w:val="005A6E31"/>
    <w:rsid w:val="005A7496"/>
    <w:rsid w:val="005A7D32"/>
    <w:rsid w:val="005B05A6"/>
    <w:rsid w:val="005B0EA4"/>
    <w:rsid w:val="005B0EC4"/>
    <w:rsid w:val="005B13E4"/>
    <w:rsid w:val="005B2345"/>
    <w:rsid w:val="005B2698"/>
    <w:rsid w:val="005B2EEA"/>
    <w:rsid w:val="005B4E55"/>
    <w:rsid w:val="005B5CDA"/>
    <w:rsid w:val="005B6497"/>
    <w:rsid w:val="005B67F5"/>
    <w:rsid w:val="005B69C8"/>
    <w:rsid w:val="005B725C"/>
    <w:rsid w:val="005B76F7"/>
    <w:rsid w:val="005B7CC5"/>
    <w:rsid w:val="005C1747"/>
    <w:rsid w:val="005C2318"/>
    <w:rsid w:val="005C2559"/>
    <w:rsid w:val="005C267F"/>
    <w:rsid w:val="005C2821"/>
    <w:rsid w:val="005C28D7"/>
    <w:rsid w:val="005C2CE2"/>
    <w:rsid w:val="005C3679"/>
    <w:rsid w:val="005C3978"/>
    <w:rsid w:val="005C3A39"/>
    <w:rsid w:val="005C5255"/>
    <w:rsid w:val="005C547E"/>
    <w:rsid w:val="005C5E75"/>
    <w:rsid w:val="005C6982"/>
    <w:rsid w:val="005C74AD"/>
    <w:rsid w:val="005C779B"/>
    <w:rsid w:val="005C78A4"/>
    <w:rsid w:val="005D006D"/>
    <w:rsid w:val="005D00A3"/>
    <w:rsid w:val="005D05CF"/>
    <w:rsid w:val="005D0A7C"/>
    <w:rsid w:val="005D1AAD"/>
    <w:rsid w:val="005D1CF8"/>
    <w:rsid w:val="005D1F0F"/>
    <w:rsid w:val="005D226D"/>
    <w:rsid w:val="005D2EAB"/>
    <w:rsid w:val="005D3920"/>
    <w:rsid w:val="005D3C3D"/>
    <w:rsid w:val="005D48ED"/>
    <w:rsid w:val="005D5196"/>
    <w:rsid w:val="005D54E1"/>
    <w:rsid w:val="005D6A6F"/>
    <w:rsid w:val="005D6BB2"/>
    <w:rsid w:val="005D7C73"/>
    <w:rsid w:val="005E07A2"/>
    <w:rsid w:val="005E164C"/>
    <w:rsid w:val="005E1724"/>
    <w:rsid w:val="005E1897"/>
    <w:rsid w:val="005E35DD"/>
    <w:rsid w:val="005E4078"/>
    <w:rsid w:val="005E41E6"/>
    <w:rsid w:val="005E45E9"/>
    <w:rsid w:val="005E5061"/>
    <w:rsid w:val="005E5242"/>
    <w:rsid w:val="005E5FA5"/>
    <w:rsid w:val="005E6269"/>
    <w:rsid w:val="005E6F3C"/>
    <w:rsid w:val="005E7627"/>
    <w:rsid w:val="005E7D02"/>
    <w:rsid w:val="005F0604"/>
    <w:rsid w:val="005F0E47"/>
    <w:rsid w:val="005F1312"/>
    <w:rsid w:val="005F1DEF"/>
    <w:rsid w:val="005F207D"/>
    <w:rsid w:val="005F2571"/>
    <w:rsid w:val="005F2B17"/>
    <w:rsid w:val="005F344B"/>
    <w:rsid w:val="005F389B"/>
    <w:rsid w:val="005F3FA4"/>
    <w:rsid w:val="005F40F2"/>
    <w:rsid w:val="005F5048"/>
    <w:rsid w:val="005F5593"/>
    <w:rsid w:val="005F5FDE"/>
    <w:rsid w:val="005F61DC"/>
    <w:rsid w:val="005F65D2"/>
    <w:rsid w:val="005F6918"/>
    <w:rsid w:val="005F6C4F"/>
    <w:rsid w:val="005F6D93"/>
    <w:rsid w:val="005F7F9E"/>
    <w:rsid w:val="005F7FE9"/>
    <w:rsid w:val="0060138E"/>
    <w:rsid w:val="006036CA"/>
    <w:rsid w:val="006037A1"/>
    <w:rsid w:val="00603836"/>
    <w:rsid w:val="00603F74"/>
    <w:rsid w:val="00604AD6"/>
    <w:rsid w:val="00607048"/>
    <w:rsid w:val="0060716D"/>
    <w:rsid w:val="00607903"/>
    <w:rsid w:val="00607CD1"/>
    <w:rsid w:val="0061018C"/>
    <w:rsid w:val="00610BF8"/>
    <w:rsid w:val="00611110"/>
    <w:rsid w:val="00611CD7"/>
    <w:rsid w:val="0061223E"/>
    <w:rsid w:val="006123EC"/>
    <w:rsid w:val="00613B91"/>
    <w:rsid w:val="00613FA1"/>
    <w:rsid w:val="006147E9"/>
    <w:rsid w:val="0061498D"/>
    <w:rsid w:val="00614C47"/>
    <w:rsid w:val="00615178"/>
    <w:rsid w:val="00616AF1"/>
    <w:rsid w:val="00616D83"/>
    <w:rsid w:val="00620A7D"/>
    <w:rsid w:val="00620F86"/>
    <w:rsid w:val="006210FD"/>
    <w:rsid w:val="006222DC"/>
    <w:rsid w:val="0062236E"/>
    <w:rsid w:val="00622F51"/>
    <w:rsid w:val="006235FD"/>
    <w:rsid w:val="0062414A"/>
    <w:rsid w:val="006243E8"/>
    <w:rsid w:val="006263EC"/>
    <w:rsid w:val="006269E9"/>
    <w:rsid w:val="0062748A"/>
    <w:rsid w:val="00627767"/>
    <w:rsid w:val="00627D06"/>
    <w:rsid w:val="00630CBE"/>
    <w:rsid w:val="00630DD6"/>
    <w:rsid w:val="0063109A"/>
    <w:rsid w:val="00631313"/>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ACF"/>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478"/>
    <w:rsid w:val="0065265C"/>
    <w:rsid w:val="00653629"/>
    <w:rsid w:val="00653A4C"/>
    <w:rsid w:val="006546AC"/>
    <w:rsid w:val="00654A7F"/>
    <w:rsid w:val="00654CE2"/>
    <w:rsid w:val="00654EBF"/>
    <w:rsid w:val="00655460"/>
    <w:rsid w:val="00655B72"/>
    <w:rsid w:val="0065636B"/>
    <w:rsid w:val="00657834"/>
    <w:rsid w:val="006578AB"/>
    <w:rsid w:val="00657EEC"/>
    <w:rsid w:val="00657F79"/>
    <w:rsid w:val="0066058A"/>
    <w:rsid w:val="00660702"/>
    <w:rsid w:val="006628B4"/>
    <w:rsid w:val="006628D6"/>
    <w:rsid w:val="00663089"/>
    <w:rsid w:val="00663201"/>
    <w:rsid w:val="0066450E"/>
    <w:rsid w:val="0066489B"/>
    <w:rsid w:val="006650F3"/>
    <w:rsid w:val="00665815"/>
    <w:rsid w:val="00665BB5"/>
    <w:rsid w:val="006662C4"/>
    <w:rsid w:val="006665D8"/>
    <w:rsid w:val="00667656"/>
    <w:rsid w:val="006708C9"/>
    <w:rsid w:val="00670C87"/>
    <w:rsid w:val="006711D0"/>
    <w:rsid w:val="00672D30"/>
    <w:rsid w:val="00672E0E"/>
    <w:rsid w:val="00672FFD"/>
    <w:rsid w:val="0067398C"/>
    <w:rsid w:val="00673A9B"/>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B3"/>
    <w:rsid w:val="006933F6"/>
    <w:rsid w:val="00693667"/>
    <w:rsid w:val="00693A25"/>
    <w:rsid w:val="00693E48"/>
    <w:rsid w:val="00694865"/>
    <w:rsid w:val="006959FD"/>
    <w:rsid w:val="00695A38"/>
    <w:rsid w:val="0069609F"/>
    <w:rsid w:val="00697165"/>
    <w:rsid w:val="006A0A28"/>
    <w:rsid w:val="006A0C5A"/>
    <w:rsid w:val="006A117C"/>
    <w:rsid w:val="006A1549"/>
    <w:rsid w:val="006A1B7D"/>
    <w:rsid w:val="006A236F"/>
    <w:rsid w:val="006A2A94"/>
    <w:rsid w:val="006A2E48"/>
    <w:rsid w:val="006A3184"/>
    <w:rsid w:val="006A35E2"/>
    <w:rsid w:val="006A37BB"/>
    <w:rsid w:val="006A38F7"/>
    <w:rsid w:val="006A48E9"/>
    <w:rsid w:val="006A4C6B"/>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64C6"/>
    <w:rsid w:val="006B6EBB"/>
    <w:rsid w:val="006B76F0"/>
    <w:rsid w:val="006C0C71"/>
    <w:rsid w:val="006C1F2C"/>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D12"/>
    <w:rsid w:val="006D3F40"/>
    <w:rsid w:val="006D49A0"/>
    <w:rsid w:val="006D4D62"/>
    <w:rsid w:val="006D4F8C"/>
    <w:rsid w:val="006D501E"/>
    <w:rsid w:val="006D53DF"/>
    <w:rsid w:val="006D548D"/>
    <w:rsid w:val="006D5935"/>
    <w:rsid w:val="006D5B80"/>
    <w:rsid w:val="006D69A3"/>
    <w:rsid w:val="006D7000"/>
    <w:rsid w:val="006D72F9"/>
    <w:rsid w:val="006E007F"/>
    <w:rsid w:val="006E0498"/>
    <w:rsid w:val="006E1510"/>
    <w:rsid w:val="006E20D9"/>
    <w:rsid w:val="006E233B"/>
    <w:rsid w:val="006E4CC9"/>
    <w:rsid w:val="006E5132"/>
    <w:rsid w:val="006E593C"/>
    <w:rsid w:val="006E5D69"/>
    <w:rsid w:val="006E657A"/>
    <w:rsid w:val="006E6699"/>
    <w:rsid w:val="006E6766"/>
    <w:rsid w:val="006E6E27"/>
    <w:rsid w:val="006E7435"/>
    <w:rsid w:val="006E765B"/>
    <w:rsid w:val="006E7C2E"/>
    <w:rsid w:val="006F10EC"/>
    <w:rsid w:val="006F13FD"/>
    <w:rsid w:val="006F1739"/>
    <w:rsid w:val="006F1749"/>
    <w:rsid w:val="006F21D3"/>
    <w:rsid w:val="006F24A1"/>
    <w:rsid w:val="006F2BED"/>
    <w:rsid w:val="006F3E3F"/>
    <w:rsid w:val="006F44DE"/>
    <w:rsid w:val="006F5D98"/>
    <w:rsid w:val="006F6578"/>
    <w:rsid w:val="006F6F8F"/>
    <w:rsid w:val="006F7BF8"/>
    <w:rsid w:val="007007D3"/>
    <w:rsid w:val="00700F6A"/>
    <w:rsid w:val="0070113B"/>
    <w:rsid w:val="007014B9"/>
    <w:rsid w:val="007015C4"/>
    <w:rsid w:val="007017EA"/>
    <w:rsid w:val="00701C8B"/>
    <w:rsid w:val="0070257B"/>
    <w:rsid w:val="00702C8A"/>
    <w:rsid w:val="00703611"/>
    <w:rsid w:val="00704B55"/>
    <w:rsid w:val="00704C8D"/>
    <w:rsid w:val="007058B5"/>
    <w:rsid w:val="00705BC2"/>
    <w:rsid w:val="00705C4A"/>
    <w:rsid w:val="007069F1"/>
    <w:rsid w:val="00707668"/>
    <w:rsid w:val="00710AF1"/>
    <w:rsid w:val="00711839"/>
    <w:rsid w:val="00712020"/>
    <w:rsid w:val="00712540"/>
    <w:rsid w:val="0071419C"/>
    <w:rsid w:val="00715699"/>
    <w:rsid w:val="0071626E"/>
    <w:rsid w:val="00716882"/>
    <w:rsid w:val="00717F62"/>
    <w:rsid w:val="00720F9F"/>
    <w:rsid w:val="00721D75"/>
    <w:rsid w:val="00721EBF"/>
    <w:rsid w:val="007220FD"/>
    <w:rsid w:val="007228A7"/>
    <w:rsid w:val="00724982"/>
    <w:rsid w:val="007255AD"/>
    <w:rsid w:val="007258CD"/>
    <w:rsid w:val="007258E6"/>
    <w:rsid w:val="0072628A"/>
    <w:rsid w:val="007263D9"/>
    <w:rsid w:val="00726CD2"/>
    <w:rsid w:val="007275F7"/>
    <w:rsid w:val="00727B4C"/>
    <w:rsid w:val="00727E8B"/>
    <w:rsid w:val="007302D5"/>
    <w:rsid w:val="007304F6"/>
    <w:rsid w:val="007306C2"/>
    <w:rsid w:val="00731121"/>
    <w:rsid w:val="0073163B"/>
    <w:rsid w:val="00731EA4"/>
    <w:rsid w:val="007327FF"/>
    <w:rsid w:val="007334F8"/>
    <w:rsid w:val="00734609"/>
    <w:rsid w:val="00734EEF"/>
    <w:rsid w:val="00735892"/>
    <w:rsid w:val="00735A33"/>
    <w:rsid w:val="007374F6"/>
    <w:rsid w:val="007425DA"/>
    <w:rsid w:val="00742C7A"/>
    <w:rsid w:val="00742C7C"/>
    <w:rsid w:val="00743451"/>
    <w:rsid w:val="00743739"/>
    <w:rsid w:val="00743C93"/>
    <w:rsid w:val="007448B4"/>
    <w:rsid w:val="00744EB8"/>
    <w:rsid w:val="007453E8"/>
    <w:rsid w:val="00746ED4"/>
    <w:rsid w:val="00747D2E"/>
    <w:rsid w:val="00750338"/>
    <w:rsid w:val="00751050"/>
    <w:rsid w:val="00751414"/>
    <w:rsid w:val="007516E5"/>
    <w:rsid w:val="00753E6F"/>
    <w:rsid w:val="007546F4"/>
    <w:rsid w:val="0075512C"/>
    <w:rsid w:val="007558C5"/>
    <w:rsid w:val="00757A50"/>
    <w:rsid w:val="00757C20"/>
    <w:rsid w:val="00757EA5"/>
    <w:rsid w:val="0076011A"/>
    <w:rsid w:val="00760697"/>
    <w:rsid w:val="0076080A"/>
    <w:rsid w:val="00760A64"/>
    <w:rsid w:val="00761ADB"/>
    <w:rsid w:val="00761D0E"/>
    <w:rsid w:val="00762B45"/>
    <w:rsid w:val="00762BBD"/>
    <w:rsid w:val="007633E0"/>
    <w:rsid w:val="00764293"/>
    <w:rsid w:val="00764741"/>
    <w:rsid w:val="00764A27"/>
    <w:rsid w:val="00764EC6"/>
    <w:rsid w:val="0076652B"/>
    <w:rsid w:val="0076701D"/>
    <w:rsid w:val="00767146"/>
    <w:rsid w:val="00767B12"/>
    <w:rsid w:val="00767DC6"/>
    <w:rsid w:val="00767DEB"/>
    <w:rsid w:val="00767E23"/>
    <w:rsid w:val="00770AB9"/>
    <w:rsid w:val="0077127B"/>
    <w:rsid w:val="007721F2"/>
    <w:rsid w:val="00772229"/>
    <w:rsid w:val="0077269A"/>
    <w:rsid w:val="00772825"/>
    <w:rsid w:val="00772859"/>
    <w:rsid w:val="00772D80"/>
    <w:rsid w:val="00772FD8"/>
    <w:rsid w:val="00774637"/>
    <w:rsid w:val="00774C4E"/>
    <w:rsid w:val="00775389"/>
    <w:rsid w:val="00775CFA"/>
    <w:rsid w:val="00776B47"/>
    <w:rsid w:val="007817A3"/>
    <w:rsid w:val="007819BE"/>
    <w:rsid w:val="00781A91"/>
    <w:rsid w:val="00781AF8"/>
    <w:rsid w:val="00781E48"/>
    <w:rsid w:val="007823AB"/>
    <w:rsid w:val="00782BD4"/>
    <w:rsid w:val="00782C77"/>
    <w:rsid w:val="007832F7"/>
    <w:rsid w:val="00783A40"/>
    <w:rsid w:val="007846F0"/>
    <w:rsid w:val="007848B9"/>
    <w:rsid w:val="007854B7"/>
    <w:rsid w:val="00785CFD"/>
    <w:rsid w:val="00785E9C"/>
    <w:rsid w:val="007874CF"/>
    <w:rsid w:val="00787C00"/>
    <w:rsid w:val="00791310"/>
    <w:rsid w:val="0079379F"/>
    <w:rsid w:val="00794246"/>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57A"/>
    <w:rsid w:val="007A3B07"/>
    <w:rsid w:val="007A4314"/>
    <w:rsid w:val="007A4980"/>
    <w:rsid w:val="007A4AAE"/>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B7758"/>
    <w:rsid w:val="007C0484"/>
    <w:rsid w:val="007C0C51"/>
    <w:rsid w:val="007C12E6"/>
    <w:rsid w:val="007C148F"/>
    <w:rsid w:val="007C1A1C"/>
    <w:rsid w:val="007C2475"/>
    <w:rsid w:val="007C24AA"/>
    <w:rsid w:val="007C2690"/>
    <w:rsid w:val="007C2B26"/>
    <w:rsid w:val="007C2FFB"/>
    <w:rsid w:val="007C3C3A"/>
    <w:rsid w:val="007C5058"/>
    <w:rsid w:val="007C6086"/>
    <w:rsid w:val="007C626A"/>
    <w:rsid w:val="007C657A"/>
    <w:rsid w:val="007C748D"/>
    <w:rsid w:val="007D0164"/>
    <w:rsid w:val="007D037A"/>
    <w:rsid w:val="007D15E3"/>
    <w:rsid w:val="007D1B3B"/>
    <w:rsid w:val="007D2FB3"/>
    <w:rsid w:val="007D2FDA"/>
    <w:rsid w:val="007D3589"/>
    <w:rsid w:val="007D3C32"/>
    <w:rsid w:val="007D3E14"/>
    <w:rsid w:val="007D3EE1"/>
    <w:rsid w:val="007D6637"/>
    <w:rsid w:val="007D6B86"/>
    <w:rsid w:val="007D6D8E"/>
    <w:rsid w:val="007D6E2A"/>
    <w:rsid w:val="007D73E8"/>
    <w:rsid w:val="007D7F86"/>
    <w:rsid w:val="007E004C"/>
    <w:rsid w:val="007E0548"/>
    <w:rsid w:val="007E0A6F"/>
    <w:rsid w:val="007E0B10"/>
    <w:rsid w:val="007E154F"/>
    <w:rsid w:val="007E1708"/>
    <w:rsid w:val="007E1A8D"/>
    <w:rsid w:val="007E2B30"/>
    <w:rsid w:val="007E2BEB"/>
    <w:rsid w:val="007E407D"/>
    <w:rsid w:val="007E53E7"/>
    <w:rsid w:val="007E65D1"/>
    <w:rsid w:val="007E6884"/>
    <w:rsid w:val="007E6EE5"/>
    <w:rsid w:val="007E7107"/>
    <w:rsid w:val="007E7316"/>
    <w:rsid w:val="007E7DE6"/>
    <w:rsid w:val="007F0A63"/>
    <w:rsid w:val="007F22B6"/>
    <w:rsid w:val="007F2B19"/>
    <w:rsid w:val="007F2B89"/>
    <w:rsid w:val="007F2ED0"/>
    <w:rsid w:val="007F38E1"/>
    <w:rsid w:val="007F405B"/>
    <w:rsid w:val="007F4469"/>
    <w:rsid w:val="007F454B"/>
    <w:rsid w:val="007F5180"/>
    <w:rsid w:val="007F55FB"/>
    <w:rsid w:val="007F5AF2"/>
    <w:rsid w:val="007F69C3"/>
    <w:rsid w:val="007F6E4A"/>
    <w:rsid w:val="007F708C"/>
    <w:rsid w:val="007F7381"/>
    <w:rsid w:val="007F7BDE"/>
    <w:rsid w:val="007F7F44"/>
    <w:rsid w:val="0080035A"/>
    <w:rsid w:val="00800887"/>
    <w:rsid w:val="00800A1D"/>
    <w:rsid w:val="00800D45"/>
    <w:rsid w:val="00801113"/>
    <w:rsid w:val="008018A0"/>
    <w:rsid w:val="00802FE5"/>
    <w:rsid w:val="008041D4"/>
    <w:rsid w:val="00804C11"/>
    <w:rsid w:val="00805228"/>
    <w:rsid w:val="008053DC"/>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9D8"/>
    <w:rsid w:val="00820D50"/>
    <w:rsid w:val="00822EF3"/>
    <w:rsid w:val="00823351"/>
    <w:rsid w:val="008236DD"/>
    <w:rsid w:val="00823CDE"/>
    <w:rsid w:val="008249DF"/>
    <w:rsid w:val="00824BFD"/>
    <w:rsid w:val="0082733A"/>
    <w:rsid w:val="0082741E"/>
    <w:rsid w:val="008276D6"/>
    <w:rsid w:val="00827F99"/>
    <w:rsid w:val="008319F0"/>
    <w:rsid w:val="00831B53"/>
    <w:rsid w:val="00832098"/>
    <w:rsid w:val="00832230"/>
    <w:rsid w:val="00832D61"/>
    <w:rsid w:val="00833010"/>
    <w:rsid w:val="00834B8A"/>
    <w:rsid w:val="00836601"/>
    <w:rsid w:val="008376C0"/>
    <w:rsid w:val="008377A9"/>
    <w:rsid w:val="00837844"/>
    <w:rsid w:val="008378F3"/>
    <w:rsid w:val="00837C2C"/>
    <w:rsid w:val="00840653"/>
    <w:rsid w:val="00840CF8"/>
    <w:rsid w:val="00842EAC"/>
    <w:rsid w:val="008437F0"/>
    <w:rsid w:val="00844FDA"/>
    <w:rsid w:val="00846125"/>
    <w:rsid w:val="0084653C"/>
    <w:rsid w:val="00846A71"/>
    <w:rsid w:val="00846D42"/>
    <w:rsid w:val="0084703D"/>
    <w:rsid w:val="0085115C"/>
    <w:rsid w:val="00851B17"/>
    <w:rsid w:val="00851CC6"/>
    <w:rsid w:val="00851FF5"/>
    <w:rsid w:val="00853245"/>
    <w:rsid w:val="0085378B"/>
    <w:rsid w:val="0085387C"/>
    <w:rsid w:val="0086034A"/>
    <w:rsid w:val="00860E24"/>
    <w:rsid w:val="00862C5C"/>
    <w:rsid w:val="0086319F"/>
    <w:rsid w:val="008631E1"/>
    <w:rsid w:val="0086388F"/>
    <w:rsid w:val="00865CD7"/>
    <w:rsid w:val="00865F4B"/>
    <w:rsid w:val="00866311"/>
    <w:rsid w:val="008668AA"/>
    <w:rsid w:val="008670A5"/>
    <w:rsid w:val="008672D0"/>
    <w:rsid w:val="008674EA"/>
    <w:rsid w:val="00867789"/>
    <w:rsid w:val="00870311"/>
    <w:rsid w:val="0087051B"/>
    <w:rsid w:val="00870A07"/>
    <w:rsid w:val="00870D72"/>
    <w:rsid w:val="008710FB"/>
    <w:rsid w:val="00871804"/>
    <w:rsid w:val="00871ACC"/>
    <w:rsid w:val="008720DC"/>
    <w:rsid w:val="00874114"/>
    <w:rsid w:val="00874E7A"/>
    <w:rsid w:val="00874FB4"/>
    <w:rsid w:val="00875167"/>
    <w:rsid w:val="008762BB"/>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5F43"/>
    <w:rsid w:val="00886C4C"/>
    <w:rsid w:val="008876AE"/>
    <w:rsid w:val="00887C14"/>
    <w:rsid w:val="008905B8"/>
    <w:rsid w:val="00890F53"/>
    <w:rsid w:val="0089150D"/>
    <w:rsid w:val="00891798"/>
    <w:rsid w:val="00891CCD"/>
    <w:rsid w:val="00891EAB"/>
    <w:rsid w:val="00892955"/>
    <w:rsid w:val="00892F89"/>
    <w:rsid w:val="00893BFA"/>
    <w:rsid w:val="008951EA"/>
    <w:rsid w:val="00895A0F"/>
    <w:rsid w:val="00895F70"/>
    <w:rsid w:val="008963DD"/>
    <w:rsid w:val="00897267"/>
    <w:rsid w:val="0089728D"/>
    <w:rsid w:val="00897586"/>
    <w:rsid w:val="00897818"/>
    <w:rsid w:val="008A13A1"/>
    <w:rsid w:val="008A17BF"/>
    <w:rsid w:val="008A1C3F"/>
    <w:rsid w:val="008A30A0"/>
    <w:rsid w:val="008A34B3"/>
    <w:rsid w:val="008A3800"/>
    <w:rsid w:val="008A3B36"/>
    <w:rsid w:val="008A3C63"/>
    <w:rsid w:val="008A530A"/>
    <w:rsid w:val="008A65F4"/>
    <w:rsid w:val="008A6930"/>
    <w:rsid w:val="008A7037"/>
    <w:rsid w:val="008A751D"/>
    <w:rsid w:val="008A7CE2"/>
    <w:rsid w:val="008B0082"/>
    <w:rsid w:val="008B022E"/>
    <w:rsid w:val="008B08C8"/>
    <w:rsid w:val="008B147C"/>
    <w:rsid w:val="008B19A5"/>
    <w:rsid w:val="008B2642"/>
    <w:rsid w:val="008B2788"/>
    <w:rsid w:val="008B35FD"/>
    <w:rsid w:val="008B46FF"/>
    <w:rsid w:val="008B4CFE"/>
    <w:rsid w:val="008B5ED8"/>
    <w:rsid w:val="008B75CD"/>
    <w:rsid w:val="008B78DD"/>
    <w:rsid w:val="008C0761"/>
    <w:rsid w:val="008C0762"/>
    <w:rsid w:val="008C157A"/>
    <w:rsid w:val="008C1D73"/>
    <w:rsid w:val="008C25E9"/>
    <w:rsid w:val="008C2B29"/>
    <w:rsid w:val="008C3617"/>
    <w:rsid w:val="008C437D"/>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E87"/>
    <w:rsid w:val="008E1731"/>
    <w:rsid w:val="008E2567"/>
    <w:rsid w:val="008E269B"/>
    <w:rsid w:val="008E2953"/>
    <w:rsid w:val="008E2FBB"/>
    <w:rsid w:val="008E30ED"/>
    <w:rsid w:val="008E345F"/>
    <w:rsid w:val="008E3486"/>
    <w:rsid w:val="008E3733"/>
    <w:rsid w:val="008E376E"/>
    <w:rsid w:val="008E389E"/>
    <w:rsid w:val="008E39FE"/>
    <w:rsid w:val="008E4DD7"/>
    <w:rsid w:val="008E5114"/>
    <w:rsid w:val="008E5979"/>
    <w:rsid w:val="008E6288"/>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3E0"/>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8C2"/>
    <w:rsid w:val="00914C5B"/>
    <w:rsid w:val="0091536D"/>
    <w:rsid w:val="00916091"/>
    <w:rsid w:val="0091654F"/>
    <w:rsid w:val="00916A04"/>
    <w:rsid w:val="009178B7"/>
    <w:rsid w:val="00917E7A"/>
    <w:rsid w:val="00920CE5"/>
    <w:rsid w:val="00920E54"/>
    <w:rsid w:val="00921455"/>
    <w:rsid w:val="0092223C"/>
    <w:rsid w:val="009225A5"/>
    <w:rsid w:val="00923F53"/>
    <w:rsid w:val="00924573"/>
    <w:rsid w:val="00924581"/>
    <w:rsid w:val="0092468D"/>
    <w:rsid w:val="00924801"/>
    <w:rsid w:val="00924A27"/>
    <w:rsid w:val="00925062"/>
    <w:rsid w:val="00926466"/>
    <w:rsid w:val="00926607"/>
    <w:rsid w:val="00926DB6"/>
    <w:rsid w:val="00927530"/>
    <w:rsid w:val="009304DE"/>
    <w:rsid w:val="00930A68"/>
    <w:rsid w:val="0093214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658"/>
    <w:rsid w:val="00945F98"/>
    <w:rsid w:val="0094620A"/>
    <w:rsid w:val="00946588"/>
    <w:rsid w:val="00946C1A"/>
    <w:rsid w:val="00946DF0"/>
    <w:rsid w:val="00947832"/>
    <w:rsid w:val="00950151"/>
    <w:rsid w:val="00952C0D"/>
    <w:rsid w:val="00952E73"/>
    <w:rsid w:val="00952F5B"/>
    <w:rsid w:val="00953054"/>
    <w:rsid w:val="009530DA"/>
    <w:rsid w:val="00953C38"/>
    <w:rsid w:val="00953C90"/>
    <w:rsid w:val="00954B95"/>
    <w:rsid w:val="00956C01"/>
    <w:rsid w:val="00956FF4"/>
    <w:rsid w:val="00957218"/>
    <w:rsid w:val="009600AF"/>
    <w:rsid w:val="0096047E"/>
    <w:rsid w:val="00960BE4"/>
    <w:rsid w:val="00961D18"/>
    <w:rsid w:val="00961DDC"/>
    <w:rsid w:val="009624EA"/>
    <w:rsid w:val="00962535"/>
    <w:rsid w:val="009634D8"/>
    <w:rsid w:val="00963D13"/>
    <w:rsid w:val="00963F05"/>
    <w:rsid w:val="00964361"/>
    <w:rsid w:val="009646E8"/>
    <w:rsid w:val="00964FCB"/>
    <w:rsid w:val="009660BC"/>
    <w:rsid w:val="00967550"/>
    <w:rsid w:val="009701E0"/>
    <w:rsid w:val="00971565"/>
    <w:rsid w:val="0097158A"/>
    <w:rsid w:val="009716FA"/>
    <w:rsid w:val="00971A1F"/>
    <w:rsid w:val="00971B5E"/>
    <w:rsid w:val="00973464"/>
    <w:rsid w:val="009735ED"/>
    <w:rsid w:val="00974058"/>
    <w:rsid w:val="0097466B"/>
    <w:rsid w:val="009752A8"/>
    <w:rsid w:val="0097573A"/>
    <w:rsid w:val="00976231"/>
    <w:rsid w:val="009800DB"/>
    <w:rsid w:val="00981498"/>
    <w:rsid w:val="00981528"/>
    <w:rsid w:val="00982045"/>
    <w:rsid w:val="00982329"/>
    <w:rsid w:val="009828ED"/>
    <w:rsid w:val="0098466A"/>
    <w:rsid w:val="00984CB1"/>
    <w:rsid w:val="009857B5"/>
    <w:rsid w:val="00985B83"/>
    <w:rsid w:val="00985CA0"/>
    <w:rsid w:val="00986B97"/>
    <w:rsid w:val="00987513"/>
    <w:rsid w:val="00990372"/>
    <w:rsid w:val="009912BD"/>
    <w:rsid w:val="00992BF9"/>
    <w:rsid w:val="00992CEF"/>
    <w:rsid w:val="0099364C"/>
    <w:rsid w:val="00993823"/>
    <w:rsid w:val="00993B16"/>
    <w:rsid w:val="00994118"/>
    <w:rsid w:val="00994AF2"/>
    <w:rsid w:val="00995F22"/>
    <w:rsid w:val="0099666B"/>
    <w:rsid w:val="009A03EF"/>
    <w:rsid w:val="009A0C13"/>
    <w:rsid w:val="009A1D4D"/>
    <w:rsid w:val="009A1E91"/>
    <w:rsid w:val="009A1F7C"/>
    <w:rsid w:val="009A21CA"/>
    <w:rsid w:val="009A3780"/>
    <w:rsid w:val="009A4584"/>
    <w:rsid w:val="009A5002"/>
    <w:rsid w:val="009A7801"/>
    <w:rsid w:val="009A7A14"/>
    <w:rsid w:val="009B02A9"/>
    <w:rsid w:val="009B1120"/>
    <w:rsid w:val="009B1149"/>
    <w:rsid w:val="009B1697"/>
    <w:rsid w:val="009B17BC"/>
    <w:rsid w:val="009B1DD5"/>
    <w:rsid w:val="009B3483"/>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0D3"/>
    <w:rsid w:val="009C550E"/>
    <w:rsid w:val="009C6168"/>
    <w:rsid w:val="009C677F"/>
    <w:rsid w:val="009C731D"/>
    <w:rsid w:val="009C7366"/>
    <w:rsid w:val="009C766C"/>
    <w:rsid w:val="009C7804"/>
    <w:rsid w:val="009D1D31"/>
    <w:rsid w:val="009D21C5"/>
    <w:rsid w:val="009D2AE1"/>
    <w:rsid w:val="009D35BE"/>
    <w:rsid w:val="009D380B"/>
    <w:rsid w:val="009D3A29"/>
    <w:rsid w:val="009D5E0A"/>
    <w:rsid w:val="009D6140"/>
    <w:rsid w:val="009D6F34"/>
    <w:rsid w:val="009D74FC"/>
    <w:rsid w:val="009E0B63"/>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0C1C"/>
    <w:rsid w:val="00A023D1"/>
    <w:rsid w:val="00A03174"/>
    <w:rsid w:val="00A03858"/>
    <w:rsid w:val="00A0488C"/>
    <w:rsid w:val="00A055CA"/>
    <w:rsid w:val="00A06D4D"/>
    <w:rsid w:val="00A0757E"/>
    <w:rsid w:val="00A079D3"/>
    <w:rsid w:val="00A07C64"/>
    <w:rsid w:val="00A10268"/>
    <w:rsid w:val="00A10362"/>
    <w:rsid w:val="00A104F4"/>
    <w:rsid w:val="00A10E3A"/>
    <w:rsid w:val="00A10F60"/>
    <w:rsid w:val="00A11FD0"/>
    <w:rsid w:val="00A120AD"/>
    <w:rsid w:val="00A12BEC"/>
    <w:rsid w:val="00A12EFF"/>
    <w:rsid w:val="00A13080"/>
    <w:rsid w:val="00A134DE"/>
    <w:rsid w:val="00A13C4F"/>
    <w:rsid w:val="00A13D6B"/>
    <w:rsid w:val="00A155E0"/>
    <w:rsid w:val="00A15731"/>
    <w:rsid w:val="00A159B6"/>
    <w:rsid w:val="00A15D64"/>
    <w:rsid w:val="00A16287"/>
    <w:rsid w:val="00A20DB2"/>
    <w:rsid w:val="00A22500"/>
    <w:rsid w:val="00A23A07"/>
    <w:rsid w:val="00A2420D"/>
    <w:rsid w:val="00A24956"/>
    <w:rsid w:val="00A25084"/>
    <w:rsid w:val="00A2654C"/>
    <w:rsid w:val="00A26864"/>
    <w:rsid w:val="00A30167"/>
    <w:rsid w:val="00A304A0"/>
    <w:rsid w:val="00A30973"/>
    <w:rsid w:val="00A30AB2"/>
    <w:rsid w:val="00A30CEF"/>
    <w:rsid w:val="00A31090"/>
    <w:rsid w:val="00A311C0"/>
    <w:rsid w:val="00A313D1"/>
    <w:rsid w:val="00A31492"/>
    <w:rsid w:val="00A31F09"/>
    <w:rsid w:val="00A32130"/>
    <w:rsid w:val="00A3224A"/>
    <w:rsid w:val="00A3238B"/>
    <w:rsid w:val="00A33799"/>
    <w:rsid w:val="00A33EAA"/>
    <w:rsid w:val="00A34B42"/>
    <w:rsid w:val="00A36437"/>
    <w:rsid w:val="00A36479"/>
    <w:rsid w:val="00A36975"/>
    <w:rsid w:val="00A36C0C"/>
    <w:rsid w:val="00A36C44"/>
    <w:rsid w:val="00A40F1B"/>
    <w:rsid w:val="00A42C96"/>
    <w:rsid w:val="00A4319C"/>
    <w:rsid w:val="00A43CD0"/>
    <w:rsid w:val="00A43E39"/>
    <w:rsid w:val="00A44364"/>
    <w:rsid w:val="00A44AE0"/>
    <w:rsid w:val="00A44AF0"/>
    <w:rsid w:val="00A44E73"/>
    <w:rsid w:val="00A455D6"/>
    <w:rsid w:val="00A45A6F"/>
    <w:rsid w:val="00A45F43"/>
    <w:rsid w:val="00A46339"/>
    <w:rsid w:val="00A463AD"/>
    <w:rsid w:val="00A463CD"/>
    <w:rsid w:val="00A46C1F"/>
    <w:rsid w:val="00A46D19"/>
    <w:rsid w:val="00A4745F"/>
    <w:rsid w:val="00A47477"/>
    <w:rsid w:val="00A47560"/>
    <w:rsid w:val="00A50104"/>
    <w:rsid w:val="00A5163E"/>
    <w:rsid w:val="00A5188F"/>
    <w:rsid w:val="00A51A45"/>
    <w:rsid w:val="00A52CB7"/>
    <w:rsid w:val="00A52FA9"/>
    <w:rsid w:val="00A52FFE"/>
    <w:rsid w:val="00A53046"/>
    <w:rsid w:val="00A55B7E"/>
    <w:rsid w:val="00A55DAD"/>
    <w:rsid w:val="00A56BC1"/>
    <w:rsid w:val="00A5720F"/>
    <w:rsid w:val="00A5777E"/>
    <w:rsid w:val="00A57C55"/>
    <w:rsid w:val="00A60C2F"/>
    <w:rsid w:val="00A60D5F"/>
    <w:rsid w:val="00A621D0"/>
    <w:rsid w:val="00A63FB8"/>
    <w:rsid w:val="00A641EA"/>
    <w:rsid w:val="00A64B36"/>
    <w:rsid w:val="00A64D73"/>
    <w:rsid w:val="00A64ED2"/>
    <w:rsid w:val="00A65202"/>
    <w:rsid w:val="00A65273"/>
    <w:rsid w:val="00A66E5D"/>
    <w:rsid w:val="00A67415"/>
    <w:rsid w:val="00A67875"/>
    <w:rsid w:val="00A700AD"/>
    <w:rsid w:val="00A702A6"/>
    <w:rsid w:val="00A702EF"/>
    <w:rsid w:val="00A71BF4"/>
    <w:rsid w:val="00A723F2"/>
    <w:rsid w:val="00A724A7"/>
    <w:rsid w:val="00A7270B"/>
    <w:rsid w:val="00A727F9"/>
    <w:rsid w:val="00A739F8"/>
    <w:rsid w:val="00A73A65"/>
    <w:rsid w:val="00A74908"/>
    <w:rsid w:val="00A749F6"/>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5CD8"/>
    <w:rsid w:val="00A8638B"/>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983"/>
    <w:rsid w:val="00A97E17"/>
    <w:rsid w:val="00A97EB2"/>
    <w:rsid w:val="00AA038E"/>
    <w:rsid w:val="00AA06BD"/>
    <w:rsid w:val="00AA268D"/>
    <w:rsid w:val="00AA2748"/>
    <w:rsid w:val="00AA3184"/>
    <w:rsid w:val="00AA4000"/>
    <w:rsid w:val="00AA4F9C"/>
    <w:rsid w:val="00AA6526"/>
    <w:rsid w:val="00AA727C"/>
    <w:rsid w:val="00AB0151"/>
    <w:rsid w:val="00AB09DD"/>
    <w:rsid w:val="00AB1331"/>
    <w:rsid w:val="00AB136F"/>
    <w:rsid w:val="00AB1A5B"/>
    <w:rsid w:val="00AB2475"/>
    <w:rsid w:val="00AB2835"/>
    <w:rsid w:val="00AB34A3"/>
    <w:rsid w:val="00AB360D"/>
    <w:rsid w:val="00AB3C1A"/>
    <w:rsid w:val="00AB451C"/>
    <w:rsid w:val="00AB584A"/>
    <w:rsid w:val="00AB58F3"/>
    <w:rsid w:val="00AB5AF4"/>
    <w:rsid w:val="00AB5E52"/>
    <w:rsid w:val="00AB6260"/>
    <w:rsid w:val="00AB7B1A"/>
    <w:rsid w:val="00AB7B33"/>
    <w:rsid w:val="00AC0AF4"/>
    <w:rsid w:val="00AC0FAB"/>
    <w:rsid w:val="00AC1FBE"/>
    <w:rsid w:val="00AC200C"/>
    <w:rsid w:val="00AC2833"/>
    <w:rsid w:val="00AC3B34"/>
    <w:rsid w:val="00AC3BDA"/>
    <w:rsid w:val="00AC4E0D"/>
    <w:rsid w:val="00AC56E0"/>
    <w:rsid w:val="00AC7F6D"/>
    <w:rsid w:val="00AD02DA"/>
    <w:rsid w:val="00AD0793"/>
    <w:rsid w:val="00AD0D51"/>
    <w:rsid w:val="00AD0FB6"/>
    <w:rsid w:val="00AD20C7"/>
    <w:rsid w:val="00AD20F6"/>
    <w:rsid w:val="00AD2285"/>
    <w:rsid w:val="00AD2821"/>
    <w:rsid w:val="00AD300E"/>
    <w:rsid w:val="00AD3A04"/>
    <w:rsid w:val="00AD42AF"/>
    <w:rsid w:val="00AD530A"/>
    <w:rsid w:val="00AD6604"/>
    <w:rsid w:val="00AD6C29"/>
    <w:rsid w:val="00AD6F57"/>
    <w:rsid w:val="00AD7A50"/>
    <w:rsid w:val="00AE0504"/>
    <w:rsid w:val="00AE0F17"/>
    <w:rsid w:val="00AE104B"/>
    <w:rsid w:val="00AE1219"/>
    <w:rsid w:val="00AE2C46"/>
    <w:rsid w:val="00AE3F13"/>
    <w:rsid w:val="00AE3F62"/>
    <w:rsid w:val="00AE5CD9"/>
    <w:rsid w:val="00AE61E4"/>
    <w:rsid w:val="00AE61EF"/>
    <w:rsid w:val="00AE62C0"/>
    <w:rsid w:val="00AE6F11"/>
    <w:rsid w:val="00AE7437"/>
    <w:rsid w:val="00AE79D9"/>
    <w:rsid w:val="00AF05D4"/>
    <w:rsid w:val="00AF0F61"/>
    <w:rsid w:val="00AF19DF"/>
    <w:rsid w:val="00AF1CBC"/>
    <w:rsid w:val="00AF1F4D"/>
    <w:rsid w:val="00AF2292"/>
    <w:rsid w:val="00AF3F33"/>
    <w:rsid w:val="00AF49D2"/>
    <w:rsid w:val="00AF4BD3"/>
    <w:rsid w:val="00AF5878"/>
    <w:rsid w:val="00AF5C48"/>
    <w:rsid w:val="00AF74F0"/>
    <w:rsid w:val="00B000CD"/>
    <w:rsid w:val="00B00850"/>
    <w:rsid w:val="00B00FFB"/>
    <w:rsid w:val="00B01A58"/>
    <w:rsid w:val="00B01F3B"/>
    <w:rsid w:val="00B0284F"/>
    <w:rsid w:val="00B02EF2"/>
    <w:rsid w:val="00B0440A"/>
    <w:rsid w:val="00B04BFA"/>
    <w:rsid w:val="00B04E47"/>
    <w:rsid w:val="00B07784"/>
    <w:rsid w:val="00B07D27"/>
    <w:rsid w:val="00B10C0B"/>
    <w:rsid w:val="00B118F6"/>
    <w:rsid w:val="00B11A06"/>
    <w:rsid w:val="00B11FA4"/>
    <w:rsid w:val="00B12A33"/>
    <w:rsid w:val="00B13D1E"/>
    <w:rsid w:val="00B15018"/>
    <w:rsid w:val="00B15071"/>
    <w:rsid w:val="00B15A95"/>
    <w:rsid w:val="00B167E5"/>
    <w:rsid w:val="00B1681D"/>
    <w:rsid w:val="00B17296"/>
    <w:rsid w:val="00B17497"/>
    <w:rsid w:val="00B174BE"/>
    <w:rsid w:val="00B176E9"/>
    <w:rsid w:val="00B17D26"/>
    <w:rsid w:val="00B20898"/>
    <w:rsid w:val="00B20B4F"/>
    <w:rsid w:val="00B20B88"/>
    <w:rsid w:val="00B214B5"/>
    <w:rsid w:val="00B21616"/>
    <w:rsid w:val="00B21C84"/>
    <w:rsid w:val="00B21E9F"/>
    <w:rsid w:val="00B226AB"/>
    <w:rsid w:val="00B2278B"/>
    <w:rsid w:val="00B239E2"/>
    <w:rsid w:val="00B23C12"/>
    <w:rsid w:val="00B24070"/>
    <w:rsid w:val="00B24B0A"/>
    <w:rsid w:val="00B2566E"/>
    <w:rsid w:val="00B25CCD"/>
    <w:rsid w:val="00B26ED0"/>
    <w:rsid w:val="00B270B0"/>
    <w:rsid w:val="00B27955"/>
    <w:rsid w:val="00B30012"/>
    <w:rsid w:val="00B30A31"/>
    <w:rsid w:val="00B31A5C"/>
    <w:rsid w:val="00B31A64"/>
    <w:rsid w:val="00B32A23"/>
    <w:rsid w:val="00B334B5"/>
    <w:rsid w:val="00B34120"/>
    <w:rsid w:val="00B3425A"/>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4DD5"/>
    <w:rsid w:val="00B4514D"/>
    <w:rsid w:val="00B45A51"/>
    <w:rsid w:val="00B45F96"/>
    <w:rsid w:val="00B4708F"/>
    <w:rsid w:val="00B473AA"/>
    <w:rsid w:val="00B506A1"/>
    <w:rsid w:val="00B52203"/>
    <w:rsid w:val="00B52346"/>
    <w:rsid w:val="00B5241E"/>
    <w:rsid w:val="00B525D5"/>
    <w:rsid w:val="00B52A2F"/>
    <w:rsid w:val="00B52AF3"/>
    <w:rsid w:val="00B531B7"/>
    <w:rsid w:val="00B540C7"/>
    <w:rsid w:val="00B546ED"/>
    <w:rsid w:val="00B54BD5"/>
    <w:rsid w:val="00B54FF3"/>
    <w:rsid w:val="00B565AE"/>
    <w:rsid w:val="00B57504"/>
    <w:rsid w:val="00B57B25"/>
    <w:rsid w:val="00B57FCD"/>
    <w:rsid w:val="00B608FB"/>
    <w:rsid w:val="00B60BD7"/>
    <w:rsid w:val="00B60D9E"/>
    <w:rsid w:val="00B61447"/>
    <w:rsid w:val="00B615F0"/>
    <w:rsid w:val="00B61928"/>
    <w:rsid w:val="00B6243A"/>
    <w:rsid w:val="00B63222"/>
    <w:rsid w:val="00B63793"/>
    <w:rsid w:val="00B647FB"/>
    <w:rsid w:val="00B64B00"/>
    <w:rsid w:val="00B64C8E"/>
    <w:rsid w:val="00B650AD"/>
    <w:rsid w:val="00B650F3"/>
    <w:rsid w:val="00B658C6"/>
    <w:rsid w:val="00B65A4E"/>
    <w:rsid w:val="00B65C28"/>
    <w:rsid w:val="00B708E4"/>
    <w:rsid w:val="00B70E9E"/>
    <w:rsid w:val="00B717CA"/>
    <w:rsid w:val="00B72354"/>
    <w:rsid w:val="00B729DC"/>
    <w:rsid w:val="00B731EA"/>
    <w:rsid w:val="00B732E8"/>
    <w:rsid w:val="00B7380B"/>
    <w:rsid w:val="00B745E7"/>
    <w:rsid w:val="00B749FA"/>
    <w:rsid w:val="00B74A10"/>
    <w:rsid w:val="00B75632"/>
    <w:rsid w:val="00B75F7D"/>
    <w:rsid w:val="00B7689A"/>
    <w:rsid w:val="00B770ED"/>
    <w:rsid w:val="00B773F7"/>
    <w:rsid w:val="00B77A36"/>
    <w:rsid w:val="00B77D92"/>
    <w:rsid w:val="00B77F94"/>
    <w:rsid w:val="00B807B3"/>
    <w:rsid w:val="00B816CF"/>
    <w:rsid w:val="00B81A4A"/>
    <w:rsid w:val="00B827B7"/>
    <w:rsid w:val="00B82A00"/>
    <w:rsid w:val="00B82CFC"/>
    <w:rsid w:val="00B83208"/>
    <w:rsid w:val="00B838C9"/>
    <w:rsid w:val="00B846E9"/>
    <w:rsid w:val="00B84763"/>
    <w:rsid w:val="00B84FAB"/>
    <w:rsid w:val="00B85A65"/>
    <w:rsid w:val="00B85ED2"/>
    <w:rsid w:val="00B860DB"/>
    <w:rsid w:val="00B87418"/>
    <w:rsid w:val="00B87851"/>
    <w:rsid w:val="00B87D05"/>
    <w:rsid w:val="00B9201A"/>
    <w:rsid w:val="00B922B4"/>
    <w:rsid w:val="00B9254A"/>
    <w:rsid w:val="00B92B2E"/>
    <w:rsid w:val="00B941FC"/>
    <w:rsid w:val="00B9421D"/>
    <w:rsid w:val="00B9442E"/>
    <w:rsid w:val="00B94E6D"/>
    <w:rsid w:val="00B958BC"/>
    <w:rsid w:val="00B95EC0"/>
    <w:rsid w:val="00B96676"/>
    <w:rsid w:val="00B96918"/>
    <w:rsid w:val="00B969C3"/>
    <w:rsid w:val="00B96EEF"/>
    <w:rsid w:val="00B973FB"/>
    <w:rsid w:val="00B97C92"/>
    <w:rsid w:val="00B97FBC"/>
    <w:rsid w:val="00BA014D"/>
    <w:rsid w:val="00BA1139"/>
    <w:rsid w:val="00BA12FF"/>
    <w:rsid w:val="00BA25EF"/>
    <w:rsid w:val="00BA3630"/>
    <w:rsid w:val="00BA3AEA"/>
    <w:rsid w:val="00BA433E"/>
    <w:rsid w:val="00BA46A4"/>
    <w:rsid w:val="00BA4A89"/>
    <w:rsid w:val="00BA55D6"/>
    <w:rsid w:val="00BA5BFE"/>
    <w:rsid w:val="00BA5D1C"/>
    <w:rsid w:val="00BA5DD5"/>
    <w:rsid w:val="00BA7191"/>
    <w:rsid w:val="00BB06AE"/>
    <w:rsid w:val="00BB16D1"/>
    <w:rsid w:val="00BB2564"/>
    <w:rsid w:val="00BB269C"/>
    <w:rsid w:val="00BB42C7"/>
    <w:rsid w:val="00BB4542"/>
    <w:rsid w:val="00BB4BC4"/>
    <w:rsid w:val="00BB4BEF"/>
    <w:rsid w:val="00BB4EDF"/>
    <w:rsid w:val="00BB62E9"/>
    <w:rsid w:val="00BB67AD"/>
    <w:rsid w:val="00BC1ADE"/>
    <w:rsid w:val="00BC2024"/>
    <w:rsid w:val="00BC2BBC"/>
    <w:rsid w:val="00BC3CF0"/>
    <w:rsid w:val="00BC4200"/>
    <w:rsid w:val="00BC43DE"/>
    <w:rsid w:val="00BC45FB"/>
    <w:rsid w:val="00BC4F52"/>
    <w:rsid w:val="00BC5140"/>
    <w:rsid w:val="00BC51DC"/>
    <w:rsid w:val="00BC57A6"/>
    <w:rsid w:val="00BC5B06"/>
    <w:rsid w:val="00BC5D66"/>
    <w:rsid w:val="00BC6A2F"/>
    <w:rsid w:val="00BC6F63"/>
    <w:rsid w:val="00BC7B21"/>
    <w:rsid w:val="00BD0D11"/>
    <w:rsid w:val="00BD188E"/>
    <w:rsid w:val="00BD21C9"/>
    <w:rsid w:val="00BD25EB"/>
    <w:rsid w:val="00BD312E"/>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1725"/>
    <w:rsid w:val="00BE22FC"/>
    <w:rsid w:val="00BE290C"/>
    <w:rsid w:val="00BE2B13"/>
    <w:rsid w:val="00BE31B1"/>
    <w:rsid w:val="00BE4843"/>
    <w:rsid w:val="00BE4A16"/>
    <w:rsid w:val="00BE4A46"/>
    <w:rsid w:val="00BE4C21"/>
    <w:rsid w:val="00BE6642"/>
    <w:rsid w:val="00BE764D"/>
    <w:rsid w:val="00BE7852"/>
    <w:rsid w:val="00BE7BA6"/>
    <w:rsid w:val="00BF0050"/>
    <w:rsid w:val="00BF1282"/>
    <w:rsid w:val="00BF366D"/>
    <w:rsid w:val="00BF3FDC"/>
    <w:rsid w:val="00BF4EBE"/>
    <w:rsid w:val="00BF5826"/>
    <w:rsid w:val="00BF5E77"/>
    <w:rsid w:val="00BF661B"/>
    <w:rsid w:val="00BF6BA6"/>
    <w:rsid w:val="00BF6FAA"/>
    <w:rsid w:val="00BF729C"/>
    <w:rsid w:val="00BF7EDC"/>
    <w:rsid w:val="00C024C9"/>
    <w:rsid w:val="00C024E3"/>
    <w:rsid w:val="00C02721"/>
    <w:rsid w:val="00C02B31"/>
    <w:rsid w:val="00C03142"/>
    <w:rsid w:val="00C04FA3"/>
    <w:rsid w:val="00C0507E"/>
    <w:rsid w:val="00C06345"/>
    <w:rsid w:val="00C107D1"/>
    <w:rsid w:val="00C109E4"/>
    <w:rsid w:val="00C10CAD"/>
    <w:rsid w:val="00C1167E"/>
    <w:rsid w:val="00C11CAF"/>
    <w:rsid w:val="00C12D7B"/>
    <w:rsid w:val="00C13CFD"/>
    <w:rsid w:val="00C1414A"/>
    <w:rsid w:val="00C143CC"/>
    <w:rsid w:val="00C1454B"/>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4B7"/>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5F9E"/>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694"/>
    <w:rsid w:val="00C55AB6"/>
    <w:rsid w:val="00C55E31"/>
    <w:rsid w:val="00C56F11"/>
    <w:rsid w:val="00C57965"/>
    <w:rsid w:val="00C57996"/>
    <w:rsid w:val="00C57DBB"/>
    <w:rsid w:val="00C6056E"/>
    <w:rsid w:val="00C613DE"/>
    <w:rsid w:val="00C6416E"/>
    <w:rsid w:val="00C6437E"/>
    <w:rsid w:val="00C65820"/>
    <w:rsid w:val="00C66E9C"/>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4F83"/>
    <w:rsid w:val="00C75315"/>
    <w:rsid w:val="00C7569E"/>
    <w:rsid w:val="00C762BB"/>
    <w:rsid w:val="00C77076"/>
    <w:rsid w:val="00C7749D"/>
    <w:rsid w:val="00C778E1"/>
    <w:rsid w:val="00C832AF"/>
    <w:rsid w:val="00C83374"/>
    <w:rsid w:val="00C833A9"/>
    <w:rsid w:val="00C83A5B"/>
    <w:rsid w:val="00C83C38"/>
    <w:rsid w:val="00C85CD7"/>
    <w:rsid w:val="00C86E80"/>
    <w:rsid w:val="00C903C1"/>
    <w:rsid w:val="00C90432"/>
    <w:rsid w:val="00C904D0"/>
    <w:rsid w:val="00C90E04"/>
    <w:rsid w:val="00C91B00"/>
    <w:rsid w:val="00C91D63"/>
    <w:rsid w:val="00C9277A"/>
    <w:rsid w:val="00C929DF"/>
    <w:rsid w:val="00C940E9"/>
    <w:rsid w:val="00C945AE"/>
    <w:rsid w:val="00C95493"/>
    <w:rsid w:val="00C956ED"/>
    <w:rsid w:val="00C967CC"/>
    <w:rsid w:val="00C973B8"/>
    <w:rsid w:val="00CA04D4"/>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647"/>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3DF"/>
    <w:rsid w:val="00CC7A7A"/>
    <w:rsid w:val="00CD034B"/>
    <w:rsid w:val="00CD035A"/>
    <w:rsid w:val="00CD0979"/>
    <w:rsid w:val="00CD09FF"/>
    <w:rsid w:val="00CD0BE6"/>
    <w:rsid w:val="00CD0CD1"/>
    <w:rsid w:val="00CD1688"/>
    <w:rsid w:val="00CD186A"/>
    <w:rsid w:val="00CD195E"/>
    <w:rsid w:val="00CD25B5"/>
    <w:rsid w:val="00CD2727"/>
    <w:rsid w:val="00CD2A43"/>
    <w:rsid w:val="00CD3D81"/>
    <w:rsid w:val="00CD4B4F"/>
    <w:rsid w:val="00CD4EEE"/>
    <w:rsid w:val="00CD6714"/>
    <w:rsid w:val="00CD6DB4"/>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CD4"/>
    <w:rsid w:val="00D01D3D"/>
    <w:rsid w:val="00D03A01"/>
    <w:rsid w:val="00D03AE5"/>
    <w:rsid w:val="00D03BA5"/>
    <w:rsid w:val="00D0406C"/>
    <w:rsid w:val="00D0446D"/>
    <w:rsid w:val="00D049F1"/>
    <w:rsid w:val="00D059B9"/>
    <w:rsid w:val="00D059DB"/>
    <w:rsid w:val="00D05DCB"/>
    <w:rsid w:val="00D06EE4"/>
    <w:rsid w:val="00D07455"/>
    <w:rsid w:val="00D0796B"/>
    <w:rsid w:val="00D07FB2"/>
    <w:rsid w:val="00D10529"/>
    <w:rsid w:val="00D11538"/>
    <w:rsid w:val="00D119D9"/>
    <w:rsid w:val="00D11C8C"/>
    <w:rsid w:val="00D125C3"/>
    <w:rsid w:val="00D12A52"/>
    <w:rsid w:val="00D12E17"/>
    <w:rsid w:val="00D13290"/>
    <w:rsid w:val="00D1391B"/>
    <w:rsid w:val="00D13F8B"/>
    <w:rsid w:val="00D148B1"/>
    <w:rsid w:val="00D15125"/>
    <w:rsid w:val="00D15468"/>
    <w:rsid w:val="00D1556C"/>
    <w:rsid w:val="00D157BF"/>
    <w:rsid w:val="00D16CEF"/>
    <w:rsid w:val="00D179F0"/>
    <w:rsid w:val="00D21194"/>
    <w:rsid w:val="00D21784"/>
    <w:rsid w:val="00D223E8"/>
    <w:rsid w:val="00D22EA0"/>
    <w:rsid w:val="00D23EA9"/>
    <w:rsid w:val="00D24B4A"/>
    <w:rsid w:val="00D24FA2"/>
    <w:rsid w:val="00D25A91"/>
    <w:rsid w:val="00D262CD"/>
    <w:rsid w:val="00D26D85"/>
    <w:rsid w:val="00D27F24"/>
    <w:rsid w:val="00D3027A"/>
    <w:rsid w:val="00D30811"/>
    <w:rsid w:val="00D30A31"/>
    <w:rsid w:val="00D30BAD"/>
    <w:rsid w:val="00D3172D"/>
    <w:rsid w:val="00D3241B"/>
    <w:rsid w:val="00D32510"/>
    <w:rsid w:val="00D327D9"/>
    <w:rsid w:val="00D332DF"/>
    <w:rsid w:val="00D34354"/>
    <w:rsid w:val="00D366F5"/>
    <w:rsid w:val="00D36A5F"/>
    <w:rsid w:val="00D37241"/>
    <w:rsid w:val="00D37873"/>
    <w:rsid w:val="00D40639"/>
    <w:rsid w:val="00D40A37"/>
    <w:rsid w:val="00D4142A"/>
    <w:rsid w:val="00D41607"/>
    <w:rsid w:val="00D41B1C"/>
    <w:rsid w:val="00D43578"/>
    <w:rsid w:val="00D4364A"/>
    <w:rsid w:val="00D44A5D"/>
    <w:rsid w:val="00D5291E"/>
    <w:rsid w:val="00D530BB"/>
    <w:rsid w:val="00D532B2"/>
    <w:rsid w:val="00D539DB"/>
    <w:rsid w:val="00D53C22"/>
    <w:rsid w:val="00D540C0"/>
    <w:rsid w:val="00D557CE"/>
    <w:rsid w:val="00D55863"/>
    <w:rsid w:val="00D5635F"/>
    <w:rsid w:val="00D56B9E"/>
    <w:rsid w:val="00D601EB"/>
    <w:rsid w:val="00D609E8"/>
    <w:rsid w:val="00D611AC"/>
    <w:rsid w:val="00D6194F"/>
    <w:rsid w:val="00D62905"/>
    <w:rsid w:val="00D634B9"/>
    <w:rsid w:val="00D63619"/>
    <w:rsid w:val="00D63C0F"/>
    <w:rsid w:val="00D63D6C"/>
    <w:rsid w:val="00D64141"/>
    <w:rsid w:val="00D64925"/>
    <w:rsid w:val="00D65A5D"/>
    <w:rsid w:val="00D66133"/>
    <w:rsid w:val="00D668A0"/>
    <w:rsid w:val="00D67043"/>
    <w:rsid w:val="00D67078"/>
    <w:rsid w:val="00D67D35"/>
    <w:rsid w:val="00D7008E"/>
    <w:rsid w:val="00D717EB"/>
    <w:rsid w:val="00D73353"/>
    <w:rsid w:val="00D73506"/>
    <w:rsid w:val="00D752A4"/>
    <w:rsid w:val="00D75B5A"/>
    <w:rsid w:val="00D75FBB"/>
    <w:rsid w:val="00D763C9"/>
    <w:rsid w:val="00D76CA5"/>
    <w:rsid w:val="00D77612"/>
    <w:rsid w:val="00D81AC4"/>
    <w:rsid w:val="00D81FFB"/>
    <w:rsid w:val="00D8342D"/>
    <w:rsid w:val="00D83F23"/>
    <w:rsid w:val="00D844CB"/>
    <w:rsid w:val="00D8479A"/>
    <w:rsid w:val="00D85434"/>
    <w:rsid w:val="00D85DE4"/>
    <w:rsid w:val="00D8614D"/>
    <w:rsid w:val="00D867C8"/>
    <w:rsid w:val="00D86902"/>
    <w:rsid w:val="00D8767B"/>
    <w:rsid w:val="00D90106"/>
    <w:rsid w:val="00D91A46"/>
    <w:rsid w:val="00D91B26"/>
    <w:rsid w:val="00D92744"/>
    <w:rsid w:val="00D9277D"/>
    <w:rsid w:val="00D92B9F"/>
    <w:rsid w:val="00D92CEC"/>
    <w:rsid w:val="00D92FDA"/>
    <w:rsid w:val="00D94680"/>
    <w:rsid w:val="00D94A94"/>
    <w:rsid w:val="00D94BF7"/>
    <w:rsid w:val="00D9601E"/>
    <w:rsid w:val="00D96360"/>
    <w:rsid w:val="00D96373"/>
    <w:rsid w:val="00D9692B"/>
    <w:rsid w:val="00D96963"/>
    <w:rsid w:val="00D972A9"/>
    <w:rsid w:val="00D974A8"/>
    <w:rsid w:val="00D9761D"/>
    <w:rsid w:val="00D977A3"/>
    <w:rsid w:val="00D978EA"/>
    <w:rsid w:val="00DA18E9"/>
    <w:rsid w:val="00DA1DCB"/>
    <w:rsid w:val="00DA1E33"/>
    <w:rsid w:val="00DA1FA2"/>
    <w:rsid w:val="00DA1FB2"/>
    <w:rsid w:val="00DA1FC7"/>
    <w:rsid w:val="00DA4159"/>
    <w:rsid w:val="00DA4A0D"/>
    <w:rsid w:val="00DA651B"/>
    <w:rsid w:val="00DA664E"/>
    <w:rsid w:val="00DA7136"/>
    <w:rsid w:val="00DA75A2"/>
    <w:rsid w:val="00DB07FB"/>
    <w:rsid w:val="00DB0AC7"/>
    <w:rsid w:val="00DB1161"/>
    <w:rsid w:val="00DB1E18"/>
    <w:rsid w:val="00DB2D2C"/>
    <w:rsid w:val="00DB2DB8"/>
    <w:rsid w:val="00DB403E"/>
    <w:rsid w:val="00DB43BE"/>
    <w:rsid w:val="00DB44AC"/>
    <w:rsid w:val="00DB4DA0"/>
    <w:rsid w:val="00DB585E"/>
    <w:rsid w:val="00DB6E93"/>
    <w:rsid w:val="00DC0970"/>
    <w:rsid w:val="00DC20D4"/>
    <w:rsid w:val="00DC25CF"/>
    <w:rsid w:val="00DC2A63"/>
    <w:rsid w:val="00DC30B6"/>
    <w:rsid w:val="00DC4B03"/>
    <w:rsid w:val="00DC5A9A"/>
    <w:rsid w:val="00DC63BA"/>
    <w:rsid w:val="00DC6F55"/>
    <w:rsid w:val="00DC7521"/>
    <w:rsid w:val="00DC762C"/>
    <w:rsid w:val="00DC79C0"/>
    <w:rsid w:val="00DC7C02"/>
    <w:rsid w:val="00DC7C64"/>
    <w:rsid w:val="00DC7DF0"/>
    <w:rsid w:val="00DD003E"/>
    <w:rsid w:val="00DD00E3"/>
    <w:rsid w:val="00DD04CC"/>
    <w:rsid w:val="00DD07D9"/>
    <w:rsid w:val="00DD0B81"/>
    <w:rsid w:val="00DD0FBB"/>
    <w:rsid w:val="00DD13D1"/>
    <w:rsid w:val="00DD1B89"/>
    <w:rsid w:val="00DD2F90"/>
    <w:rsid w:val="00DD3242"/>
    <w:rsid w:val="00DD3551"/>
    <w:rsid w:val="00DD36E9"/>
    <w:rsid w:val="00DD3D7E"/>
    <w:rsid w:val="00DD3FD6"/>
    <w:rsid w:val="00DD4054"/>
    <w:rsid w:val="00DD4069"/>
    <w:rsid w:val="00DD40F2"/>
    <w:rsid w:val="00DD4694"/>
    <w:rsid w:val="00DD4BAB"/>
    <w:rsid w:val="00DD592D"/>
    <w:rsid w:val="00DD5DC1"/>
    <w:rsid w:val="00DD693C"/>
    <w:rsid w:val="00DD6E55"/>
    <w:rsid w:val="00DD773F"/>
    <w:rsid w:val="00DE005F"/>
    <w:rsid w:val="00DE042C"/>
    <w:rsid w:val="00DE0CF1"/>
    <w:rsid w:val="00DE0F02"/>
    <w:rsid w:val="00DE133C"/>
    <w:rsid w:val="00DE1A6E"/>
    <w:rsid w:val="00DE23F2"/>
    <w:rsid w:val="00DE2B39"/>
    <w:rsid w:val="00DE361D"/>
    <w:rsid w:val="00DE39AF"/>
    <w:rsid w:val="00DE4FEE"/>
    <w:rsid w:val="00DE524A"/>
    <w:rsid w:val="00DE5E9D"/>
    <w:rsid w:val="00DE6F37"/>
    <w:rsid w:val="00DE7FDE"/>
    <w:rsid w:val="00DF06FD"/>
    <w:rsid w:val="00DF0A93"/>
    <w:rsid w:val="00DF1FA1"/>
    <w:rsid w:val="00DF276A"/>
    <w:rsid w:val="00DF2918"/>
    <w:rsid w:val="00DF2E20"/>
    <w:rsid w:val="00DF370E"/>
    <w:rsid w:val="00DF4E5C"/>
    <w:rsid w:val="00DF4F7B"/>
    <w:rsid w:val="00DF5F11"/>
    <w:rsid w:val="00DF627B"/>
    <w:rsid w:val="00DF64A0"/>
    <w:rsid w:val="00DF671E"/>
    <w:rsid w:val="00DF674C"/>
    <w:rsid w:val="00DF6DE6"/>
    <w:rsid w:val="00DF78EF"/>
    <w:rsid w:val="00DF7B52"/>
    <w:rsid w:val="00DF7CD8"/>
    <w:rsid w:val="00E0020C"/>
    <w:rsid w:val="00E018B7"/>
    <w:rsid w:val="00E0194E"/>
    <w:rsid w:val="00E03C0D"/>
    <w:rsid w:val="00E03F1F"/>
    <w:rsid w:val="00E04076"/>
    <w:rsid w:val="00E0474E"/>
    <w:rsid w:val="00E05C2E"/>
    <w:rsid w:val="00E06310"/>
    <w:rsid w:val="00E103ED"/>
    <w:rsid w:val="00E103FF"/>
    <w:rsid w:val="00E10A07"/>
    <w:rsid w:val="00E10E13"/>
    <w:rsid w:val="00E1133A"/>
    <w:rsid w:val="00E11FB2"/>
    <w:rsid w:val="00E1212F"/>
    <w:rsid w:val="00E12409"/>
    <w:rsid w:val="00E12F50"/>
    <w:rsid w:val="00E1457E"/>
    <w:rsid w:val="00E145B4"/>
    <w:rsid w:val="00E156B4"/>
    <w:rsid w:val="00E15745"/>
    <w:rsid w:val="00E15F74"/>
    <w:rsid w:val="00E16182"/>
    <w:rsid w:val="00E173DF"/>
    <w:rsid w:val="00E1775E"/>
    <w:rsid w:val="00E20B9F"/>
    <w:rsid w:val="00E20CC0"/>
    <w:rsid w:val="00E21222"/>
    <w:rsid w:val="00E21962"/>
    <w:rsid w:val="00E21B21"/>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3EE"/>
    <w:rsid w:val="00E375A7"/>
    <w:rsid w:val="00E37691"/>
    <w:rsid w:val="00E377DA"/>
    <w:rsid w:val="00E3798E"/>
    <w:rsid w:val="00E37FCD"/>
    <w:rsid w:val="00E42747"/>
    <w:rsid w:val="00E42820"/>
    <w:rsid w:val="00E4317B"/>
    <w:rsid w:val="00E432E2"/>
    <w:rsid w:val="00E43BE5"/>
    <w:rsid w:val="00E43DF4"/>
    <w:rsid w:val="00E4450C"/>
    <w:rsid w:val="00E450E2"/>
    <w:rsid w:val="00E45739"/>
    <w:rsid w:val="00E46BF8"/>
    <w:rsid w:val="00E46C0E"/>
    <w:rsid w:val="00E502C5"/>
    <w:rsid w:val="00E50457"/>
    <w:rsid w:val="00E5056F"/>
    <w:rsid w:val="00E50CC7"/>
    <w:rsid w:val="00E5391A"/>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13B"/>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44B"/>
    <w:rsid w:val="00E75992"/>
    <w:rsid w:val="00E75E8F"/>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5757"/>
    <w:rsid w:val="00E869E5"/>
    <w:rsid w:val="00E86C25"/>
    <w:rsid w:val="00E876C2"/>
    <w:rsid w:val="00E8793D"/>
    <w:rsid w:val="00E87D9F"/>
    <w:rsid w:val="00E87FE9"/>
    <w:rsid w:val="00E91395"/>
    <w:rsid w:val="00E91623"/>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B33"/>
    <w:rsid w:val="00EB0D09"/>
    <w:rsid w:val="00EB143E"/>
    <w:rsid w:val="00EB1697"/>
    <w:rsid w:val="00EB20AC"/>
    <w:rsid w:val="00EB27D9"/>
    <w:rsid w:val="00EB2E8C"/>
    <w:rsid w:val="00EB3416"/>
    <w:rsid w:val="00EB36E3"/>
    <w:rsid w:val="00EB515D"/>
    <w:rsid w:val="00EB5172"/>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7EA"/>
    <w:rsid w:val="00ED0B5C"/>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2F1F"/>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7F4"/>
    <w:rsid w:val="00F10B13"/>
    <w:rsid w:val="00F10E0B"/>
    <w:rsid w:val="00F110ED"/>
    <w:rsid w:val="00F11816"/>
    <w:rsid w:val="00F12859"/>
    <w:rsid w:val="00F14189"/>
    <w:rsid w:val="00F14C89"/>
    <w:rsid w:val="00F15357"/>
    <w:rsid w:val="00F156C5"/>
    <w:rsid w:val="00F165FC"/>
    <w:rsid w:val="00F16CE5"/>
    <w:rsid w:val="00F17801"/>
    <w:rsid w:val="00F2056F"/>
    <w:rsid w:val="00F22376"/>
    <w:rsid w:val="00F22422"/>
    <w:rsid w:val="00F23B33"/>
    <w:rsid w:val="00F24BDA"/>
    <w:rsid w:val="00F25085"/>
    <w:rsid w:val="00F25978"/>
    <w:rsid w:val="00F2658D"/>
    <w:rsid w:val="00F267D7"/>
    <w:rsid w:val="00F273D3"/>
    <w:rsid w:val="00F27B69"/>
    <w:rsid w:val="00F27FEC"/>
    <w:rsid w:val="00F306A3"/>
    <w:rsid w:val="00F323D9"/>
    <w:rsid w:val="00F333B7"/>
    <w:rsid w:val="00F33F5F"/>
    <w:rsid w:val="00F33F6E"/>
    <w:rsid w:val="00F34194"/>
    <w:rsid w:val="00F34243"/>
    <w:rsid w:val="00F343FF"/>
    <w:rsid w:val="00F34466"/>
    <w:rsid w:val="00F34FC8"/>
    <w:rsid w:val="00F35990"/>
    <w:rsid w:val="00F35C35"/>
    <w:rsid w:val="00F36075"/>
    <w:rsid w:val="00F3674F"/>
    <w:rsid w:val="00F368CE"/>
    <w:rsid w:val="00F36C86"/>
    <w:rsid w:val="00F379A6"/>
    <w:rsid w:val="00F40168"/>
    <w:rsid w:val="00F4077D"/>
    <w:rsid w:val="00F409E1"/>
    <w:rsid w:val="00F410B5"/>
    <w:rsid w:val="00F41539"/>
    <w:rsid w:val="00F41CE1"/>
    <w:rsid w:val="00F43768"/>
    <w:rsid w:val="00F43E01"/>
    <w:rsid w:val="00F458FF"/>
    <w:rsid w:val="00F464F7"/>
    <w:rsid w:val="00F46C62"/>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27E"/>
    <w:rsid w:val="00F653E6"/>
    <w:rsid w:val="00F656DB"/>
    <w:rsid w:val="00F65E06"/>
    <w:rsid w:val="00F67254"/>
    <w:rsid w:val="00F6732C"/>
    <w:rsid w:val="00F67F5F"/>
    <w:rsid w:val="00F70AB0"/>
    <w:rsid w:val="00F70D8F"/>
    <w:rsid w:val="00F71BF2"/>
    <w:rsid w:val="00F71FD0"/>
    <w:rsid w:val="00F725CD"/>
    <w:rsid w:val="00F7275C"/>
    <w:rsid w:val="00F7279A"/>
    <w:rsid w:val="00F73330"/>
    <w:rsid w:val="00F733F9"/>
    <w:rsid w:val="00F73D16"/>
    <w:rsid w:val="00F73D39"/>
    <w:rsid w:val="00F741C2"/>
    <w:rsid w:val="00F75FEB"/>
    <w:rsid w:val="00F7625A"/>
    <w:rsid w:val="00F764FF"/>
    <w:rsid w:val="00F76D35"/>
    <w:rsid w:val="00F805B3"/>
    <w:rsid w:val="00F8120F"/>
    <w:rsid w:val="00F82E36"/>
    <w:rsid w:val="00F837B2"/>
    <w:rsid w:val="00F861EF"/>
    <w:rsid w:val="00F86626"/>
    <w:rsid w:val="00F86721"/>
    <w:rsid w:val="00F87D25"/>
    <w:rsid w:val="00F902F7"/>
    <w:rsid w:val="00F90DC5"/>
    <w:rsid w:val="00F91583"/>
    <w:rsid w:val="00F91752"/>
    <w:rsid w:val="00F91E39"/>
    <w:rsid w:val="00F92356"/>
    <w:rsid w:val="00F92650"/>
    <w:rsid w:val="00F92E78"/>
    <w:rsid w:val="00F9306D"/>
    <w:rsid w:val="00F94AB8"/>
    <w:rsid w:val="00F95C0A"/>
    <w:rsid w:val="00F96941"/>
    <w:rsid w:val="00F96F81"/>
    <w:rsid w:val="00F9741D"/>
    <w:rsid w:val="00F97515"/>
    <w:rsid w:val="00F979EB"/>
    <w:rsid w:val="00F97A1F"/>
    <w:rsid w:val="00F97EE4"/>
    <w:rsid w:val="00FA11A0"/>
    <w:rsid w:val="00FA1ED7"/>
    <w:rsid w:val="00FA290E"/>
    <w:rsid w:val="00FA459A"/>
    <w:rsid w:val="00FA629E"/>
    <w:rsid w:val="00FA69B8"/>
    <w:rsid w:val="00FA70EB"/>
    <w:rsid w:val="00FA7761"/>
    <w:rsid w:val="00FA7AE4"/>
    <w:rsid w:val="00FA7C56"/>
    <w:rsid w:val="00FA7DB4"/>
    <w:rsid w:val="00FA7F18"/>
    <w:rsid w:val="00FB1108"/>
    <w:rsid w:val="00FB1370"/>
    <w:rsid w:val="00FB19D9"/>
    <w:rsid w:val="00FB29CA"/>
    <w:rsid w:val="00FB2E0D"/>
    <w:rsid w:val="00FB3A0D"/>
    <w:rsid w:val="00FB40BE"/>
    <w:rsid w:val="00FB4EF3"/>
    <w:rsid w:val="00FB5BEE"/>
    <w:rsid w:val="00FB7390"/>
    <w:rsid w:val="00FB754A"/>
    <w:rsid w:val="00FC00C8"/>
    <w:rsid w:val="00FC1330"/>
    <w:rsid w:val="00FC1334"/>
    <w:rsid w:val="00FC142B"/>
    <w:rsid w:val="00FC2177"/>
    <w:rsid w:val="00FC2256"/>
    <w:rsid w:val="00FC2D80"/>
    <w:rsid w:val="00FC3060"/>
    <w:rsid w:val="00FC3FC6"/>
    <w:rsid w:val="00FC4960"/>
    <w:rsid w:val="00FC4FDC"/>
    <w:rsid w:val="00FC5F98"/>
    <w:rsid w:val="00FC5FEC"/>
    <w:rsid w:val="00FC614A"/>
    <w:rsid w:val="00FC639E"/>
    <w:rsid w:val="00FC645D"/>
    <w:rsid w:val="00FC65DA"/>
    <w:rsid w:val="00FC6809"/>
    <w:rsid w:val="00FC7B20"/>
    <w:rsid w:val="00FD0105"/>
    <w:rsid w:val="00FD0ABD"/>
    <w:rsid w:val="00FD1E69"/>
    <w:rsid w:val="00FD28F9"/>
    <w:rsid w:val="00FD2C59"/>
    <w:rsid w:val="00FD2CC7"/>
    <w:rsid w:val="00FD2EAD"/>
    <w:rsid w:val="00FD2ED5"/>
    <w:rsid w:val="00FD3B8C"/>
    <w:rsid w:val="00FD469E"/>
    <w:rsid w:val="00FD4AAC"/>
    <w:rsid w:val="00FD4B0D"/>
    <w:rsid w:val="00FD52A0"/>
    <w:rsid w:val="00FD52BE"/>
    <w:rsid w:val="00FD53EB"/>
    <w:rsid w:val="00FD75DD"/>
    <w:rsid w:val="00FD761F"/>
    <w:rsid w:val="00FD7E28"/>
    <w:rsid w:val="00FE044B"/>
    <w:rsid w:val="00FE0555"/>
    <w:rsid w:val="00FE0EA1"/>
    <w:rsid w:val="00FE1092"/>
    <w:rsid w:val="00FE1A61"/>
    <w:rsid w:val="00FE1DE1"/>
    <w:rsid w:val="00FE2220"/>
    <w:rsid w:val="00FE2628"/>
    <w:rsid w:val="00FE34B0"/>
    <w:rsid w:val="00FE4311"/>
    <w:rsid w:val="00FE4CD0"/>
    <w:rsid w:val="00FE5144"/>
    <w:rsid w:val="00FE5E8B"/>
    <w:rsid w:val="00FE687C"/>
    <w:rsid w:val="00FE6CCE"/>
    <w:rsid w:val="00FE6F83"/>
    <w:rsid w:val="00FE761D"/>
    <w:rsid w:val="00FE7EEA"/>
    <w:rsid w:val="00FE7FE6"/>
    <w:rsid w:val="00FF0AAC"/>
    <w:rsid w:val="00FF0E06"/>
    <w:rsid w:val="00FF1116"/>
    <w:rsid w:val="00FF189F"/>
    <w:rsid w:val="00FF1A27"/>
    <w:rsid w:val="00FF3D8D"/>
    <w:rsid w:val="00FF49F5"/>
    <w:rsid w:val="00FF5046"/>
    <w:rsid w:val="00FF5A7C"/>
    <w:rsid w:val="00FF65F5"/>
    <w:rsid w:val="00FF66CB"/>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2E628D"/>
  <w15:chartTrackingRefBased/>
  <w15:docId w15:val="{C219EB6D-1ED2-4095-A98D-AAA05E6C8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link w:val="Heading3Char"/>
    <w:qFormat/>
    <w:rsid w:val="004B3C92"/>
    <w:pPr>
      <w:spacing w:before="120"/>
      <w:outlineLvl w:val="2"/>
    </w:pPr>
    <w:rPr>
      <w:sz w:val="28"/>
    </w:rPr>
  </w:style>
  <w:style w:type="paragraph" w:styleId="Heading4">
    <w:name w:val="heading 4"/>
    <w:basedOn w:val="Heading3"/>
    <w:next w:val="Normal"/>
    <w:link w:val="Heading4Char"/>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uiPriority w:val="99"/>
    <w:semiHidden/>
    <w:qFormat/>
    <w:rsid w:val="007E0548"/>
    <w:rPr>
      <w:sz w:val="16"/>
      <w:szCs w:val="16"/>
    </w:rPr>
  </w:style>
  <w:style w:type="paragraph" w:styleId="CommentText">
    <w:name w:val="annotation text"/>
    <w:basedOn w:val="Normal"/>
    <w:link w:val="CommentTextChar"/>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link w:val="NOChar"/>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rsid w:val="004B3C92"/>
  </w:style>
  <w:style w:type="paragraph" w:customStyle="1" w:styleId="B3">
    <w:name w:val="B3"/>
    <w:basedOn w:val="List3"/>
    <w:link w:val="B3Char2"/>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Grid">
    <w:name w:val="Table Grid"/>
    <w:basedOn w:val="TableNormal"/>
    <w:rsid w:val="00767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locked/>
    <w:rsid w:val="00AB2835"/>
    <w:rPr>
      <w:rFonts w:ascii="Arial" w:eastAsia="Times New Roman" w:hAnsi="Arial"/>
      <w:sz w:val="24"/>
      <w:lang w:val="en-GB" w:eastAsia="en-US"/>
    </w:rPr>
  </w:style>
  <w:style w:type="character" w:customStyle="1" w:styleId="THChar">
    <w:name w:val="TH Char"/>
    <w:link w:val="TH"/>
    <w:qFormat/>
    <w:rsid w:val="00AB2835"/>
    <w:rPr>
      <w:rFonts w:ascii="Arial" w:eastAsia="Times New Roman" w:hAnsi="Arial"/>
      <w:b/>
      <w:lang w:val="en-GB" w:eastAsia="en-US"/>
    </w:rPr>
  </w:style>
  <w:style w:type="character" w:customStyle="1" w:styleId="PLChar">
    <w:name w:val="PL Char"/>
    <w:link w:val="PL"/>
    <w:qFormat/>
    <w:rsid w:val="00AB2835"/>
    <w:rPr>
      <w:rFonts w:ascii="Courier New" w:eastAsia="Times New Roman" w:hAnsi="Courier New"/>
      <w:noProof/>
      <w:sz w:val="16"/>
      <w:lang w:eastAsia="en-US"/>
    </w:rPr>
  </w:style>
  <w:style w:type="character" w:customStyle="1" w:styleId="B1Char1">
    <w:name w:val="B1 Char1"/>
    <w:link w:val="B1"/>
    <w:qFormat/>
    <w:rsid w:val="00832098"/>
    <w:rPr>
      <w:rFonts w:eastAsia="Times New Roman"/>
      <w:lang w:val="en-GB" w:eastAsia="en-US"/>
    </w:rPr>
  </w:style>
  <w:style w:type="character" w:customStyle="1" w:styleId="TALCar">
    <w:name w:val="TAL Car"/>
    <w:link w:val="TAL"/>
    <w:qFormat/>
    <w:rsid w:val="00832098"/>
    <w:rPr>
      <w:rFonts w:ascii="Arial" w:eastAsia="Times New Roman" w:hAnsi="Arial"/>
      <w:sz w:val="18"/>
      <w:lang w:val="en-GB" w:eastAsia="en-US"/>
    </w:rPr>
  </w:style>
  <w:style w:type="character" w:customStyle="1" w:styleId="TAHCar">
    <w:name w:val="TAH Car"/>
    <w:link w:val="TAH"/>
    <w:qFormat/>
    <w:locked/>
    <w:rsid w:val="00832098"/>
    <w:rPr>
      <w:rFonts w:ascii="Arial" w:eastAsia="Times New Roman" w:hAnsi="Arial"/>
      <w:b/>
      <w:sz w:val="18"/>
      <w:lang w:val="en-GB" w:eastAsia="en-US"/>
    </w:rPr>
  </w:style>
  <w:style w:type="character" w:customStyle="1" w:styleId="B1Char">
    <w:name w:val="B1 Char"/>
    <w:rsid w:val="005C2318"/>
    <w:rPr>
      <w:rFonts w:eastAsia="Times New Roman"/>
      <w:lang w:val="en-GB" w:eastAsia="en-US"/>
    </w:rPr>
  </w:style>
  <w:style w:type="character" w:customStyle="1" w:styleId="Heading3Char">
    <w:name w:val="Heading 3 Char"/>
    <w:link w:val="Heading3"/>
    <w:qFormat/>
    <w:rsid w:val="005C2318"/>
    <w:rPr>
      <w:rFonts w:ascii="Arial" w:eastAsia="Times New Roman" w:hAnsi="Arial"/>
      <w:sz w:val="28"/>
      <w:lang w:val="en-GB" w:eastAsia="en-US"/>
    </w:rPr>
  </w:style>
  <w:style w:type="character" w:customStyle="1" w:styleId="NOChar">
    <w:name w:val="NO Char"/>
    <w:link w:val="NO"/>
    <w:qFormat/>
    <w:rsid w:val="00543F5C"/>
    <w:rPr>
      <w:rFonts w:eastAsia="Times New Roman"/>
      <w:lang w:val="en-GB" w:eastAsia="en-US"/>
    </w:rPr>
  </w:style>
  <w:style w:type="paragraph" w:customStyle="1" w:styleId="paragraph">
    <w:name w:val="paragraph"/>
    <w:basedOn w:val="Normal"/>
    <w:rsid w:val="004350B4"/>
    <w:pPr>
      <w:overflowPunct/>
      <w:autoSpaceDE/>
      <w:autoSpaceDN/>
      <w:adjustRightInd/>
      <w:spacing w:before="100" w:beforeAutospacing="1" w:after="100" w:afterAutospacing="1"/>
      <w:textAlignment w:val="auto"/>
    </w:pPr>
    <w:rPr>
      <w:sz w:val="24"/>
      <w:szCs w:val="24"/>
      <w:lang w:val="de-DE"/>
    </w:rPr>
  </w:style>
  <w:style w:type="paragraph" w:customStyle="1" w:styleId="Proposal">
    <w:name w:val="Proposal"/>
    <w:basedOn w:val="Normal"/>
    <w:link w:val="ProposalChar"/>
    <w:qFormat/>
    <w:rsid w:val="00360C01"/>
    <w:pPr>
      <w:numPr>
        <w:numId w:val="2"/>
      </w:numPr>
      <w:tabs>
        <w:tab w:val="left" w:pos="1560"/>
      </w:tabs>
      <w:overflowPunct/>
      <w:autoSpaceDE/>
      <w:autoSpaceDN/>
      <w:adjustRightInd/>
      <w:textAlignment w:val="auto"/>
    </w:pPr>
    <w:rPr>
      <w:b/>
    </w:rPr>
  </w:style>
  <w:style w:type="character" w:customStyle="1" w:styleId="ProposalChar">
    <w:name w:val="Proposal Char"/>
    <w:link w:val="Proposal"/>
    <w:rsid w:val="00360C01"/>
    <w:rPr>
      <w:rFonts w:eastAsia="Times New Roman"/>
      <w:b/>
      <w:lang w:val="en-GB"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360C01"/>
    <w:pPr>
      <w:overflowPunct/>
      <w:autoSpaceDE/>
      <w:autoSpaceDN/>
      <w:adjustRightInd/>
      <w:ind w:firstLineChars="200" w:firstLine="420"/>
      <w:textAlignment w:val="auto"/>
    </w:p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360C01"/>
    <w:rPr>
      <w:rFonts w:eastAsia="Times New Roman"/>
      <w:lang w:val="en-GB" w:eastAsia="en-US"/>
    </w:rPr>
  </w:style>
  <w:style w:type="paragraph" w:styleId="Caption">
    <w:name w:val="caption"/>
    <w:basedOn w:val="Normal"/>
    <w:next w:val="Normal"/>
    <w:unhideWhenUsed/>
    <w:qFormat/>
    <w:rsid w:val="001D5FAF"/>
    <w:rPr>
      <w:rFonts w:ascii="Calibri Light" w:eastAsia="SimHei" w:hAnsi="Calibri Light"/>
    </w:rPr>
  </w:style>
  <w:style w:type="character" w:customStyle="1" w:styleId="B2Char">
    <w:name w:val="B2 Char"/>
    <w:link w:val="B2"/>
    <w:qFormat/>
    <w:rsid w:val="007F708C"/>
    <w:rPr>
      <w:rFonts w:eastAsia="Times New Roman"/>
      <w:lang w:val="en-GB" w:eastAsia="en-US"/>
    </w:rPr>
  </w:style>
  <w:style w:type="character" w:customStyle="1" w:styleId="B3Char2">
    <w:name w:val="B3 Char2"/>
    <w:link w:val="B3"/>
    <w:qFormat/>
    <w:rsid w:val="007F708C"/>
    <w:rPr>
      <w:rFonts w:eastAsia="Times New Roman"/>
      <w:lang w:val="en-GB" w:eastAsia="en-US"/>
    </w:rPr>
  </w:style>
  <w:style w:type="paragraph" w:styleId="Revision">
    <w:name w:val="Revision"/>
    <w:hidden/>
    <w:uiPriority w:val="99"/>
    <w:semiHidden/>
    <w:rsid w:val="00FD761F"/>
    <w:rPr>
      <w:rFonts w:eastAsia="Times New Roman"/>
      <w:lang w:val="en-GB" w:eastAsia="en-US"/>
    </w:rPr>
  </w:style>
  <w:style w:type="character" w:customStyle="1" w:styleId="CommentTextChar">
    <w:name w:val="Comment Text Char"/>
    <w:link w:val="CommentText"/>
    <w:rsid w:val="00D059DB"/>
    <w:rPr>
      <w:rFonts w:eastAsia="Times New Roman"/>
      <w:lang w:val="en-GB" w:eastAsia="en-US"/>
    </w:rPr>
  </w:style>
  <w:style w:type="paragraph" w:customStyle="1" w:styleId="Agreement">
    <w:name w:val="Agreement"/>
    <w:basedOn w:val="Normal"/>
    <w:next w:val="Normal"/>
    <w:uiPriority w:val="99"/>
    <w:qFormat/>
    <w:rsid w:val="00C45F9E"/>
    <w:pPr>
      <w:numPr>
        <w:numId w:val="14"/>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3A0E2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A0E2E"/>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43148840">
      <w:bodyDiv w:val="1"/>
      <w:marLeft w:val="0"/>
      <w:marRight w:val="0"/>
      <w:marTop w:val="0"/>
      <w:marBottom w:val="0"/>
      <w:divBdr>
        <w:top w:val="none" w:sz="0" w:space="0" w:color="auto"/>
        <w:left w:val="none" w:sz="0" w:space="0" w:color="auto"/>
        <w:bottom w:val="none" w:sz="0" w:space="0" w:color="auto"/>
        <w:right w:val="none" w:sz="0" w:space="0" w:color="auto"/>
      </w:divBdr>
    </w:div>
    <w:div w:id="409428601">
      <w:bodyDiv w:val="1"/>
      <w:marLeft w:val="0"/>
      <w:marRight w:val="0"/>
      <w:marTop w:val="0"/>
      <w:marBottom w:val="0"/>
      <w:divBdr>
        <w:top w:val="none" w:sz="0" w:space="0" w:color="auto"/>
        <w:left w:val="none" w:sz="0" w:space="0" w:color="auto"/>
        <w:bottom w:val="none" w:sz="0" w:space="0" w:color="auto"/>
        <w:right w:val="none" w:sz="0" w:space="0" w:color="auto"/>
      </w:divBdr>
    </w:div>
    <w:div w:id="51499720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82227194">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18447659">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45237510">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9492F-33CD-4338-BAE4-814B18710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EA087F8-560C-4C48-A084-2FEAA91FB4BA}">
  <ds:schemaRefs>
    <ds:schemaRef ds:uri="http://schemas.microsoft.com/sharepoint/v3/contenttype/forms"/>
  </ds:schemaRefs>
</ds:datastoreItem>
</file>

<file path=customXml/itemProps3.xml><?xml version="1.0" encoding="utf-8"?>
<ds:datastoreItem xmlns:ds="http://schemas.openxmlformats.org/officeDocument/2006/customXml" ds:itemID="{834C5D1C-D92B-4A3A-BAB0-34B725FC8B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52A14C-92C3-4E41-BE7A-17E5F759E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1942</Words>
  <Characters>11075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12992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dc:description/>
  <cp:lastModifiedBy>Dawid Koziol</cp:lastModifiedBy>
  <cp:revision>6</cp:revision>
  <cp:lastPrinted>2014-08-13T16:20:00Z</cp:lastPrinted>
  <dcterms:created xsi:type="dcterms:W3CDTF">2021-10-21T19:56:00Z</dcterms:created>
  <dcterms:modified xsi:type="dcterms:W3CDTF">2021-10-21T20:07:00Z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(3)o/3RX6doWT9l80w1gGVCW4iWLSUAyrd2vqsDQK+fjStZsEt7r1STZJy+rT1YnmLmmMwCvzlP
gqWoC16NElmQezGcYwYaABe7DWUOSgV2RtBfelZu6YikbbsjqzCtnDGA1wi2/8zqAfVBz1Ra
IBq+AHkfXmdJAgNnqFC9TeGs+jyiv6SGbC9OSiddeXT2pEcDWN3Hq7C0dtyYbE2Rrcs6zpMr
sePU0hd34GkuA1XYL+</vt:lpwstr>
  </property>
  <property fmtid="{D5CDD505-2E9C-101B-9397-08002B2CF9AE}" pid="3" name="_2015_ms_pID_7253431">
    <vt:lpwstr>9FUVVHAZHUyveSozv3tgZRqMs6fcgW2fEvFF06BHl4fUNXrtHS9Q2Q
DkBjyrYBisn8Lha6PIQbGOh3Pni3Io0nid+KfMKkqeBwwxNx64jhzZYag/fOKQQfDkQVmsKt
4j2Wo3HQ1OIEN0dLLTwp8jkwiCbHdy4qODImjokeg2ynUxntRj/csZp4DFLByvHzBkk/KJy7
fXy6NrvlSYYr+RQn6raVhGWRMNMthp2ZM9GS</vt:lpwstr>
  </property>
  <property fmtid="{D5CDD505-2E9C-101B-9397-08002B2CF9AE}" pid="4" name="_2015_ms_pID_7253432">
    <vt:lpwstr>CNwifqnFb5uiwf0VWIHguj0=</vt:lpwstr>
  </property>
  <property fmtid="{D5CDD505-2E9C-101B-9397-08002B2CF9AE}" pid="5" name="ContentTypeId">
    <vt:lpwstr>0x010100B60E20C41A573044891B706B2C0BDA8B</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1634634783</vt:lpwstr>
  </property>
</Properties>
</file>