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220F4" w14:textId="6F17A683" w:rsidR="00BA7CB4" w:rsidRPr="00562895" w:rsidRDefault="00BA7CB4" w:rsidP="00BA7CB4">
      <w:pPr>
        <w:pStyle w:val="a3"/>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w:t>
      </w:r>
      <w:r w:rsidR="002A412F" w:rsidRPr="00562895">
        <w:rPr>
          <w:rFonts w:ascii="Times New Roman" w:hAnsi="Times New Roman"/>
          <w:sz w:val="24"/>
          <w:lang w:eastAsia="zh-CN"/>
        </w:rPr>
        <w:t>11</w:t>
      </w:r>
      <w:r w:rsidR="005057EC">
        <w:rPr>
          <w:rFonts w:ascii="Times New Roman" w:hAnsi="Times New Roman"/>
          <w:sz w:val="24"/>
          <w:lang w:eastAsia="zh-CN"/>
        </w:rPr>
        <w:t>6</w:t>
      </w:r>
      <w:r w:rsidR="002A412F" w:rsidRPr="00562895">
        <w:rPr>
          <w:rFonts w:ascii="Times New Roman" w:hAnsi="Times New Roman"/>
          <w:sz w:val="24"/>
          <w:lang w:eastAsia="zh-CN"/>
        </w:rPr>
        <w:t xml:space="preserve"> </w:t>
      </w:r>
      <w:r w:rsidRPr="00562895">
        <w:rPr>
          <w:rFonts w:ascii="Times New Roman" w:hAnsi="Times New Roman"/>
          <w:sz w:val="24"/>
          <w:lang w:eastAsia="zh-CN"/>
        </w:rPr>
        <w:t>electr</w:t>
      </w:r>
      <w:r w:rsidR="009D6145">
        <w:rPr>
          <w:rFonts w:ascii="Times New Roman" w:hAnsi="Times New Roman"/>
          <w:sz w:val="24"/>
          <w:lang w:eastAsia="zh-CN"/>
        </w:rPr>
        <w:t>onic</w:t>
      </w:r>
      <w:r w:rsidR="003A2E6E">
        <w:t xml:space="preserve">                     </w:t>
      </w:r>
      <w:r w:rsidR="00C92AF8">
        <w:t xml:space="preserve">             </w:t>
      </w:r>
      <w:r w:rsidR="003A2E6E">
        <w:t xml:space="preserve">  </w:t>
      </w:r>
      <w:r w:rsidR="003A2E6E" w:rsidRPr="00C92AF8">
        <w:rPr>
          <w:rFonts w:ascii="Times New Roman" w:hAnsi="Times New Roman"/>
          <w:sz w:val="24"/>
          <w:lang w:eastAsia="zh-CN"/>
        </w:rPr>
        <w:t xml:space="preserve">   </w:t>
      </w:r>
      <w:r w:rsidR="00C92AF8" w:rsidRPr="00C92AF8">
        <w:rPr>
          <w:rFonts w:ascii="Times New Roman" w:hAnsi="Times New Roman"/>
          <w:sz w:val="24"/>
          <w:lang w:eastAsia="zh-CN"/>
        </w:rPr>
        <w:t>R2-</w:t>
      </w:r>
      <w:r w:rsidR="00C0293A" w:rsidRPr="00C0293A">
        <w:t xml:space="preserve"> </w:t>
      </w:r>
      <w:r w:rsidR="00C0293A" w:rsidRPr="00C0293A">
        <w:rPr>
          <w:rFonts w:ascii="Times New Roman" w:hAnsi="Times New Roman"/>
          <w:sz w:val="24"/>
          <w:lang w:eastAsia="zh-CN"/>
        </w:rPr>
        <w:t>2110329</w:t>
      </w:r>
    </w:p>
    <w:p w14:paraId="723716C4" w14:textId="1527C172" w:rsidR="00185CC8" w:rsidRPr="006E47AB" w:rsidRDefault="006E47AB" w:rsidP="00185CC8">
      <w:pPr>
        <w:pStyle w:val="a3"/>
        <w:tabs>
          <w:tab w:val="right" w:pos="9639"/>
        </w:tabs>
        <w:jc w:val="both"/>
        <w:rPr>
          <w:sz w:val="22"/>
          <w:szCs w:val="22"/>
          <w:lang w:val="en-GB"/>
        </w:rPr>
      </w:pPr>
      <w:r w:rsidRPr="00145455">
        <w:rPr>
          <w:rFonts w:ascii="Times New Roman" w:hAnsi="Times New Roman"/>
          <w:sz w:val="24"/>
          <w:lang w:eastAsia="zh-CN"/>
        </w:rPr>
        <w:t xml:space="preserve">Online, </w:t>
      </w:r>
      <w:r w:rsidR="005057EC">
        <w:rPr>
          <w:rFonts w:ascii="Times New Roman" w:hAnsi="Times New Roman"/>
          <w:sz w:val="24"/>
          <w:lang w:eastAsia="zh-CN"/>
        </w:rPr>
        <w:t>November</w:t>
      </w:r>
      <w:r w:rsidR="005057EC" w:rsidRPr="001E03E0">
        <w:rPr>
          <w:rFonts w:ascii="Times New Roman" w:hAnsi="Times New Roman"/>
          <w:sz w:val="24"/>
          <w:lang w:eastAsia="zh-CN"/>
        </w:rPr>
        <w:t xml:space="preserve"> </w:t>
      </w:r>
      <w:r w:rsidR="005057EC">
        <w:rPr>
          <w:rFonts w:ascii="Times New Roman" w:hAnsi="Times New Roman"/>
          <w:sz w:val="24"/>
          <w:lang w:eastAsia="zh-CN"/>
        </w:rPr>
        <w:t>1</w:t>
      </w:r>
      <w:r w:rsidR="005057EC">
        <w:rPr>
          <w:rFonts w:ascii="Times New Roman" w:hAnsi="Times New Roman"/>
          <w:sz w:val="24"/>
          <w:vertAlign w:val="superscript"/>
          <w:lang w:eastAsia="zh-CN"/>
        </w:rPr>
        <w:t>st</w:t>
      </w:r>
      <w:r w:rsidRPr="00904296">
        <w:rPr>
          <w:rFonts w:cs="Arial"/>
          <w:sz w:val="24"/>
          <w:lang w:eastAsia="zh-CN"/>
        </w:rPr>
        <w:t xml:space="preserve"> – </w:t>
      </w:r>
      <w:r w:rsidR="005057EC">
        <w:rPr>
          <w:rFonts w:ascii="Times New Roman" w:hAnsi="Times New Roman"/>
          <w:sz w:val="24"/>
          <w:lang w:eastAsia="zh-CN"/>
        </w:rPr>
        <w:t>November 1</w:t>
      </w:r>
      <w:r w:rsidRPr="001E03E0">
        <w:rPr>
          <w:rFonts w:ascii="Times New Roman" w:hAnsi="Times New Roman"/>
          <w:sz w:val="24"/>
          <w:lang w:eastAsia="zh-CN"/>
        </w:rPr>
        <w:t>2</w:t>
      </w:r>
      <w:r w:rsidRPr="00034A60">
        <w:rPr>
          <w:rFonts w:ascii="Times New Roman" w:hAnsi="Times New Roman"/>
          <w:sz w:val="24"/>
          <w:vertAlign w:val="superscript"/>
          <w:lang w:eastAsia="zh-CN"/>
        </w:rPr>
        <w:t>th</w:t>
      </w:r>
      <w:r w:rsidRPr="00145455">
        <w:rPr>
          <w:rFonts w:ascii="Times New Roman" w:hAnsi="Times New Roman"/>
          <w:sz w:val="24"/>
          <w:lang w:eastAsia="zh-CN"/>
        </w:rPr>
        <w:t>, 2021</w:t>
      </w:r>
      <w:r>
        <w:rPr>
          <w:rFonts w:ascii="Times New Roman" w:hAnsi="Times New Roman"/>
          <w:sz w:val="24"/>
          <w:lang w:eastAsia="zh-CN"/>
        </w:rPr>
        <w:t xml:space="preserve">                            </w:t>
      </w:r>
    </w:p>
    <w:p w14:paraId="46714D25"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03A96CAC"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Pr>
          <w:rFonts w:ascii="Times New Roman" w:eastAsia="宋体" w:hAnsi="Times New Roman"/>
          <w:b/>
          <w:bCs/>
          <w:kern w:val="2"/>
          <w:sz w:val="24"/>
          <w:szCs w:val="22"/>
          <w:lang w:val="en-US" w:eastAsia="zh-CN"/>
        </w:rPr>
        <w:t>8.6</w:t>
      </w:r>
      <w:r>
        <w:rPr>
          <w:rFonts w:ascii="Times New Roman" w:eastAsia="宋体" w:hAnsi="Times New Roman" w:hint="eastAsia"/>
          <w:b/>
          <w:bCs/>
          <w:kern w:val="2"/>
          <w:sz w:val="24"/>
          <w:szCs w:val="22"/>
          <w:lang w:val="en-US" w:eastAsia="zh-CN"/>
        </w:rPr>
        <w:t>.</w:t>
      </w:r>
      <w:r w:rsidR="003A2E6E">
        <w:rPr>
          <w:rFonts w:ascii="Times New Roman" w:eastAsia="宋体" w:hAnsi="Times New Roman"/>
          <w:b/>
          <w:bCs/>
          <w:kern w:val="2"/>
          <w:sz w:val="24"/>
          <w:szCs w:val="22"/>
          <w:lang w:val="en-US" w:eastAsia="zh-CN"/>
        </w:rPr>
        <w:t>3</w:t>
      </w:r>
    </w:p>
    <w:p w14:paraId="15BAA90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0" w:name="OLE_LINK23"/>
      <w:bookmarkStart w:id="1" w:name="OLE_LINK24"/>
      <w:r w:rsidRPr="00CA3C26">
        <w:rPr>
          <w:rFonts w:ascii="Times New Roman" w:hAnsi="Times New Roman"/>
          <w:b/>
          <w:bCs/>
          <w:sz w:val="24"/>
        </w:rPr>
        <w:t>Lenovo, Motorola Mobility</w:t>
      </w:r>
      <w:bookmarkEnd w:id="0"/>
      <w:bookmarkEnd w:id="1"/>
    </w:p>
    <w:p w14:paraId="34F2266A" w14:textId="1C3D6BBD"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C92AF8" w:rsidRPr="00C92AF8">
        <w:rPr>
          <w:rFonts w:ascii="Times New Roman" w:hAnsi="Times New Roman"/>
          <w:b/>
          <w:bCs/>
          <w:sz w:val="24"/>
        </w:rPr>
        <w:t>Discussion on CP data transmission over SDT</w:t>
      </w:r>
    </w:p>
    <w:p w14:paraId="48B879F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682AC653"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4C074BB2" w14:textId="59D8509B" w:rsidR="00F7717F" w:rsidRPr="000F35AB" w:rsidRDefault="00E51295" w:rsidP="00E51295">
      <w:pPr>
        <w:spacing w:beforeLines="50" w:before="156" w:afterLines="50" w:after="156"/>
        <w:rPr>
          <w:rFonts w:ascii="Times New Roman" w:hAnsi="Times New Roman"/>
          <w:sz w:val="20"/>
          <w:szCs w:val="20"/>
          <w:lang w:val="en-GB"/>
        </w:rPr>
      </w:pPr>
      <w:bookmarkStart w:id="2" w:name="Proposal_Beacon"/>
      <w:r w:rsidRPr="000F35AB">
        <w:rPr>
          <w:rFonts w:ascii="Times New Roman" w:hAnsi="Times New Roman"/>
          <w:sz w:val="20"/>
          <w:szCs w:val="20"/>
          <w:lang w:val="en-GB"/>
        </w:rPr>
        <w:t>In RAN2#</w:t>
      </w:r>
      <w:r w:rsidR="00761504" w:rsidRPr="000F35AB">
        <w:rPr>
          <w:rFonts w:ascii="Times New Roman" w:hAnsi="Times New Roman"/>
          <w:sz w:val="20"/>
          <w:szCs w:val="20"/>
          <w:lang w:val="en-GB"/>
        </w:rPr>
        <w:t>11</w:t>
      </w:r>
      <w:r w:rsidR="00761504">
        <w:rPr>
          <w:rFonts w:ascii="Times New Roman" w:hAnsi="Times New Roman"/>
          <w:sz w:val="20"/>
          <w:szCs w:val="20"/>
          <w:lang w:val="en-GB"/>
        </w:rPr>
        <w:t>5</w:t>
      </w:r>
      <w:r w:rsidR="00761504" w:rsidRPr="000F35AB">
        <w:rPr>
          <w:rFonts w:ascii="Times New Roman" w:hAnsi="Times New Roman"/>
          <w:sz w:val="20"/>
          <w:szCs w:val="20"/>
          <w:lang w:val="en-GB"/>
        </w:rPr>
        <w:t>e</w:t>
      </w:r>
      <w:r w:rsidRPr="000F35AB">
        <w:rPr>
          <w:rFonts w:ascii="Times New Roman" w:hAnsi="Times New Roman"/>
          <w:sz w:val="20"/>
          <w:szCs w:val="20"/>
          <w:lang w:val="en-GB"/>
        </w:rPr>
        <w:t>,</w:t>
      </w:r>
      <w:r w:rsidRPr="000F35AB">
        <w:rPr>
          <w:rFonts w:ascii="Times New Roman" w:hAnsi="Times New Roman"/>
          <w:sz w:val="20"/>
          <w:szCs w:val="20"/>
        </w:rPr>
        <w:t xml:space="preserve"> </w:t>
      </w:r>
      <w:r w:rsidRPr="000F35AB">
        <w:rPr>
          <w:rFonts w:ascii="Times New Roman" w:hAnsi="Times New Roman"/>
          <w:sz w:val="20"/>
          <w:szCs w:val="20"/>
          <w:lang w:val="en-GB"/>
        </w:rPr>
        <w:t>the following agreements on small data transmission were made as in [</w:t>
      </w:r>
      <w:r w:rsidR="00DE6647" w:rsidRPr="000F35AB">
        <w:rPr>
          <w:rFonts w:ascii="Times New Roman" w:hAnsi="Times New Roman"/>
          <w:sz w:val="20"/>
          <w:szCs w:val="20"/>
          <w:lang w:val="en-GB"/>
        </w:rPr>
        <w:t>1</w:t>
      </w:r>
      <w:r w:rsidRPr="000F35AB">
        <w:rPr>
          <w:rFonts w:ascii="Times New Roman" w:hAnsi="Times New Roman"/>
          <w:sz w:val="20"/>
          <w:szCs w:val="20"/>
          <w:lang w:val="en-GB"/>
        </w:rPr>
        <w:t>]:</w:t>
      </w:r>
    </w:p>
    <w:p w14:paraId="770BE99A" w14:textId="77777777" w:rsidR="00761504" w:rsidRDefault="00761504" w:rsidP="00761504">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1F0D9D94" w14:textId="77777777" w:rsidR="00761504" w:rsidRPr="00B65BC6" w:rsidRDefault="00761504" w:rsidP="00761504">
      <w:pPr>
        <w:pStyle w:val="Doc-text2"/>
        <w:numPr>
          <w:ilvl w:val="0"/>
          <w:numId w:val="34"/>
        </w:numPr>
        <w:pBdr>
          <w:top w:val="single" w:sz="4" w:space="1" w:color="auto"/>
          <w:left w:val="single" w:sz="4" w:space="4" w:color="auto"/>
          <w:bottom w:val="single" w:sz="4" w:space="1" w:color="auto"/>
          <w:right w:val="single" w:sz="4" w:space="4" w:color="auto"/>
        </w:pBdr>
      </w:pPr>
      <w:r w:rsidRPr="00B65BC6">
        <w:t xml:space="preserve">No new solution is defined to prevent data loss or duplication for the scenario where the anchor relocation is required in the middle of an SDT session, i.e. network can </w:t>
      </w:r>
      <w:r>
        <w:t xml:space="preserve">release </w:t>
      </w:r>
      <w:r w:rsidRPr="00B65BC6">
        <w:t>UE back into RRC_INACTIVE</w:t>
      </w:r>
    </w:p>
    <w:p w14:paraId="6862E824" w14:textId="77777777" w:rsidR="00761504" w:rsidRDefault="00761504" w:rsidP="00761504">
      <w:pPr>
        <w:pStyle w:val="Doc-text2"/>
        <w:numPr>
          <w:ilvl w:val="0"/>
          <w:numId w:val="34"/>
        </w:numPr>
        <w:pBdr>
          <w:top w:val="single" w:sz="4" w:space="1" w:color="auto"/>
          <w:left w:val="single" w:sz="4" w:space="4" w:color="auto"/>
          <w:bottom w:val="single" w:sz="4" w:space="1" w:color="auto"/>
          <w:right w:val="single" w:sz="4" w:space="4" w:color="auto"/>
        </w:pBdr>
      </w:pPr>
      <w:r w:rsidRPr="00B65BC6">
        <w:t xml:space="preserve">PDCP entities of only the non-SDT RBs are re-established (i.e. not for the SDT RBs) </w:t>
      </w:r>
      <w:r>
        <w:t xml:space="preserve">when the UE moves from RRC_INACTIVE with SDT session ongoing to RRC CONNECTED.   </w:t>
      </w:r>
    </w:p>
    <w:p w14:paraId="3570A1D1" w14:textId="42261F4B" w:rsidR="00761504" w:rsidRPr="008D4511" w:rsidRDefault="00761504" w:rsidP="00761504">
      <w:pPr>
        <w:pStyle w:val="Doc-text2"/>
        <w:numPr>
          <w:ilvl w:val="0"/>
          <w:numId w:val="34"/>
        </w:numPr>
        <w:pBdr>
          <w:top w:val="single" w:sz="4" w:space="1" w:color="auto"/>
          <w:left w:val="single" w:sz="4" w:space="4" w:color="auto"/>
          <w:bottom w:val="single" w:sz="4" w:space="1" w:color="auto"/>
          <w:right w:val="single" w:sz="4" w:space="4" w:color="auto"/>
        </w:pBdr>
      </w:pPr>
      <w:r>
        <w:t xml:space="preserve">Events that trigger a termination or failure of an ongoing SDT session 1) cell reselection, 2) expiry of the SDT failure detection timer, 3) </w:t>
      </w:r>
      <w:r w:rsidRPr="008D4511">
        <w:t xml:space="preserve">when Max retx is reached in RLC.  RLC AM max retransmission functionality remains unchanged.  </w:t>
      </w:r>
    </w:p>
    <w:p w14:paraId="3CFCA89E" w14:textId="77777777" w:rsidR="00761504" w:rsidRPr="00EB3498" w:rsidRDefault="00761504" w:rsidP="00761504">
      <w:pPr>
        <w:pStyle w:val="Doc-text2"/>
        <w:numPr>
          <w:ilvl w:val="0"/>
          <w:numId w:val="34"/>
        </w:numPr>
        <w:pBdr>
          <w:top w:val="single" w:sz="4" w:space="1" w:color="auto"/>
          <w:left w:val="single" w:sz="4" w:space="4" w:color="auto"/>
          <w:bottom w:val="single" w:sz="4" w:space="1" w:color="auto"/>
          <w:right w:val="single" w:sz="4" w:space="4" w:color="auto"/>
        </w:pBdr>
      </w:pPr>
      <w:r>
        <w:t xml:space="preserve">When a UE detects a failure of an ongoing SDT session, UE transitions autonomously into RRC_IDLE (as baseline solution).   If time allows or have a ready solution we can consider further optimizations. </w:t>
      </w:r>
    </w:p>
    <w:p w14:paraId="43DD7922" w14:textId="77777777" w:rsidR="00761504" w:rsidRDefault="00761504" w:rsidP="00761504">
      <w:pPr>
        <w:pStyle w:val="Doc-text2"/>
      </w:pPr>
    </w:p>
    <w:p w14:paraId="1CE1ADAA" w14:textId="0BDAF7CE" w:rsidR="00445C9F" w:rsidRDefault="00445C9F"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 xml:space="preserve">In this contribution, it mainly focuses on the </w:t>
      </w:r>
      <w:r w:rsidR="00EC6B6D">
        <w:rPr>
          <w:rFonts w:ascii="Times New Roman" w:hAnsi="Times New Roman"/>
          <w:sz w:val="20"/>
          <w:szCs w:val="20"/>
          <w:lang w:val="en-GB"/>
        </w:rPr>
        <w:t>subsequent data transmission</w:t>
      </w:r>
      <w:r w:rsidR="00534789">
        <w:rPr>
          <w:rFonts w:ascii="Times New Roman" w:hAnsi="Times New Roman"/>
          <w:sz w:val="20"/>
          <w:szCs w:val="20"/>
          <w:lang w:val="en-GB"/>
        </w:rPr>
        <w:t>, SRB transmission in SDT procedure,</w:t>
      </w:r>
      <w:r w:rsidR="00F81D3F">
        <w:rPr>
          <w:rFonts w:ascii="Times New Roman" w:hAnsi="Times New Roman"/>
          <w:sz w:val="20"/>
          <w:szCs w:val="20"/>
          <w:lang w:val="en-GB"/>
        </w:rPr>
        <w:t xml:space="preserve"> </w:t>
      </w:r>
      <w:r w:rsidR="002E38D2">
        <w:rPr>
          <w:rFonts w:ascii="Times New Roman" w:hAnsi="Times New Roman"/>
          <w:sz w:val="20"/>
          <w:szCs w:val="20"/>
          <w:lang w:val="en-GB"/>
        </w:rPr>
        <w:t>RANU</w:t>
      </w:r>
      <w:r w:rsidR="00D13FF3">
        <w:rPr>
          <w:rFonts w:ascii="Times New Roman" w:hAnsi="Times New Roman"/>
          <w:sz w:val="20"/>
          <w:szCs w:val="20"/>
          <w:lang w:val="en-GB"/>
        </w:rPr>
        <w:t>, the new data arrival after the first SDT transmitted</w:t>
      </w:r>
      <w:r w:rsidR="00E83811">
        <w:rPr>
          <w:rFonts w:ascii="Times New Roman" w:hAnsi="Times New Roman"/>
          <w:sz w:val="20"/>
          <w:szCs w:val="20"/>
          <w:lang w:val="en-GB"/>
        </w:rPr>
        <w:t>.</w:t>
      </w:r>
    </w:p>
    <w:p w14:paraId="18D0032A" w14:textId="77777777" w:rsidR="0012659F" w:rsidRPr="0012659F" w:rsidRDefault="00445C9F" w:rsidP="001265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7F1622C4" w14:textId="77777777" w:rsidR="0012659F" w:rsidRPr="00582656" w:rsidRDefault="0012659F" w:rsidP="00DE6647">
      <w:pPr>
        <w:spacing w:beforeLines="50" w:before="156" w:afterLines="50" w:after="156"/>
        <w:rPr>
          <w:rFonts w:ascii="Times New Roman" w:hAnsi="Times New Roman"/>
          <w:b/>
          <w:bCs/>
          <w:sz w:val="24"/>
          <w:szCs w:val="24"/>
          <w:u w:val="single"/>
        </w:rPr>
      </w:pPr>
      <w:r w:rsidRPr="00582656">
        <w:rPr>
          <w:rFonts w:ascii="Times New Roman" w:hAnsi="Times New Roman" w:hint="eastAsia"/>
          <w:b/>
          <w:bCs/>
          <w:sz w:val="24"/>
          <w:szCs w:val="24"/>
          <w:u w:val="single"/>
        </w:rPr>
        <w:t>For</w:t>
      </w:r>
      <w:r w:rsidRPr="00582656">
        <w:rPr>
          <w:rFonts w:ascii="Times New Roman" w:hAnsi="Times New Roman"/>
          <w:b/>
          <w:bCs/>
          <w:sz w:val="24"/>
          <w:szCs w:val="24"/>
          <w:u w:val="single"/>
        </w:rPr>
        <w:t xml:space="preserve"> subsequent </w:t>
      </w:r>
      <w:r w:rsidR="0082018C" w:rsidRPr="00582656">
        <w:rPr>
          <w:rFonts w:ascii="Times New Roman" w:hAnsi="Times New Roman"/>
          <w:b/>
          <w:bCs/>
          <w:sz w:val="24"/>
          <w:szCs w:val="24"/>
          <w:u w:val="single"/>
        </w:rPr>
        <w:t>data transmission</w:t>
      </w:r>
    </w:p>
    <w:p w14:paraId="0F40C878" w14:textId="77777777" w:rsidR="00DE6647" w:rsidRPr="00582656" w:rsidRDefault="00A06185" w:rsidP="00DE6647">
      <w:pPr>
        <w:spacing w:beforeLines="50" w:before="156" w:afterLines="50" w:after="156"/>
        <w:rPr>
          <w:rFonts w:ascii="Times New Roman" w:hAnsi="Times New Roman"/>
        </w:rPr>
      </w:pPr>
      <w:r w:rsidRPr="00582656">
        <w:rPr>
          <w:rFonts w:ascii="Times New Roman" w:hAnsi="Times New Roman"/>
          <w:sz w:val="20"/>
          <w:szCs w:val="20"/>
        </w:rPr>
        <w:t>It</w:t>
      </w:r>
      <w:r w:rsidR="002A0806" w:rsidRPr="00582656">
        <w:rPr>
          <w:rFonts w:ascii="Times New Roman" w:hAnsi="Times New Roman"/>
          <w:sz w:val="20"/>
          <w:szCs w:val="20"/>
        </w:rPr>
        <w:t xml:space="preserve"> has been agreed that UL/DL transmission following UL SDT without transitioning to RRC_CONNECTED is supported.</w:t>
      </w:r>
      <w:r w:rsidR="00C577AC" w:rsidRPr="00582656">
        <w:rPr>
          <w:rFonts w:ascii="Times New Roman" w:hAnsi="Times New Roman"/>
          <w:sz w:val="20"/>
          <w:szCs w:val="20"/>
        </w:rPr>
        <w:t xml:space="preserve"> When UE is in RRC inactive mode, it should be possible to send multiple UL and DL packets as part of the same SDT mechanism and without transitioning to RRC_CONNECTED on dedicated grant. </w:t>
      </w:r>
      <w:r w:rsidR="00DE6647" w:rsidRPr="00582656">
        <w:rPr>
          <w:rFonts w:ascii="Times New Roman" w:hAnsi="Times New Roman"/>
          <w:sz w:val="20"/>
          <w:szCs w:val="20"/>
        </w:rPr>
        <w:t xml:space="preserve">For RACH based solutions, upon successful completion of contention resolution, the UE shall monitor the C-RNTI. </w:t>
      </w:r>
    </w:p>
    <w:p w14:paraId="43576275" w14:textId="61FB6A4B" w:rsidR="00F7717F" w:rsidRPr="00582656" w:rsidRDefault="00EF5966" w:rsidP="00DE6647">
      <w:pPr>
        <w:spacing w:beforeLines="50" w:before="156" w:afterLines="50" w:after="156"/>
        <w:rPr>
          <w:rFonts w:eastAsia="Malgun Gothic"/>
          <w:lang w:eastAsia="ko-KR"/>
        </w:rPr>
      </w:pPr>
      <w:r w:rsidRPr="00582656">
        <w:rPr>
          <w:rFonts w:ascii="Times New Roman" w:hAnsi="Times New Roman"/>
          <w:sz w:val="20"/>
          <w:szCs w:val="20"/>
        </w:rPr>
        <w:t xml:space="preserve">For </w:t>
      </w:r>
      <w:r w:rsidR="00F7717F" w:rsidRPr="00582656">
        <w:rPr>
          <w:rFonts w:ascii="Times New Roman" w:hAnsi="Times New Roman"/>
          <w:sz w:val="20"/>
          <w:szCs w:val="20"/>
        </w:rPr>
        <w:t xml:space="preserve">the indication to presence of subsequent data, legacy BSR </w:t>
      </w:r>
      <w:r w:rsidR="00484988" w:rsidRPr="00582656">
        <w:rPr>
          <w:rFonts w:ascii="Times New Roman" w:hAnsi="Times New Roman"/>
          <w:sz w:val="20"/>
          <w:szCs w:val="20"/>
        </w:rPr>
        <w:t>could be</w:t>
      </w:r>
      <w:r w:rsidR="00F7717F" w:rsidRPr="00582656">
        <w:rPr>
          <w:rFonts w:ascii="Times New Roman" w:hAnsi="Times New Roman"/>
          <w:sz w:val="20"/>
          <w:szCs w:val="20"/>
        </w:rPr>
        <w:t xml:space="preserve"> used to indicate the data already available in UE</w:t>
      </w:r>
      <w:r w:rsidRPr="00582656">
        <w:rPr>
          <w:rFonts w:ascii="Times New Roman" w:hAnsi="Times New Roman"/>
          <w:sz w:val="20"/>
          <w:szCs w:val="20"/>
        </w:rPr>
        <w:t>,</w:t>
      </w:r>
      <w:r w:rsidR="00F7717F" w:rsidRPr="00582656">
        <w:rPr>
          <w:rFonts w:ascii="Times New Roman" w:hAnsi="Times New Roman"/>
          <w:sz w:val="20"/>
          <w:szCs w:val="20"/>
        </w:rPr>
        <w:t xml:space="preserve"> but for SDT with subsequent transmission, </w:t>
      </w:r>
      <w:r w:rsidR="006152A2" w:rsidRPr="00582656">
        <w:rPr>
          <w:rFonts w:ascii="Times New Roman" w:hAnsi="Times New Roman"/>
          <w:sz w:val="20"/>
          <w:szCs w:val="20"/>
        </w:rPr>
        <w:t xml:space="preserve">a </w:t>
      </w:r>
      <w:r w:rsidR="0095332D" w:rsidRPr="00582656">
        <w:rPr>
          <w:rFonts w:ascii="Times New Roman" w:hAnsi="Times New Roman"/>
          <w:sz w:val="20"/>
          <w:szCs w:val="20"/>
        </w:rPr>
        <w:t xml:space="preserve">general case </w:t>
      </w:r>
      <w:r w:rsidR="006152A2" w:rsidRPr="00582656">
        <w:rPr>
          <w:rFonts w:ascii="Times New Roman" w:hAnsi="Times New Roman"/>
          <w:sz w:val="20"/>
          <w:szCs w:val="20"/>
        </w:rPr>
        <w:t xml:space="preserve">is </w:t>
      </w:r>
      <w:r w:rsidR="0095332D" w:rsidRPr="00582656">
        <w:rPr>
          <w:rFonts w:ascii="Times New Roman" w:hAnsi="Times New Roman"/>
          <w:sz w:val="20"/>
          <w:szCs w:val="20"/>
        </w:rPr>
        <w:t>that there is no BSR</w:t>
      </w:r>
      <w:r w:rsidRPr="00582656">
        <w:rPr>
          <w:rFonts w:ascii="Times New Roman" w:hAnsi="Times New Roman"/>
          <w:sz w:val="20"/>
          <w:szCs w:val="20"/>
        </w:rPr>
        <w:t xml:space="preserve"> in initial transmission</w:t>
      </w:r>
      <w:r w:rsidR="0095332D" w:rsidRPr="00582656">
        <w:rPr>
          <w:rFonts w:ascii="Times New Roman" w:hAnsi="Times New Roman"/>
          <w:sz w:val="20"/>
          <w:szCs w:val="20"/>
        </w:rPr>
        <w:t xml:space="preserve"> but a potential UL</w:t>
      </w:r>
      <w:r w:rsidRPr="00582656">
        <w:rPr>
          <w:rFonts w:ascii="Times New Roman" w:hAnsi="Times New Roman"/>
          <w:sz w:val="20"/>
          <w:szCs w:val="20"/>
        </w:rPr>
        <w:t xml:space="preserve">/DL for UE, hence, </w:t>
      </w:r>
      <w:r w:rsidR="00484988" w:rsidRPr="00582656">
        <w:rPr>
          <w:rFonts w:ascii="Times New Roman" w:hAnsi="Times New Roman"/>
          <w:sz w:val="20"/>
          <w:szCs w:val="20"/>
        </w:rPr>
        <w:t xml:space="preserve">RAI and </w:t>
      </w:r>
      <w:r w:rsidR="00B55D22" w:rsidRPr="00582656">
        <w:rPr>
          <w:rFonts w:ascii="Times New Roman" w:hAnsi="Times New Roman" w:hint="eastAsia"/>
          <w:sz w:val="20"/>
          <w:szCs w:val="20"/>
        </w:rPr>
        <w:t>or</w:t>
      </w:r>
      <w:r w:rsidR="00B55D22" w:rsidRPr="00582656">
        <w:rPr>
          <w:rFonts w:ascii="Times New Roman" w:hAnsi="Times New Roman"/>
          <w:sz w:val="20"/>
          <w:szCs w:val="20"/>
        </w:rPr>
        <w:t xml:space="preserve"> </w:t>
      </w:r>
      <w:r w:rsidR="00484988" w:rsidRPr="00582656">
        <w:rPr>
          <w:rFonts w:ascii="Times New Roman" w:hAnsi="Times New Roman"/>
          <w:sz w:val="20"/>
          <w:szCs w:val="20"/>
        </w:rPr>
        <w:t xml:space="preserve">the information about the amount of the data expected to arrive </w:t>
      </w:r>
      <w:r w:rsidR="00B30E69" w:rsidRPr="00582656">
        <w:rPr>
          <w:rFonts w:ascii="Times New Roman" w:hAnsi="Times New Roman"/>
          <w:sz w:val="20"/>
          <w:szCs w:val="20"/>
        </w:rPr>
        <w:t>are</w:t>
      </w:r>
      <w:r w:rsidR="00484988" w:rsidRPr="00582656">
        <w:rPr>
          <w:rFonts w:ascii="Times New Roman" w:hAnsi="Times New Roman"/>
          <w:sz w:val="20"/>
          <w:szCs w:val="20"/>
        </w:rPr>
        <w:t xml:space="preserve"> desired to help gNB to make the reasonable </w:t>
      </w:r>
      <w:r w:rsidR="00B30E69" w:rsidRPr="00582656">
        <w:rPr>
          <w:rFonts w:ascii="Times New Roman" w:hAnsi="Times New Roman"/>
          <w:sz w:val="20"/>
          <w:szCs w:val="20"/>
        </w:rPr>
        <w:t>response, which could be to release UE to legacy inactive mode or continue the subsequent data transmission</w:t>
      </w:r>
      <w:r w:rsidR="006152A2" w:rsidRPr="00582656">
        <w:rPr>
          <w:rFonts w:ascii="Times New Roman" w:hAnsi="Times New Roman"/>
          <w:sz w:val="20"/>
          <w:szCs w:val="20"/>
        </w:rPr>
        <w:t xml:space="preserve"> possibly based on the C-RNTI for dynamic scheduling</w:t>
      </w:r>
      <w:r w:rsidR="00B30E69" w:rsidRPr="00582656">
        <w:rPr>
          <w:rFonts w:ascii="Times New Roman" w:hAnsi="Times New Roman"/>
          <w:sz w:val="20"/>
          <w:szCs w:val="20"/>
        </w:rPr>
        <w:t>.</w:t>
      </w:r>
    </w:p>
    <w:p w14:paraId="6EE93EE1" w14:textId="4B16E5B9" w:rsidR="003C4317" w:rsidRPr="00582656" w:rsidRDefault="00B30E69" w:rsidP="001E7ECF">
      <w:pPr>
        <w:spacing w:beforeLines="50" w:before="156" w:afterLines="50" w:after="156"/>
        <w:rPr>
          <w:rFonts w:ascii="Times New Roman" w:hAnsi="Times New Roman"/>
          <w:b/>
          <w:bCs/>
        </w:rPr>
      </w:pPr>
      <w:r w:rsidRPr="00582656">
        <w:rPr>
          <w:rFonts w:ascii="Times New Roman" w:hAnsi="Times New Roman"/>
          <w:b/>
          <w:bCs/>
        </w:rPr>
        <w:t>Proposal</w:t>
      </w:r>
      <w:r w:rsidR="00534789" w:rsidRPr="00582656">
        <w:rPr>
          <w:rFonts w:ascii="Times New Roman" w:hAnsi="Times New Roman"/>
          <w:b/>
          <w:bCs/>
        </w:rPr>
        <w:t xml:space="preserve"> </w:t>
      </w:r>
      <w:r w:rsidRPr="00582656">
        <w:rPr>
          <w:rFonts w:ascii="Times New Roman" w:hAnsi="Times New Roman"/>
          <w:b/>
          <w:bCs/>
        </w:rPr>
        <w:t>1: For the indication to presence of subsequent data,</w:t>
      </w:r>
      <w:r w:rsidR="006152A2" w:rsidRPr="00582656">
        <w:rPr>
          <w:rFonts w:ascii="Times New Roman" w:hAnsi="Times New Roman"/>
          <w:b/>
          <w:bCs/>
        </w:rPr>
        <w:t xml:space="preserve"> </w:t>
      </w:r>
      <w:r w:rsidR="00DF2464" w:rsidRPr="00582656">
        <w:rPr>
          <w:rFonts w:ascii="Times New Roman" w:hAnsi="Times New Roman"/>
          <w:b/>
          <w:bCs/>
        </w:rPr>
        <w:t xml:space="preserve">besides BSR, </w:t>
      </w:r>
      <w:r w:rsidRPr="00582656">
        <w:rPr>
          <w:rFonts w:ascii="Times New Roman" w:hAnsi="Times New Roman"/>
          <w:b/>
          <w:bCs/>
        </w:rPr>
        <w:t xml:space="preserve">RAI </w:t>
      </w:r>
      <w:r w:rsidR="00385DD1" w:rsidRPr="00582656">
        <w:rPr>
          <w:rFonts w:ascii="Times New Roman" w:hAnsi="Times New Roman"/>
          <w:b/>
          <w:bCs/>
        </w:rPr>
        <w:t xml:space="preserve">or </w:t>
      </w:r>
      <w:r w:rsidR="00B55D22" w:rsidRPr="00582656">
        <w:rPr>
          <w:rFonts w:ascii="Times New Roman" w:hAnsi="Times New Roman"/>
          <w:b/>
          <w:bCs/>
        </w:rPr>
        <w:t xml:space="preserve">the information about the amount of the data expected to arrive </w:t>
      </w:r>
      <w:r w:rsidRPr="00582656">
        <w:rPr>
          <w:rFonts w:ascii="Times New Roman" w:hAnsi="Times New Roman"/>
          <w:b/>
          <w:bCs/>
        </w:rPr>
        <w:t>are desired to help gNB to make the reasonable response.</w:t>
      </w:r>
    </w:p>
    <w:p w14:paraId="13F35C98" w14:textId="75916911" w:rsidR="00D5420E" w:rsidRDefault="00D5420E" w:rsidP="00C665C4">
      <w:pPr>
        <w:spacing w:beforeLines="50" w:before="156" w:afterLines="50" w:after="156"/>
        <w:rPr>
          <w:rFonts w:ascii="Times New Roman" w:hAnsi="Times New Roman"/>
          <w:b/>
          <w:bCs/>
          <w:sz w:val="24"/>
          <w:szCs w:val="24"/>
          <w:u w:val="single"/>
        </w:rPr>
      </w:pPr>
      <w:r w:rsidRPr="00D5420E">
        <w:rPr>
          <w:rFonts w:ascii="Times New Roman" w:hAnsi="Times New Roman"/>
          <w:b/>
          <w:bCs/>
          <w:sz w:val="24"/>
          <w:szCs w:val="24"/>
          <w:u w:val="single"/>
        </w:rPr>
        <w:lastRenderedPageBreak/>
        <w:t>For SRB in SDT</w:t>
      </w:r>
    </w:p>
    <w:p w14:paraId="62298F70" w14:textId="0C8F4DC4" w:rsidR="006D4D9C" w:rsidRPr="00DB0AE8" w:rsidRDefault="00D5420E" w:rsidP="006D4D9C">
      <w:pPr>
        <w:rPr>
          <w:rFonts w:ascii="Times New Roman" w:hAnsi="Times New Roman"/>
          <w:sz w:val="20"/>
          <w:szCs w:val="20"/>
          <w:lang w:val="en-GB"/>
        </w:rPr>
      </w:pPr>
      <w:bookmarkStart w:id="3" w:name="OLE_LINK52"/>
      <w:r w:rsidRPr="00534789">
        <w:rPr>
          <w:rFonts w:ascii="Times New Roman" w:hAnsi="Times New Roman"/>
          <w:sz w:val="20"/>
          <w:szCs w:val="20"/>
        </w:rPr>
        <w:t xml:space="preserve">Referring to the </w:t>
      </w:r>
      <w:r w:rsidR="005D1CCE" w:rsidRPr="00534789">
        <w:rPr>
          <w:rFonts w:ascii="Times New Roman" w:hAnsi="Times New Roman"/>
          <w:sz w:val="20"/>
          <w:szCs w:val="20"/>
        </w:rPr>
        <w:t>WI in [</w:t>
      </w:r>
      <w:r w:rsidR="00841CF2">
        <w:rPr>
          <w:rFonts w:ascii="Times New Roman" w:hAnsi="Times New Roman"/>
          <w:sz w:val="20"/>
          <w:szCs w:val="20"/>
        </w:rPr>
        <w:t>3</w:t>
      </w:r>
      <w:r w:rsidR="005D1CCE" w:rsidRPr="00534789">
        <w:rPr>
          <w:rFonts w:ascii="Times New Roman" w:hAnsi="Times New Roman"/>
          <w:sz w:val="20"/>
          <w:szCs w:val="20"/>
        </w:rPr>
        <w:t xml:space="preserve">], it is said to specify configuring of SRB1 and SRB2 for small data transmission in RRC_INACTIVE state by reusing the framework for DRBs. </w:t>
      </w:r>
    </w:p>
    <w:p w14:paraId="67AA9B8A" w14:textId="7AE8AC65" w:rsidR="006D4D9C" w:rsidRPr="00DB0AE8" w:rsidRDefault="006D4D9C" w:rsidP="006D4D9C">
      <w:pPr>
        <w:rPr>
          <w:rFonts w:ascii="Times New Roman" w:hAnsi="Times New Roman"/>
          <w:sz w:val="20"/>
          <w:szCs w:val="20"/>
          <w:lang w:val="en-GB"/>
        </w:rPr>
      </w:pPr>
      <w:r>
        <w:rPr>
          <w:rFonts w:ascii="Times New Roman" w:hAnsi="Times New Roman"/>
          <w:sz w:val="20"/>
          <w:szCs w:val="20"/>
          <w:lang w:val="en-GB"/>
        </w:rPr>
        <w:t>Also considering</w:t>
      </w:r>
      <w:r w:rsidRPr="00DB0AE8">
        <w:rPr>
          <w:rFonts w:ascii="Times New Roman" w:hAnsi="Times New Roman"/>
          <w:sz w:val="20"/>
          <w:szCs w:val="20"/>
          <w:lang w:val="en-GB"/>
        </w:rPr>
        <w:t xml:space="preserve"> the existing agreements on SDT DRB and the configurations for SDT, the majority of them are explicitly agreed to be configured in the RRCRelease message. </w:t>
      </w:r>
    </w:p>
    <w:p w14:paraId="5D6232DB" w14:textId="77777777" w:rsidR="006D4D9C" w:rsidRPr="00DB0AE8" w:rsidRDefault="006D4D9C" w:rsidP="006D4D9C">
      <w:pPr>
        <w:rPr>
          <w:rFonts w:ascii="Times New Roman" w:hAnsi="Times New Roman"/>
          <w:sz w:val="20"/>
          <w:szCs w:val="20"/>
          <w:lang w:val="en-GB"/>
        </w:rPr>
      </w:pPr>
      <w:r w:rsidRPr="00DB0AE8">
        <w:rPr>
          <w:rFonts w:ascii="Times New Roman" w:hAnsi="Times New Roman"/>
          <w:sz w:val="20"/>
          <w:szCs w:val="20"/>
          <w:lang w:val="en-GB"/>
        </w:rPr>
        <w:t>Since the SRB2 is agreed to be configured for SDT in addition to SDT DRBs, it’s easy to implement via the same configuration procedure for both of SDT SRB2 and SDT DRBs.</w:t>
      </w:r>
    </w:p>
    <w:bookmarkEnd w:id="3"/>
    <w:p w14:paraId="271A5DE4" w14:textId="77CDEF9A"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Some related </w:t>
      </w:r>
      <w:r w:rsidR="004160EF" w:rsidRPr="00534789">
        <w:rPr>
          <w:rFonts w:ascii="Times New Roman" w:hAnsi="Times New Roman"/>
          <w:sz w:val="20"/>
          <w:szCs w:val="20"/>
        </w:rPr>
        <w:t>discussions [</w:t>
      </w:r>
      <w:r w:rsidR="002E76A5">
        <w:rPr>
          <w:rFonts w:ascii="Times New Roman" w:hAnsi="Times New Roman"/>
          <w:sz w:val="20"/>
          <w:szCs w:val="20"/>
        </w:rPr>
        <w:t>4</w:t>
      </w:r>
      <w:r w:rsidRPr="00534789">
        <w:rPr>
          <w:rFonts w:ascii="Times New Roman" w:hAnsi="Times New Roman"/>
          <w:sz w:val="20"/>
          <w:szCs w:val="20"/>
        </w:rPr>
        <w:t>] [</w:t>
      </w:r>
      <w:r w:rsidR="0092146D">
        <w:rPr>
          <w:rFonts w:ascii="Times New Roman" w:hAnsi="Times New Roman"/>
          <w:sz w:val="20"/>
          <w:szCs w:val="20"/>
        </w:rPr>
        <w:t>5</w:t>
      </w:r>
      <w:r w:rsidRPr="00534789">
        <w:rPr>
          <w:rFonts w:ascii="Times New Roman" w:hAnsi="Times New Roman"/>
          <w:sz w:val="20"/>
          <w:szCs w:val="20"/>
        </w:rPr>
        <w:t xml:space="preserve">] have mentioned that the SRB2 data can be multiplexed with SDT DRB using the legacy LCP procedure. We also agree with that. However, it is not clear whether allowing the SRB2 to initiate a SDT without any data arrival in SDT DRBs. </w:t>
      </w:r>
    </w:p>
    <w:p w14:paraId="3990BB16" w14:textId="42F152E1"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To simplify the implementation, it is better to apply a general procedure for the SDT SRB and SDT DRB. Then, allowing a configured SDT SRB2 to initiate a SDT if there is not any data arrival in the SDT DRBs</w:t>
      </w:r>
      <w:r w:rsidR="00107A4A">
        <w:rPr>
          <w:rFonts w:ascii="Times New Roman" w:hAnsi="Times New Roman"/>
          <w:sz w:val="20"/>
          <w:szCs w:val="20"/>
        </w:rPr>
        <w:t>.</w:t>
      </w:r>
    </w:p>
    <w:p w14:paraId="00660ADF" w14:textId="4C4386AD" w:rsidR="00D5420E" w:rsidRDefault="00D5420E" w:rsidP="00D5420E">
      <w:pPr>
        <w:spacing w:beforeLines="50" w:before="156" w:afterLines="50" w:after="156"/>
        <w:rPr>
          <w:rFonts w:ascii="Times New Roman" w:hAnsi="Times New Roman"/>
          <w:b/>
          <w:bCs/>
        </w:rPr>
      </w:pPr>
      <w:r w:rsidRPr="00DB0AE8">
        <w:rPr>
          <w:rFonts w:ascii="Times New Roman" w:hAnsi="Times New Roman"/>
          <w:b/>
          <w:bCs/>
        </w:rPr>
        <w:t xml:space="preserve">Proposal </w:t>
      </w:r>
      <w:r w:rsidR="00107A4A">
        <w:rPr>
          <w:rFonts w:ascii="Times New Roman" w:hAnsi="Times New Roman"/>
          <w:b/>
          <w:bCs/>
        </w:rPr>
        <w:t>2</w:t>
      </w:r>
      <w:r w:rsidRPr="00DB0AE8">
        <w:rPr>
          <w:rFonts w:ascii="Times New Roman" w:hAnsi="Times New Roman"/>
          <w:b/>
          <w:bCs/>
        </w:rPr>
        <w:t xml:space="preserve">: </w:t>
      </w:r>
      <w:r>
        <w:rPr>
          <w:rFonts w:ascii="Times New Roman" w:hAnsi="Times New Roman"/>
          <w:b/>
          <w:bCs/>
        </w:rPr>
        <w:t xml:space="preserve">A SDT can be initiated by the data arrival of </w:t>
      </w:r>
      <w:r w:rsidR="00534789">
        <w:rPr>
          <w:rFonts w:ascii="Times New Roman" w:hAnsi="Times New Roman"/>
          <w:b/>
          <w:bCs/>
        </w:rPr>
        <w:t xml:space="preserve">only </w:t>
      </w:r>
      <w:r>
        <w:rPr>
          <w:rFonts w:ascii="Times New Roman" w:hAnsi="Times New Roman"/>
          <w:b/>
          <w:bCs/>
        </w:rPr>
        <w:t>SDT SRB</w:t>
      </w:r>
      <w:r w:rsidRPr="00DB0AE8">
        <w:rPr>
          <w:rFonts w:ascii="Times New Roman" w:hAnsi="Times New Roman"/>
          <w:b/>
          <w:bCs/>
        </w:rPr>
        <w:t>.</w:t>
      </w:r>
    </w:p>
    <w:p w14:paraId="08A13285" w14:textId="16DFE45D" w:rsidR="00D5420E" w:rsidRPr="00534789" w:rsidRDefault="00D5420E" w:rsidP="00D5420E">
      <w:pPr>
        <w:spacing w:beforeLines="50" w:before="156" w:afterLines="50" w:after="156"/>
        <w:rPr>
          <w:rFonts w:ascii="Times New Roman" w:hAnsi="Times New Roman"/>
          <w:sz w:val="20"/>
          <w:szCs w:val="20"/>
        </w:rPr>
      </w:pPr>
      <w:r w:rsidRPr="00534789">
        <w:rPr>
          <w:rFonts w:ascii="Times New Roman" w:hAnsi="Times New Roman"/>
          <w:sz w:val="20"/>
          <w:szCs w:val="20"/>
        </w:rPr>
        <w:t xml:space="preserve">It is simple for the implementation to configure a </w:t>
      </w:r>
      <w:r w:rsidR="005D1CCE" w:rsidRPr="00534789">
        <w:rPr>
          <w:rFonts w:ascii="Times New Roman" w:hAnsi="Times New Roman"/>
          <w:sz w:val="20"/>
          <w:szCs w:val="20"/>
        </w:rPr>
        <w:t>common</w:t>
      </w:r>
      <w:r w:rsidRPr="00534789">
        <w:rPr>
          <w:rFonts w:ascii="Times New Roman" w:hAnsi="Times New Roman"/>
          <w:sz w:val="20"/>
          <w:szCs w:val="20"/>
        </w:rPr>
        <w:t xml:space="preserve"> data volume threshold for the potential SDT DRBs and SDT SRBs. However</w:t>
      </w:r>
      <w:r w:rsidR="00A54580">
        <w:rPr>
          <w:rFonts w:ascii="Times New Roman" w:hAnsi="Times New Roman"/>
          <w:sz w:val="20"/>
          <w:szCs w:val="20"/>
        </w:rPr>
        <w:t>,</w:t>
      </w:r>
      <w:r w:rsidRPr="00534789">
        <w:rPr>
          <w:rFonts w:ascii="Times New Roman" w:hAnsi="Times New Roman"/>
          <w:sz w:val="20"/>
          <w:szCs w:val="20"/>
        </w:rPr>
        <w:t xml:space="preserve"> it may be not accurate to control the initiation of a SDT. The separate data volume threshold can work bett</w:t>
      </w:r>
      <w:r w:rsidR="005D1CCE" w:rsidRPr="00534789">
        <w:rPr>
          <w:rFonts w:ascii="Times New Roman" w:hAnsi="Times New Roman"/>
          <w:sz w:val="20"/>
          <w:szCs w:val="20"/>
        </w:rPr>
        <w:t>er</w:t>
      </w:r>
      <w:r w:rsidRPr="00534789">
        <w:rPr>
          <w:rFonts w:ascii="Times New Roman" w:hAnsi="Times New Roman"/>
          <w:sz w:val="20"/>
          <w:szCs w:val="20"/>
        </w:rPr>
        <w:t xml:space="preserve"> especially </w:t>
      </w:r>
      <w:r w:rsidR="005D1CCE" w:rsidRPr="00534789">
        <w:rPr>
          <w:rFonts w:ascii="Times New Roman" w:hAnsi="Times New Roman"/>
          <w:sz w:val="20"/>
          <w:szCs w:val="20"/>
        </w:rPr>
        <w:t>when</w:t>
      </w:r>
      <w:r w:rsidRPr="00534789">
        <w:rPr>
          <w:rFonts w:ascii="Times New Roman" w:hAnsi="Times New Roman"/>
          <w:sz w:val="20"/>
          <w:szCs w:val="20"/>
        </w:rPr>
        <w:t xml:space="preserve"> the LCHs are configured with </w:t>
      </w:r>
      <w:r w:rsidRPr="004160EF">
        <w:rPr>
          <w:rFonts w:ascii="Times New Roman" w:hAnsi="Times New Roman"/>
          <w:i/>
          <w:sz w:val="20"/>
          <w:szCs w:val="20"/>
        </w:rPr>
        <w:t>allowedCG-List</w:t>
      </w:r>
      <w:r w:rsidRPr="00534789">
        <w:rPr>
          <w:rFonts w:ascii="Times New Roman" w:hAnsi="Times New Roman"/>
          <w:sz w:val="20"/>
          <w:szCs w:val="20"/>
        </w:rPr>
        <w:t xml:space="preserve">. </w:t>
      </w:r>
      <w:r w:rsidR="000E5ED5">
        <w:rPr>
          <w:rFonts w:ascii="Times New Roman" w:hAnsi="Times New Roman"/>
          <w:sz w:val="20"/>
          <w:szCs w:val="20"/>
        </w:rPr>
        <w:t xml:space="preserve">For </w:t>
      </w:r>
      <w:r w:rsidR="000E5ED5" w:rsidRPr="002E38D2">
        <w:rPr>
          <w:rFonts w:ascii="Times New Roman" w:hAnsi="Times New Roman"/>
          <w:sz w:val="20"/>
          <w:szCs w:val="20"/>
        </w:rPr>
        <w:t>example, a</w:t>
      </w:r>
      <w:r w:rsidR="000373E0">
        <w:rPr>
          <w:rFonts w:ascii="Times New Roman" w:hAnsi="Times New Roman"/>
          <w:sz w:val="20"/>
          <w:szCs w:val="20"/>
        </w:rPr>
        <w:t xml:space="preserve"> LCH corresponding the</w:t>
      </w:r>
      <w:r w:rsidR="000E5ED5" w:rsidRPr="002E38D2">
        <w:rPr>
          <w:rFonts w:ascii="Times New Roman" w:hAnsi="Times New Roman"/>
          <w:sz w:val="20"/>
          <w:szCs w:val="20"/>
        </w:rPr>
        <w:t xml:space="preserve"> SDT SRB is restricted </w:t>
      </w:r>
      <w:r w:rsidR="000373E0">
        <w:rPr>
          <w:rFonts w:ascii="Times New Roman" w:hAnsi="Times New Roman"/>
          <w:sz w:val="20"/>
          <w:szCs w:val="20"/>
        </w:rPr>
        <w:t xml:space="preserve">by the </w:t>
      </w:r>
      <w:r w:rsidR="000373E0" w:rsidRPr="004160EF">
        <w:rPr>
          <w:rFonts w:ascii="Times New Roman" w:hAnsi="Times New Roman"/>
          <w:i/>
          <w:sz w:val="20"/>
          <w:szCs w:val="20"/>
        </w:rPr>
        <w:t>allowedCG-List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to use CG#1, </w:t>
      </w:r>
      <w:r w:rsidR="000373E0">
        <w:rPr>
          <w:rFonts w:ascii="Times New Roman" w:hAnsi="Times New Roman"/>
          <w:sz w:val="20"/>
          <w:szCs w:val="20"/>
        </w:rPr>
        <w:t xml:space="preserve">similarly, </w:t>
      </w:r>
      <w:r w:rsidR="000E5ED5">
        <w:rPr>
          <w:rFonts w:ascii="Times New Roman" w:hAnsi="Times New Roman"/>
          <w:sz w:val="20"/>
          <w:szCs w:val="20"/>
        </w:rPr>
        <w:t xml:space="preserve">a </w:t>
      </w:r>
      <w:r w:rsidR="000373E0">
        <w:rPr>
          <w:rFonts w:ascii="Times New Roman" w:hAnsi="Times New Roman"/>
          <w:sz w:val="20"/>
          <w:szCs w:val="20"/>
        </w:rPr>
        <w:t>LCH corresponding the</w:t>
      </w:r>
      <w:r w:rsidR="000373E0" w:rsidRPr="002E38D2">
        <w:rPr>
          <w:rFonts w:ascii="Times New Roman" w:hAnsi="Times New Roman"/>
          <w:sz w:val="20"/>
          <w:szCs w:val="20"/>
        </w:rPr>
        <w:t xml:space="preserve"> </w:t>
      </w:r>
      <w:r w:rsidR="000E5ED5" w:rsidRPr="002E38D2">
        <w:rPr>
          <w:rFonts w:ascii="Times New Roman" w:hAnsi="Times New Roman"/>
          <w:sz w:val="20"/>
          <w:szCs w:val="20"/>
        </w:rPr>
        <w:t xml:space="preserve">SDT DRB is restricted </w:t>
      </w:r>
      <w:r w:rsidR="000373E0">
        <w:rPr>
          <w:rFonts w:ascii="Times New Roman" w:hAnsi="Times New Roman"/>
          <w:sz w:val="20"/>
          <w:szCs w:val="20"/>
        </w:rPr>
        <w:t xml:space="preserve">by the </w:t>
      </w:r>
      <w:r w:rsidR="000373E0" w:rsidRPr="004160EF">
        <w:rPr>
          <w:rFonts w:ascii="Times New Roman" w:hAnsi="Times New Roman"/>
          <w:i/>
          <w:sz w:val="20"/>
          <w:szCs w:val="20"/>
        </w:rPr>
        <w:t>allowedCG-List</w:t>
      </w:r>
      <w:r w:rsidR="000373E0" w:rsidRPr="002E38D2">
        <w:rPr>
          <w:rFonts w:ascii="Times New Roman" w:hAnsi="Times New Roman"/>
          <w:sz w:val="20"/>
          <w:szCs w:val="20"/>
        </w:rPr>
        <w:t xml:space="preserve"> </w:t>
      </w:r>
      <w:r w:rsidR="000E5ED5" w:rsidRPr="002E38D2">
        <w:rPr>
          <w:rFonts w:ascii="Times New Roman" w:hAnsi="Times New Roman"/>
          <w:sz w:val="20"/>
          <w:szCs w:val="20"/>
        </w:rPr>
        <w:t>to use CG#2,</w:t>
      </w:r>
      <w:r w:rsidR="000E5ED5">
        <w:rPr>
          <w:rFonts w:ascii="Times New Roman" w:hAnsi="Times New Roman"/>
          <w:sz w:val="20"/>
          <w:szCs w:val="20"/>
        </w:rPr>
        <w:t xml:space="preserve"> and</w:t>
      </w:r>
      <w:r w:rsidR="000E5ED5" w:rsidRPr="002E38D2">
        <w:rPr>
          <w:rFonts w:ascii="Times New Roman" w:hAnsi="Times New Roman"/>
          <w:sz w:val="20"/>
          <w:szCs w:val="20"/>
        </w:rPr>
        <w:t xml:space="preserve"> the period of CG#1 is longer and the TBS is larger (assuming the SRB data size is large). Then a separ</w:t>
      </w:r>
      <w:r w:rsidR="000E5ED5" w:rsidRPr="000E5ED5">
        <w:rPr>
          <w:rFonts w:ascii="Times New Roman" w:hAnsi="Times New Roman"/>
          <w:sz w:val="20"/>
          <w:szCs w:val="20"/>
        </w:rPr>
        <w:t>ate threshold can control the i</w:t>
      </w:r>
      <w:r w:rsidR="000E5ED5">
        <w:rPr>
          <w:rFonts w:ascii="Times New Roman" w:hAnsi="Times New Roman"/>
          <w:sz w:val="20"/>
          <w:szCs w:val="20"/>
        </w:rPr>
        <w:t>n</w:t>
      </w:r>
      <w:r w:rsidR="000E5ED5" w:rsidRPr="000E5ED5">
        <w:rPr>
          <w:rFonts w:ascii="Times New Roman" w:hAnsi="Times New Roman"/>
          <w:sz w:val="20"/>
          <w:szCs w:val="20"/>
        </w:rPr>
        <w:t>itiation</w:t>
      </w:r>
      <w:r w:rsidR="000E5ED5" w:rsidRPr="002E38D2">
        <w:rPr>
          <w:rFonts w:ascii="Times New Roman" w:hAnsi="Times New Roman"/>
          <w:sz w:val="20"/>
          <w:szCs w:val="20"/>
        </w:rPr>
        <w:t xml:space="preserve"> of a SDT </w:t>
      </w:r>
      <w:r w:rsidR="000E5ED5">
        <w:rPr>
          <w:rFonts w:ascii="Times New Roman" w:hAnsi="Times New Roman"/>
          <w:sz w:val="20"/>
          <w:szCs w:val="20"/>
        </w:rPr>
        <w:t>according to the different characteristic</w:t>
      </w:r>
      <w:r w:rsidR="005647CC">
        <w:rPr>
          <w:rFonts w:ascii="Times New Roman" w:hAnsi="Times New Roman"/>
          <w:sz w:val="20"/>
          <w:szCs w:val="20"/>
        </w:rPr>
        <w:t>s</w:t>
      </w:r>
      <w:r w:rsidR="000E5ED5" w:rsidRPr="002E38D2">
        <w:rPr>
          <w:rFonts w:ascii="Times New Roman" w:hAnsi="Times New Roman"/>
          <w:sz w:val="20"/>
          <w:szCs w:val="20"/>
        </w:rPr>
        <w:t>.</w:t>
      </w:r>
    </w:p>
    <w:p w14:paraId="6678B280" w14:textId="1C3DE39A" w:rsidR="00D5420E" w:rsidRPr="00D5420E" w:rsidRDefault="00D5420E" w:rsidP="00C665C4">
      <w:pPr>
        <w:spacing w:beforeLines="50" w:before="156" w:afterLines="50" w:after="156"/>
        <w:rPr>
          <w:rFonts w:ascii="Times New Roman" w:hAnsi="Times New Roman"/>
          <w:b/>
          <w:bCs/>
          <w:sz w:val="24"/>
          <w:szCs w:val="24"/>
          <w:u w:val="single"/>
        </w:rPr>
      </w:pPr>
      <w:r w:rsidRPr="00DB0AE8">
        <w:rPr>
          <w:rFonts w:ascii="Times New Roman" w:hAnsi="Times New Roman"/>
          <w:b/>
          <w:bCs/>
        </w:rPr>
        <w:t xml:space="preserve">Proposal </w:t>
      </w:r>
      <w:r w:rsidR="00FF3377">
        <w:rPr>
          <w:rFonts w:ascii="Times New Roman" w:hAnsi="Times New Roman"/>
          <w:b/>
          <w:bCs/>
        </w:rPr>
        <w:t>3</w:t>
      </w:r>
      <w:r w:rsidRPr="00DB0AE8">
        <w:rPr>
          <w:rFonts w:ascii="Times New Roman" w:hAnsi="Times New Roman"/>
          <w:b/>
          <w:bCs/>
        </w:rPr>
        <w:t xml:space="preserve">: </w:t>
      </w:r>
      <w:r>
        <w:rPr>
          <w:rFonts w:ascii="Times New Roman" w:hAnsi="Times New Roman"/>
          <w:b/>
          <w:bCs/>
        </w:rPr>
        <w:t xml:space="preserve">RAN2 </w:t>
      </w:r>
      <w:r w:rsidR="00F156AC">
        <w:rPr>
          <w:rFonts w:ascii="Times New Roman" w:hAnsi="Times New Roman"/>
          <w:b/>
          <w:bCs/>
        </w:rPr>
        <w:t xml:space="preserve">to </w:t>
      </w:r>
      <w:r>
        <w:rPr>
          <w:rFonts w:ascii="Times New Roman" w:hAnsi="Times New Roman"/>
          <w:b/>
          <w:bCs/>
        </w:rPr>
        <w:t xml:space="preserve">discuss and decide </w:t>
      </w:r>
      <w:r w:rsidR="005D1CCE">
        <w:rPr>
          <w:rFonts w:ascii="Times New Roman" w:hAnsi="Times New Roman"/>
          <w:b/>
          <w:bCs/>
        </w:rPr>
        <w:t>a</w:t>
      </w:r>
      <w:r>
        <w:rPr>
          <w:rFonts w:ascii="Times New Roman" w:hAnsi="Times New Roman"/>
          <w:b/>
          <w:bCs/>
        </w:rPr>
        <w:t xml:space="preserve"> </w:t>
      </w:r>
      <w:r w:rsidR="005D1CCE">
        <w:rPr>
          <w:rFonts w:ascii="Times New Roman" w:hAnsi="Times New Roman"/>
          <w:b/>
          <w:bCs/>
        </w:rPr>
        <w:t>common</w:t>
      </w:r>
      <w:r>
        <w:rPr>
          <w:rFonts w:ascii="Times New Roman" w:hAnsi="Times New Roman"/>
          <w:b/>
          <w:bCs/>
        </w:rPr>
        <w:t xml:space="preserve"> data volume or </w:t>
      </w:r>
      <w:r w:rsidR="005D1CCE">
        <w:rPr>
          <w:rFonts w:ascii="Times New Roman" w:hAnsi="Times New Roman"/>
          <w:b/>
          <w:bCs/>
        </w:rPr>
        <w:t>a</w:t>
      </w:r>
      <w:r>
        <w:rPr>
          <w:rFonts w:ascii="Times New Roman" w:hAnsi="Times New Roman"/>
          <w:b/>
          <w:bCs/>
        </w:rPr>
        <w:t xml:space="preserve"> separate data volume </w:t>
      </w:r>
      <w:r w:rsidR="00F156AC">
        <w:rPr>
          <w:rFonts w:ascii="Times New Roman" w:hAnsi="Times New Roman"/>
          <w:b/>
          <w:bCs/>
        </w:rPr>
        <w:t>is</w:t>
      </w:r>
      <w:r>
        <w:rPr>
          <w:rFonts w:ascii="Times New Roman" w:hAnsi="Times New Roman"/>
          <w:b/>
          <w:bCs/>
        </w:rPr>
        <w:t xml:space="preserve"> applied for SDT SRBs and DRBs</w:t>
      </w:r>
      <w:r w:rsidR="00F156AC">
        <w:rPr>
          <w:rFonts w:ascii="Times New Roman" w:hAnsi="Times New Roman"/>
          <w:b/>
          <w:bCs/>
        </w:rPr>
        <w:t xml:space="preserve"> to </w:t>
      </w:r>
      <w:r w:rsidR="00F156AC" w:rsidRPr="004E7D67">
        <w:rPr>
          <w:rFonts w:ascii="Times New Roman" w:hAnsi="Times New Roman"/>
          <w:b/>
          <w:bCs/>
        </w:rPr>
        <w:t>decide whether to do SDT or not</w:t>
      </w:r>
      <w:r>
        <w:rPr>
          <w:rFonts w:ascii="Times New Roman" w:hAnsi="Times New Roman"/>
          <w:b/>
          <w:bCs/>
        </w:rPr>
        <w:t>.</w:t>
      </w:r>
    </w:p>
    <w:p w14:paraId="4414D1CE" w14:textId="77777777" w:rsidR="00534789" w:rsidRPr="005C1383" w:rsidRDefault="00D5420E" w:rsidP="00D5420E">
      <w:pPr>
        <w:spacing w:beforeLines="50" w:before="156" w:afterLines="50" w:after="156"/>
        <w:rPr>
          <w:rFonts w:ascii="Times New Roman" w:hAnsi="Times New Roman"/>
          <w:b/>
          <w:bCs/>
          <w:sz w:val="24"/>
          <w:szCs w:val="24"/>
          <w:u w:val="single"/>
        </w:rPr>
      </w:pPr>
      <w:r w:rsidRPr="005C1383">
        <w:rPr>
          <w:rFonts w:ascii="Times New Roman" w:hAnsi="Times New Roman"/>
          <w:b/>
          <w:bCs/>
          <w:sz w:val="24"/>
          <w:szCs w:val="24"/>
          <w:u w:val="single"/>
        </w:rPr>
        <w:t>RNAU</w:t>
      </w:r>
    </w:p>
    <w:p w14:paraId="16284B85" w14:textId="71AB7D97" w:rsidR="00D5420E" w:rsidRPr="005C1383" w:rsidRDefault="00D5420E" w:rsidP="00D5420E">
      <w:pPr>
        <w:spacing w:beforeLines="50" w:before="156" w:afterLines="50" w:after="156"/>
        <w:rPr>
          <w:rFonts w:ascii="Times New Roman" w:hAnsi="Times New Roman"/>
          <w:sz w:val="20"/>
          <w:szCs w:val="20"/>
        </w:rPr>
      </w:pPr>
      <w:r w:rsidRPr="005C1383">
        <w:rPr>
          <w:rFonts w:ascii="Times New Roman" w:hAnsi="Times New Roman"/>
          <w:sz w:val="20"/>
          <w:szCs w:val="20"/>
        </w:rPr>
        <w:t xml:space="preserve">According to current specification, RNAU (RAN-based Notification Area Update) should be performed for inactive UE. A UE in the RRC_INACTIVE state can be configured by the last serving NG-RAN node with an RNA and a timer (t380) for RNAU. RNAU is triggered based on the configured timer and the RAN area change. RRCResumeRequest including a cause of RNA-update will be transmitted to the RAN node. The purpose of RNAU is used to inform network that UE is still located in this RAN area and the UE is reachable. If the inactive UE successfully completes the small data transmission, the network can identify this UE. Taking the re-location case as an example, the serving cell can identify this UE based on the retrieved UE context </w:t>
      </w:r>
      <w:r w:rsidR="00F838A3" w:rsidRPr="005C1383">
        <w:rPr>
          <w:rFonts w:ascii="Times New Roman" w:hAnsi="Times New Roman"/>
          <w:sz w:val="20"/>
          <w:szCs w:val="20"/>
        </w:rPr>
        <w:t xml:space="preserve">in </w:t>
      </w:r>
      <w:r w:rsidRPr="005C1383">
        <w:rPr>
          <w:rFonts w:ascii="Times New Roman" w:hAnsi="Times New Roman"/>
          <w:sz w:val="20"/>
          <w:szCs w:val="20"/>
        </w:rPr>
        <w:t xml:space="preserve">the </w:t>
      </w:r>
      <w:r w:rsidR="00F838A3" w:rsidRPr="005C1383">
        <w:rPr>
          <w:rFonts w:ascii="Times New Roman" w:hAnsi="Times New Roman"/>
          <w:sz w:val="20"/>
          <w:szCs w:val="20"/>
        </w:rPr>
        <w:t>SDT procedure</w:t>
      </w:r>
      <w:r w:rsidRPr="005C1383">
        <w:rPr>
          <w:rFonts w:ascii="Times New Roman" w:hAnsi="Times New Roman"/>
          <w:sz w:val="20"/>
          <w:szCs w:val="20"/>
        </w:rPr>
        <w:t>. Therefore, it seems unnecessary to perform RNAU again during the SDT procedure.</w:t>
      </w:r>
    </w:p>
    <w:p w14:paraId="22E5FB52" w14:textId="00C347B0" w:rsidR="00D5420E" w:rsidRPr="005C1383" w:rsidRDefault="00D5420E" w:rsidP="00D5420E">
      <w:pPr>
        <w:spacing w:beforeLines="50" w:before="156" w:afterLines="50" w:after="156"/>
        <w:rPr>
          <w:rFonts w:ascii="Times New Roman" w:hAnsi="Times New Roman"/>
          <w:b/>
          <w:bCs/>
        </w:rPr>
      </w:pPr>
      <w:r w:rsidRPr="005C1383">
        <w:rPr>
          <w:rFonts w:ascii="Times New Roman" w:hAnsi="Times New Roman"/>
          <w:b/>
          <w:bCs/>
        </w:rPr>
        <w:t xml:space="preserve">Proposal </w:t>
      </w:r>
      <w:r w:rsidR="00FF3377">
        <w:rPr>
          <w:rFonts w:ascii="Times New Roman" w:hAnsi="Times New Roman"/>
          <w:b/>
          <w:bCs/>
        </w:rPr>
        <w:t>4</w:t>
      </w:r>
      <w:r w:rsidRPr="005C1383">
        <w:rPr>
          <w:rFonts w:ascii="Times New Roman" w:hAnsi="Times New Roman"/>
          <w:b/>
          <w:bCs/>
        </w:rPr>
        <w:t xml:space="preserve">: RAN2 needs to study </w:t>
      </w:r>
      <w:r w:rsidR="0098253D" w:rsidRPr="005C1383">
        <w:rPr>
          <w:rFonts w:ascii="Times New Roman" w:hAnsi="Times New Roman"/>
          <w:b/>
          <w:bCs/>
        </w:rPr>
        <w:t xml:space="preserve">how to handle </w:t>
      </w:r>
      <w:r w:rsidRPr="005C1383">
        <w:rPr>
          <w:rFonts w:ascii="Times New Roman" w:hAnsi="Times New Roman"/>
          <w:b/>
          <w:bCs/>
        </w:rPr>
        <w:t>t380 after UE has initiated SDT procedure.</w:t>
      </w:r>
    </w:p>
    <w:p w14:paraId="6BE72FA2" w14:textId="77777777" w:rsidR="00D5420E" w:rsidRPr="005C1383" w:rsidRDefault="00D5420E" w:rsidP="00D5420E">
      <w:pPr>
        <w:spacing w:beforeLines="50" w:before="156" w:afterLines="50" w:after="156"/>
        <w:rPr>
          <w:rFonts w:ascii="Times New Roman" w:hAnsi="Times New Roman"/>
          <w:sz w:val="20"/>
          <w:szCs w:val="20"/>
        </w:rPr>
      </w:pPr>
      <w:r w:rsidRPr="005C1383">
        <w:rPr>
          <w:rFonts w:ascii="Times New Roman" w:hAnsi="Times New Roman"/>
          <w:sz w:val="20"/>
          <w:szCs w:val="20"/>
        </w:rPr>
        <w:t>It is possible that UL data arrives during RNAU. Specifically, inactive UE performs RACH for RNAU upon t308 expiry. UL data associated with SDT or non-SDT arrives during RACH for RNAU purpose.</w:t>
      </w:r>
    </w:p>
    <w:p w14:paraId="1F1B588F" w14:textId="00C1F280" w:rsidR="00D5420E" w:rsidRPr="005C1383" w:rsidRDefault="00D5420E" w:rsidP="00D5420E">
      <w:pPr>
        <w:spacing w:beforeLines="50" w:before="156" w:afterLines="50" w:after="156"/>
        <w:rPr>
          <w:rFonts w:ascii="Times New Roman" w:hAnsi="Times New Roman"/>
          <w:b/>
          <w:bCs/>
        </w:rPr>
      </w:pPr>
      <w:r w:rsidRPr="005C1383">
        <w:rPr>
          <w:rFonts w:ascii="Times New Roman" w:hAnsi="Times New Roman"/>
          <w:b/>
          <w:bCs/>
        </w:rPr>
        <w:t xml:space="preserve">Proposal </w:t>
      </w:r>
      <w:r w:rsidR="00FF3377">
        <w:rPr>
          <w:rFonts w:ascii="Times New Roman" w:hAnsi="Times New Roman"/>
          <w:b/>
          <w:bCs/>
        </w:rPr>
        <w:t>5</w:t>
      </w:r>
      <w:r w:rsidRPr="005C1383">
        <w:rPr>
          <w:rFonts w:ascii="Times New Roman" w:hAnsi="Times New Roman"/>
          <w:b/>
          <w:bCs/>
        </w:rPr>
        <w:t>: RAN2 needs to study the case that UL data associated with SDT or non-SDT arrives during RACH for RNAU purpose.</w:t>
      </w:r>
    </w:p>
    <w:p w14:paraId="6F0241F5" w14:textId="701B8167" w:rsidR="003340FD" w:rsidRPr="00A54580" w:rsidRDefault="003340FD" w:rsidP="00D5420E">
      <w:pPr>
        <w:spacing w:beforeLines="50" w:before="156" w:afterLines="50" w:after="156"/>
        <w:rPr>
          <w:rFonts w:ascii="Times New Roman" w:hAnsi="Times New Roman"/>
          <w:b/>
          <w:bCs/>
          <w:sz w:val="24"/>
          <w:szCs w:val="24"/>
          <w:u w:val="single"/>
        </w:rPr>
      </w:pPr>
      <w:r w:rsidRPr="00A54580">
        <w:rPr>
          <w:rFonts w:ascii="Times New Roman" w:hAnsi="Times New Roman"/>
          <w:b/>
          <w:bCs/>
          <w:sz w:val="24"/>
          <w:szCs w:val="24"/>
          <w:u w:val="single"/>
        </w:rPr>
        <w:t>New data arrival after the first SDT transmitted</w:t>
      </w:r>
    </w:p>
    <w:p w14:paraId="0846342B" w14:textId="509B8491"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It has been agreed that it should be possible to send multiple UL and DL packets as part of the same SDT mechanism. Then, there could be a scenario in SDT that the new SDT SRB or DRB with lower or equal priority arrives after the first SDT transmission. It is beneficial to multiplex the new arrival SDT data with the ongoing subsequent SDT transmission </w:t>
      </w:r>
      <w:r w:rsidRPr="003340FD">
        <w:rPr>
          <w:rFonts w:ascii="Times New Roman" w:hAnsi="Times New Roman"/>
          <w:sz w:val="20"/>
          <w:szCs w:val="20"/>
        </w:rPr>
        <w:lastRenderedPageBreak/>
        <w:t xml:space="preserve">from the perspective of signaling overhead and latency. </w:t>
      </w:r>
    </w:p>
    <w:p w14:paraId="084C15B0" w14:textId="77777777" w:rsidR="003340FD" w:rsidRPr="003340FD" w:rsidRDefault="003340FD" w:rsidP="003340FD">
      <w:pPr>
        <w:rPr>
          <w:rFonts w:ascii="Times New Roman" w:hAnsi="Times New Roman"/>
          <w:sz w:val="20"/>
          <w:szCs w:val="20"/>
        </w:rPr>
      </w:pPr>
      <w:r w:rsidRPr="003340FD">
        <w:rPr>
          <w:rFonts w:ascii="Times New Roman" w:hAnsi="Times New Roman"/>
          <w:sz w:val="20"/>
          <w:szCs w:val="20"/>
        </w:rPr>
        <w:t xml:space="preserve">However, according to legacy BSR trigger condition, the new arrival SDT SRB or DRB with lower or equal priority cannot trigger a BSR if the padding bits are not sufficient for the padding BSR, then the new arrival data cannot be transmitted and could be discarded eventually. In legacy, the Periodic BSR can be configured and triggered to report the BS including the BS from the lower or equal priority LCG. However, it is not clear whether the Periodic BSR can be configured for SDT. If the Periodic BSR cannot be configured for SDT, it is also needed to clarify how to indicate the new SDT data from the lower or equal priority LCH arrival after the first SDT. </w:t>
      </w:r>
    </w:p>
    <w:p w14:paraId="69E8C006" w14:textId="042449C5" w:rsidR="003340FD" w:rsidRDefault="003340FD" w:rsidP="007C79B8">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FF3377">
        <w:rPr>
          <w:rFonts w:ascii="Times New Roman" w:hAnsi="Times New Roman"/>
          <w:b/>
          <w:bCs/>
        </w:rPr>
        <w:t>6</w:t>
      </w:r>
      <w:r w:rsidRPr="001F5698">
        <w:rPr>
          <w:rFonts w:ascii="Times New Roman" w:hAnsi="Times New Roman"/>
          <w:b/>
          <w:bCs/>
        </w:rPr>
        <w:t>:</w:t>
      </w:r>
      <w:r>
        <w:rPr>
          <w:rFonts w:ascii="Times New Roman" w:hAnsi="Times New Roman"/>
          <w:b/>
          <w:bCs/>
        </w:rPr>
        <w:t xml:space="preserve"> RAN2 to discuss </w:t>
      </w:r>
      <w:r w:rsidRPr="00C83160">
        <w:rPr>
          <w:rFonts w:ascii="Times New Roman" w:hAnsi="Times New Roman"/>
          <w:b/>
          <w:bCs/>
        </w:rPr>
        <w:t xml:space="preserve">whether the Periodic BSR can be configured </w:t>
      </w:r>
      <w:r w:rsidR="00E8094C">
        <w:rPr>
          <w:rFonts w:ascii="Times New Roman" w:hAnsi="Times New Roman"/>
          <w:b/>
          <w:bCs/>
        </w:rPr>
        <w:t xml:space="preserve">by the gNB </w:t>
      </w:r>
      <w:r w:rsidRPr="00C83160">
        <w:rPr>
          <w:rFonts w:ascii="Times New Roman" w:hAnsi="Times New Roman"/>
          <w:b/>
          <w:bCs/>
        </w:rPr>
        <w:t>for SDT</w:t>
      </w:r>
      <w:r>
        <w:rPr>
          <w:rFonts w:ascii="Times New Roman" w:hAnsi="Times New Roman"/>
          <w:b/>
          <w:bCs/>
        </w:rPr>
        <w:t>.</w:t>
      </w:r>
    </w:p>
    <w:p w14:paraId="3B021CDA" w14:textId="3DD4BDE6" w:rsidR="004C5B57" w:rsidRPr="002A412F" w:rsidRDefault="003340FD" w:rsidP="00A54580">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w:t>
      </w:r>
      <w:r w:rsidR="00FF3377">
        <w:rPr>
          <w:rFonts w:ascii="Times New Roman" w:hAnsi="Times New Roman"/>
          <w:b/>
          <w:bCs/>
        </w:rPr>
        <w:t>7</w:t>
      </w:r>
      <w:r w:rsidRPr="001F5698">
        <w:rPr>
          <w:rFonts w:ascii="Times New Roman" w:hAnsi="Times New Roman"/>
          <w:b/>
          <w:bCs/>
        </w:rPr>
        <w:t>:</w:t>
      </w:r>
      <w:r>
        <w:rPr>
          <w:rFonts w:ascii="Times New Roman" w:hAnsi="Times New Roman"/>
          <w:b/>
          <w:bCs/>
        </w:rPr>
        <w:t xml:space="preserve"> RAN2 to discuss </w:t>
      </w:r>
      <w:r w:rsidRPr="003E61C8">
        <w:rPr>
          <w:rFonts w:ascii="Times New Roman" w:hAnsi="Times New Roman"/>
          <w:b/>
          <w:bCs/>
        </w:rPr>
        <w:t>how to indicate the new SDT data from the lower or equal priority LCH arrival after the first SDT.</w:t>
      </w:r>
    </w:p>
    <w:p w14:paraId="095C3FCD" w14:textId="77777777" w:rsidR="00445C9F"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26AE8944" w14:textId="2141AF91" w:rsidR="00FC3A22" w:rsidRPr="00FE66FB" w:rsidRDefault="00445C9F" w:rsidP="00541D8B">
      <w:pPr>
        <w:spacing w:beforeLines="50" w:before="156"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EC6B6D">
        <w:rPr>
          <w:rFonts w:ascii="Times New Roman" w:hAnsi="Times New Roman"/>
          <w:sz w:val="20"/>
          <w:szCs w:val="20"/>
          <w:lang w:val="en-GB"/>
        </w:rPr>
        <w:t xml:space="preserve"> </w:t>
      </w:r>
      <w:r w:rsidR="00534789">
        <w:rPr>
          <w:rFonts w:ascii="Times New Roman" w:hAnsi="Times New Roman"/>
          <w:sz w:val="20"/>
          <w:szCs w:val="20"/>
          <w:lang w:val="en-GB"/>
        </w:rPr>
        <w:t>the subsequent data transmission, SRB transmission in SDT procedure, RANU</w:t>
      </w:r>
      <w:r w:rsidR="003340FD">
        <w:rPr>
          <w:rFonts w:ascii="Times New Roman" w:hAnsi="Times New Roman"/>
          <w:sz w:val="20"/>
          <w:szCs w:val="20"/>
          <w:lang w:val="en-GB"/>
        </w:rPr>
        <w:t>, the new data arrival after the first SDT transmitted</w:t>
      </w:r>
      <w:r w:rsidR="00EC6B6D">
        <w:rPr>
          <w:rFonts w:ascii="Times New Roman" w:hAnsi="Times New Roman"/>
          <w:sz w:val="20"/>
          <w:szCs w:val="20"/>
          <w:lang w:val="en-GB"/>
        </w:rPr>
        <w:t xml:space="preserve"> are discussed, we</w:t>
      </w:r>
      <w:r>
        <w:rPr>
          <w:rFonts w:ascii="Times New Roman" w:hAnsi="Times New Roman"/>
          <w:sz w:val="20"/>
          <w:szCs w:val="20"/>
          <w:lang w:val="en-GB"/>
        </w:rPr>
        <w:t xml:space="preserve"> have the following</w:t>
      </w:r>
      <w:r w:rsidR="00A179AE">
        <w:rPr>
          <w:rFonts w:ascii="Times New Roman" w:hAnsi="Times New Roman"/>
          <w:sz w:val="20"/>
          <w:szCs w:val="20"/>
          <w:lang w:val="en-GB"/>
        </w:rPr>
        <w:t xml:space="preserve"> observation and</w:t>
      </w:r>
      <w:r>
        <w:rPr>
          <w:rFonts w:ascii="Times New Roman" w:hAnsi="Times New Roman"/>
          <w:sz w:val="20"/>
          <w:szCs w:val="20"/>
          <w:lang w:val="en-GB"/>
        </w:rPr>
        <w:t xml:space="preserve"> proposals</w:t>
      </w:r>
      <w:r>
        <w:rPr>
          <w:rFonts w:ascii="Times New Roman" w:hAnsi="Times New Roman" w:hint="eastAsia"/>
          <w:sz w:val="20"/>
          <w:szCs w:val="20"/>
          <w:lang w:val="en-GB"/>
        </w:rPr>
        <w:t>:</w:t>
      </w:r>
    </w:p>
    <w:p w14:paraId="1A7D1A57" w14:textId="43AD34B9" w:rsidR="00534789" w:rsidRPr="00A54580" w:rsidRDefault="00D9196E" w:rsidP="00534789">
      <w:pPr>
        <w:spacing w:beforeLines="50" w:before="156" w:afterLines="50" w:after="156"/>
        <w:rPr>
          <w:rFonts w:ascii="Times New Roman" w:hAnsi="Times New Roman"/>
          <w:b/>
          <w:bCs/>
          <w:szCs w:val="21"/>
        </w:rPr>
      </w:pPr>
      <w:r w:rsidRPr="00582656">
        <w:rPr>
          <w:rFonts w:ascii="Times New Roman" w:hAnsi="Times New Roman"/>
          <w:b/>
          <w:bCs/>
        </w:rPr>
        <w:t>Proposal 1: For the indication to presence of subsequent data, besides BSR, RAI or the information about the amount of the data expected to arrive are desired to help gNB to make the reasonable response.</w:t>
      </w:r>
    </w:p>
    <w:p w14:paraId="03D5ECEC" w14:textId="4AD4C7E7" w:rsidR="00A83269" w:rsidRPr="00A54580" w:rsidRDefault="00D9196E" w:rsidP="00A83269">
      <w:pPr>
        <w:spacing w:beforeLines="50" w:before="156" w:afterLines="50" w:after="156"/>
        <w:rPr>
          <w:rFonts w:ascii="Times New Roman" w:hAnsi="Times New Roman"/>
          <w:b/>
          <w:bCs/>
          <w:szCs w:val="21"/>
        </w:rPr>
      </w:pPr>
      <w:r w:rsidRPr="00DB0AE8">
        <w:rPr>
          <w:rFonts w:ascii="Times New Roman" w:hAnsi="Times New Roman"/>
          <w:b/>
          <w:bCs/>
        </w:rPr>
        <w:t xml:space="preserve">Proposal </w:t>
      </w:r>
      <w:r>
        <w:rPr>
          <w:rFonts w:ascii="Times New Roman" w:hAnsi="Times New Roman"/>
          <w:b/>
          <w:bCs/>
        </w:rPr>
        <w:t>2</w:t>
      </w:r>
      <w:r w:rsidRPr="00DB0AE8">
        <w:rPr>
          <w:rFonts w:ascii="Times New Roman" w:hAnsi="Times New Roman"/>
          <w:b/>
          <w:bCs/>
        </w:rPr>
        <w:t xml:space="preserve">: </w:t>
      </w:r>
      <w:r>
        <w:rPr>
          <w:rFonts w:ascii="Times New Roman" w:hAnsi="Times New Roman"/>
          <w:b/>
          <w:bCs/>
        </w:rPr>
        <w:t>A SDT can be initiated by the data arrival of only SDT SRB</w:t>
      </w:r>
      <w:r w:rsidRPr="00DB0AE8">
        <w:rPr>
          <w:rFonts w:ascii="Times New Roman" w:hAnsi="Times New Roman"/>
          <w:b/>
          <w:bCs/>
        </w:rPr>
        <w:t>.</w:t>
      </w:r>
    </w:p>
    <w:p w14:paraId="3ACE4DD3" w14:textId="07B0F428" w:rsidR="00A83269" w:rsidRPr="00A54580" w:rsidRDefault="00D9196E" w:rsidP="00A83269">
      <w:pPr>
        <w:spacing w:beforeLines="50" w:before="156" w:afterLines="50" w:after="156"/>
        <w:rPr>
          <w:rFonts w:ascii="Times New Roman" w:hAnsi="Times New Roman"/>
          <w:b/>
          <w:bCs/>
          <w:szCs w:val="21"/>
          <w:u w:val="single"/>
        </w:rPr>
      </w:pPr>
      <w:r w:rsidRPr="00DB0AE8">
        <w:rPr>
          <w:rFonts w:ascii="Times New Roman" w:hAnsi="Times New Roman"/>
          <w:b/>
          <w:bCs/>
        </w:rPr>
        <w:t xml:space="preserve">Proposal </w:t>
      </w:r>
      <w:r>
        <w:rPr>
          <w:rFonts w:ascii="Times New Roman" w:hAnsi="Times New Roman"/>
          <w:b/>
          <w:bCs/>
        </w:rPr>
        <w:t>3</w:t>
      </w:r>
      <w:r w:rsidRPr="00DB0AE8">
        <w:rPr>
          <w:rFonts w:ascii="Times New Roman" w:hAnsi="Times New Roman"/>
          <w:b/>
          <w:bCs/>
        </w:rPr>
        <w:t xml:space="preserve">: </w:t>
      </w:r>
      <w:r>
        <w:rPr>
          <w:rFonts w:ascii="Times New Roman" w:hAnsi="Times New Roman"/>
          <w:b/>
          <w:bCs/>
        </w:rPr>
        <w:t xml:space="preserve">RAN2 to discuss and decide a common data volume or a separate data volume is applied for SDT SRBs and DRBs to </w:t>
      </w:r>
      <w:r w:rsidRPr="004E7D67">
        <w:rPr>
          <w:rFonts w:ascii="Times New Roman" w:hAnsi="Times New Roman"/>
          <w:b/>
          <w:bCs/>
        </w:rPr>
        <w:t>decide whether to do SDT or not</w:t>
      </w:r>
      <w:r>
        <w:rPr>
          <w:rFonts w:ascii="Times New Roman" w:hAnsi="Times New Roman"/>
          <w:b/>
          <w:bCs/>
        </w:rPr>
        <w:t>.</w:t>
      </w:r>
    </w:p>
    <w:p w14:paraId="1BF2F070" w14:textId="23F3396E" w:rsidR="002705C5" w:rsidRPr="002705C5" w:rsidRDefault="002705C5" w:rsidP="002705C5">
      <w:pPr>
        <w:spacing w:beforeLines="50" w:before="156" w:afterLines="50" w:after="156"/>
        <w:rPr>
          <w:rFonts w:ascii="Times New Roman" w:hAnsi="Times New Roman"/>
          <w:b/>
          <w:bCs/>
        </w:rPr>
      </w:pPr>
      <w:r w:rsidRPr="005C1383">
        <w:rPr>
          <w:rFonts w:ascii="Times New Roman" w:hAnsi="Times New Roman"/>
          <w:b/>
          <w:bCs/>
        </w:rPr>
        <w:t xml:space="preserve">Proposal </w:t>
      </w:r>
      <w:r>
        <w:rPr>
          <w:rFonts w:ascii="Times New Roman" w:hAnsi="Times New Roman"/>
          <w:b/>
          <w:bCs/>
        </w:rPr>
        <w:t>4</w:t>
      </w:r>
      <w:r w:rsidRPr="005C1383">
        <w:rPr>
          <w:rFonts w:ascii="Times New Roman" w:hAnsi="Times New Roman"/>
          <w:b/>
          <w:bCs/>
        </w:rPr>
        <w:t>: RAN2 needs to study how to handle t380 after UE has initiated SDT procedure.</w:t>
      </w:r>
    </w:p>
    <w:p w14:paraId="09D9D4EF" w14:textId="51FEC93C" w:rsidR="00A83269" w:rsidRPr="00A54580" w:rsidRDefault="002705C5" w:rsidP="002705C5">
      <w:pPr>
        <w:spacing w:beforeLines="50" w:before="156" w:afterLines="50" w:after="156"/>
        <w:rPr>
          <w:rFonts w:ascii="Times New Roman" w:hAnsi="Times New Roman"/>
          <w:b/>
          <w:bCs/>
          <w:szCs w:val="21"/>
        </w:rPr>
      </w:pPr>
      <w:r w:rsidRPr="005C1383">
        <w:rPr>
          <w:rFonts w:ascii="Times New Roman" w:hAnsi="Times New Roman"/>
          <w:b/>
          <w:bCs/>
        </w:rPr>
        <w:t xml:space="preserve">Proposal </w:t>
      </w:r>
      <w:r>
        <w:rPr>
          <w:rFonts w:ascii="Times New Roman" w:hAnsi="Times New Roman"/>
          <w:b/>
          <w:bCs/>
        </w:rPr>
        <w:t>5</w:t>
      </w:r>
      <w:r w:rsidRPr="005C1383">
        <w:rPr>
          <w:rFonts w:ascii="Times New Roman" w:hAnsi="Times New Roman"/>
          <w:b/>
          <w:bCs/>
        </w:rPr>
        <w:t>: RAN2 needs to study the case that UL data associated with SDT or non-SDT arrives during RACH for RNAU purpose</w:t>
      </w:r>
      <w:r w:rsidR="00A83269" w:rsidRPr="00A54580">
        <w:rPr>
          <w:rFonts w:ascii="Times New Roman" w:hAnsi="Times New Roman"/>
          <w:b/>
          <w:bCs/>
          <w:szCs w:val="21"/>
        </w:rPr>
        <w:t>.</w:t>
      </w:r>
    </w:p>
    <w:p w14:paraId="3DB75904" w14:textId="77777777" w:rsidR="002705C5" w:rsidRDefault="002705C5" w:rsidP="002705C5">
      <w:pPr>
        <w:spacing w:beforeLines="50" w:before="156" w:afterLines="50" w:after="156"/>
        <w:rPr>
          <w:rFonts w:ascii="Times New Roman" w:hAnsi="Times New Roman"/>
          <w:b/>
          <w:bCs/>
        </w:rPr>
      </w:pPr>
      <w:r w:rsidRPr="001F5698">
        <w:rPr>
          <w:rFonts w:ascii="Times New Roman" w:hAnsi="Times New Roman"/>
          <w:b/>
          <w:bCs/>
        </w:rPr>
        <w:t>Proposal</w:t>
      </w:r>
      <w:r>
        <w:rPr>
          <w:rFonts w:ascii="Times New Roman" w:hAnsi="Times New Roman"/>
          <w:b/>
          <w:bCs/>
        </w:rPr>
        <w:t xml:space="preserve"> 6</w:t>
      </w:r>
      <w:r w:rsidRPr="001F5698">
        <w:rPr>
          <w:rFonts w:ascii="Times New Roman" w:hAnsi="Times New Roman"/>
          <w:b/>
          <w:bCs/>
        </w:rPr>
        <w:t>:</w:t>
      </w:r>
      <w:r>
        <w:rPr>
          <w:rFonts w:ascii="Times New Roman" w:hAnsi="Times New Roman"/>
          <w:b/>
          <w:bCs/>
        </w:rPr>
        <w:t xml:space="preserve"> RAN2 to discuss </w:t>
      </w:r>
      <w:r w:rsidRPr="00C83160">
        <w:rPr>
          <w:rFonts w:ascii="Times New Roman" w:hAnsi="Times New Roman"/>
          <w:b/>
          <w:bCs/>
        </w:rPr>
        <w:t xml:space="preserve">whether the Periodic BSR can be configured </w:t>
      </w:r>
      <w:r>
        <w:rPr>
          <w:rFonts w:ascii="Times New Roman" w:hAnsi="Times New Roman"/>
          <w:b/>
          <w:bCs/>
        </w:rPr>
        <w:t xml:space="preserve">by the gNB </w:t>
      </w:r>
      <w:r w:rsidRPr="00C83160">
        <w:rPr>
          <w:rFonts w:ascii="Times New Roman" w:hAnsi="Times New Roman"/>
          <w:b/>
          <w:bCs/>
        </w:rPr>
        <w:t>for SDT</w:t>
      </w:r>
      <w:r>
        <w:rPr>
          <w:rFonts w:ascii="Times New Roman" w:hAnsi="Times New Roman"/>
          <w:b/>
          <w:bCs/>
        </w:rPr>
        <w:t>.</w:t>
      </w:r>
    </w:p>
    <w:p w14:paraId="7BF79016" w14:textId="180EA22E" w:rsidR="00FC3A22" w:rsidRPr="00A54580" w:rsidRDefault="002705C5" w:rsidP="002705C5">
      <w:pPr>
        <w:spacing w:beforeLines="50" w:before="156" w:afterLines="50" w:after="156"/>
        <w:rPr>
          <w:rFonts w:ascii="Times New Roman" w:hAnsi="Times New Roman"/>
          <w:b/>
          <w:bCs/>
          <w:iCs/>
          <w:szCs w:val="21"/>
        </w:rPr>
      </w:pPr>
      <w:r w:rsidRPr="001F5698">
        <w:rPr>
          <w:rFonts w:ascii="Times New Roman" w:hAnsi="Times New Roman"/>
          <w:b/>
          <w:bCs/>
        </w:rPr>
        <w:t>Proposal</w:t>
      </w:r>
      <w:r>
        <w:rPr>
          <w:rFonts w:ascii="Times New Roman" w:hAnsi="Times New Roman"/>
          <w:b/>
          <w:bCs/>
        </w:rPr>
        <w:t xml:space="preserve"> 7</w:t>
      </w:r>
      <w:r w:rsidRPr="001F5698">
        <w:rPr>
          <w:rFonts w:ascii="Times New Roman" w:hAnsi="Times New Roman"/>
          <w:b/>
          <w:bCs/>
        </w:rPr>
        <w:t>:</w:t>
      </w:r>
      <w:r>
        <w:rPr>
          <w:rFonts w:ascii="Times New Roman" w:hAnsi="Times New Roman"/>
          <w:b/>
          <w:bCs/>
        </w:rPr>
        <w:t xml:space="preserve"> RAN2 to discuss </w:t>
      </w:r>
      <w:r w:rsidRPr="003E61C8">
        <w:rPr>
          <w:rFonts w:ascii="Times New Roman" w:hAnsi="Times New Roman"/>
          <w:b/>
          <w:bCs/>
        </w:rPr>
        <w:t>how to indicate the new SDT data from the lower or equal priority LCH arrival after the first SDT.</w:t>
      </w:r>
    </w:p>
    <w:p w14:paraId="0E577550" w14:textId="77777777" w:rsidR="00445C9F" w:rsidRPr="00CA3C26" w:rsidRDefault="00445C9F" w:rsidP="00445C9F">
      <w:pPr>
        <w:pStyle w:val="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430F78C7" w14:textId="6B9A4AC4" w:rsidR="00950447" w:rsidRDefault="005D1CCE" w:rsidP="00950447">
      <w:pPr>
        <w:pStyle w:val="Reference"/>
      </w:pPr>
      <w:bookmarkStart w:id="4" w:name="_Hlk54254280"/>
      <w:bookmarkEnd w:id="2"/>
      <w:r>
        <w:t>RAN2#11</w:t>
      </w:r>
      <w:r w:rsidR="00761504">
        <w:t>5</w:t>
      </w:r>
      <w:r>
        <w:t>e</w:t>
      </w:r>
      <w:r w:rsidR="00761504">
        <w:t xml:space="preserve"> chairman note</w:t>
      </w:r>
      <w:r w:rsidR="00950447">
        <w:t>.</w:t>
      </w:r>
    </w:p>
    <w:bookmarkEnd w:id="4"/>
    <w:p w14:paraId="5735518E" w14:textId="6DD03572" w:rsidR="00857C9A" w:rsidRPr="004160EF" w:rsidRDefault="00857C9A" w:rsidP="00857C9A">
      <w:pPr>
        <w:pStyle w:val="Reference"/>
      </w:pPr>
      <w:r w:rsidRPr="00857C9A">
        <w:t>General and other control plane open issues for SDT (email: [Post 113-e][502])</w:t>
      </w:r>
      <w:r>
        <w:t xml:space="preserve">, </w:t>
      </w:r>
      <w:r w:rsidRPr="00857C9A">
        <w:rPr>
          <w:rFonts w:eastAsia="等线"/>
        </w:rPr>
        <w:t>ZTE Corporation)</w:t>
      </w:r>
      <w:r w:rsidR="00A54580">
        <w:rPr>
          <w:rFonts w:eastAsia="等线"/>
        </w:rPr>
        <w:t>.</w:t>
      </w:r>
    </w:p>
    <w:p w14:paraId="6C93C771" w14:textId="679F4442" w:rsidR="002E76A5" w:rsidRDefault="002E76A5" w:rsidP="002E76A5">
      <w:pPr>
        <w:pStyle w:val="Reference"/>
      </w:pPr>
      <w:r w:rsidRPr="00534789">
        <w:t>R2-2102086</w:t>
      </w:r>
      <w:r>
        <w:t>, “</w:t>
      </w:r>
      <w:r w:rsidRPr="002E76A5">
        <w:t>Support of SRB transmission using SDT</w:t>
      </w:r>
      <w:r>
        <w:t xml:space="preserve">”, </w:t>
      </w:r>
      <w:r w:rsidRPr="002E76A5">
        <w:t>InterDigital, Apple, Huawei, HiSilicon, Intel Corporation, Lenovo, Motorola Mobility, Nokia, OPPO, Qualcomm, Sony, Spreadtrum, ZTE corporation, Sanechips</w:t>
      </w:r>
      <w:r>
        <w:t>, RAN2#113-e</w:t>
      </w:r>
      <w:r w:rsidR="00A54580">
        <w:t>.</w:t>
      </w:r>
    </w:p>
    <w:p w14:paraId="36804C98" w14:textId="44E05957" w:rsidR="0092146D" w:rsidRDefault="0092146D" w:rsidP="0092146D">
      <w:pPr>
        <w:pStyle w:val="Reference"/>
      </w:pPr>
      <w:r w:rsidRPr="00534789">
        <w:t>R2-2101507</w:t>
      </w:r>
      <w:r>
        <w:t>, “</w:t>
      </w:r>
      <w:r w:rsidRPr="0092146D">
        <w:t>Subsequent small data transmission</w:t>
      </w:r>
      <w:r>
        <w:t xml:space="preserve">”, </w:t>
      </w:r>
      <w:r w:rsidRPr="0092146D">
        <w:t>InterDigital</w:t>
      </w:r>
      <w:r>
        <w:t>, RAN2#113-e</w:t>
      </w:r>
      <w:r w:rsidR="00A54580">
        <w:t>.</w:t>
      </w:r>
    </w:p>
    <w:sectPr w:rsidR="0092146D"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E36A3" w14:textId="77777777" w:rsidR="008F042B" w:rsidRDefault="008F042B">
      <w:r>
        <w:separator/>
      </w:r>
    </w:p>
  </w:endnote>
  <w:endnote w:type="continuationSeparator" w:id="0">
    <w:p w14:paraId="788AC9CB" w14:textId="77777777" w:rsidR="008F042B" w:rsidRDefault="008F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AE707" w14:textId="0AC54DEE"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AD1">
      <w:rPr>
        <w:rFonts w:ascii="Arial" w:hAnsi="Arial" w:cs="Arial"/>
        <w:b/>
        <w:noProof/>
        <w:sz w:val="18"/>
        <w:szCs w:val="18"/>
      </w:rPr>
      <w:t>6</w:t>
    </w:r>
    <w:r>
      <w:rPr>
        <w:rFonts w:ascii="Arial" w:hAnsi="Arial" w:cs="Arial"/>
        <w:b/>
        <w:sz w:val="18"/>
        <w:szCs w:val="18"/>
      </w:rPr>
      <w:fldChar w:fldCharType="end"/>
    </w:r>
  </w:p>
  <w:p w14:paraId="51CDC3E5" w14:textId="77777777" w:rsidR="00745A25" w:rsidRDefault="008F042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0B601" w14:textId="77777777" w:rsidR="008F042B" w:rsidRDefault="008F042B">
      <w:r>
        <w:separator/>
      </w:r>
    </w:p>
  </w:footnote>
  <w:footnote w:type="continuationSeparator" w:id="0">
    <w:p w14:paraId="64FDD468" w14:textId="77777777" w:rsidR="008F042B" w:rsidRDefault="008F0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64D61"/>
    <w:multiLevelType w:val="hybridMultilevel"/>
    <w:tmpl w:val="40CE7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149AD"/>
    <w:multiLevelType w:val="hybridMultilevel"/>
    <w:tmpl w:val="ABF461AE"/>
    <w:lvl w:ilvl="0" w:tplc="8C424DCA">
      <w:start w:val="3"/>
      <w:numFmt w:val="bullet"/>
      <w:lvlText w:val="-"/>
      <w:lvlJc w:val="left"/>
      <w:pPr>
        <w:ind w:left="1080" w:hanging="360"/>
      </w:pPr>
      <w:rPr>
        <w:rFonts w:ascii="Times New Roman" w:eastAsia="宋体" w:hAnsi="Times New Roman" w:cs="Times New Roman"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9981805"/>
    <w:multiLevelType w:val="hybridMultilevel"/>
    <w:tmpl w:val="84BC9A1A"/>
    <w:lvl w:ilvl="0" w:tplc="3184DAC4">
      <w:start w:val="6"/>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A140A6"/>
    <w:multiLevelType w:val="hybridMultilevel"/>
    <w:tmpl w:val="E0CA2BB0"/>
    <w:lvl w:ilvl="0" w:tplc="2C089238">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4B294E"/>
    <w:multiLevelType w:val="hybridMultilevel"/>
    <w:tmpl w:val="CD7A5E30"/>
    <w:lvl w:ilvl="0" w:tplc="29C24B30">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40E689E"/>
    <w:multiLevelType w:val="hybridMultilevel"/>
    <w:tmpl w:val="1EC86234"/>
    <w:lvl w:ilvl="0" w:tplc="D8BC1C8A">
      <w:start w:val="3"/>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9"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BC5426A"/>
    <w:multiLevelType w:val="hybridMultilevel"/>
    <w:tmpl w:val="8CD42A4E"/>
    <w:lvl w:ilvl="0" w:tplc="4C5E33DA">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C9D10F5"/>
    <w:multiLevelType w:val="hybridMultilevel"/>
    <w:tmpl w:val="1A00B7AE"/>
    <w:lvl w:ilvl="0" w:tplc="887C9A5A">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355589A"/>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54591"/>
    <w:multiLevelType w:val="hybridMultilevel"/>
    <w:tmpl w:val="074C473E"/>
    <w:lvl w:ilvl="0" w:tplc="7D1039F0">
      <w:start w:val="3"/>
      <w:numFmt w:val="bullet"/>
      <w:lvlText w:val="-"/>
      <w:lvlJc w:val="left"/>
      <w:pPr>
        <w:ind w:left="1125" w:hanging="360"/>
      </w:pPr>
      <w:rPr>
        <w:rFonts w:ascii="Times New Roman" w:eastAsia="MS Mincho" w:hAnsi="Times New Roman" w:cs="Times New Roman"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5" w15:restartNumberingAfterBreak="0">
    <w:nsid w:val="4A4E5FD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F87F00"/>
    <w:multiLevelType w:val="hybridMultilevel"/>
    <w:tmpl w:val="CDC21FE4"/>
    <w:lvl w:ilvl="0" w:tplc="92CC2C10">
      <w:start w:val="1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5995754C"/>
    <w:multiLevelType w:val="hybridMultilevel"/>
    <w:tmpl w:val="A1DE3526"/>
    <w:lvl w:ilvl="0" w:tplc="551694B6">
      <w:start w:val="1"/>
      <w:numFmt w:val="decimal"/>
      <w:lvlText w:val="%1."/>
      <w:lvlJc w:val="left"/>
      <w:pPr>
        <w:ind w:left="72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E00450"/>
    <w:multiLevelType w:val="hybridMultilevel"/>
    <w:tmpl w:val="55A4CB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21B20"/>
    <w:multiLevelType w:val="hybridMultilevel"/>
    <w:tmpl w:val="783E500E"/>
    <w:lvl w:ilvl="0" w:tplc="A554F3C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05315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66D6798E"/>
    <w:multiLevelType w:val="hybridMultilevel"/>
    <w:tmpl w:val="6BD65B04"/>
    <w:lvl w:ilvl="0" w:tplc="550E7EC2">
      <w:start w:val="8"/>
      <w:numFmt w:val="bullet"/>
      <w:lvlText w:val="-"/>
      <w:lvlJc w:val="left"/>
      <w:pPr>
        <w:ind w:left="723" w:hanging="360"/>
      </w:pPr>
      <w:rPr>
        <w:rFonts w:ascii="Times New Roman" w:eastAsia="MS Mincho"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5"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B1B3030"/>
    <w:multiLevelType w:val="hybridMultilevel"/>
    <w:tmpl w:val="B9B84C4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3014B"/>
    <w:multiLevelType w:val="hybridMultilevel"/>
    <w:tmpl w:val="9A2AA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031F58"/>
    <w:multiLevelType w:val="hybridMultilevel"/>
    <w:tmpl w:val="8FF2B476"/>
    <w:lvl w:ilvl="0" w:tplc="2F760DEC">
      <w:start w:val="3"/>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16"/>
  </w:num>
  <w:num w:numId="3">
    <w:abstractNumId w:val="23"/>
  </w:num>
  <w:num w:numId="4">
    <w:abstractNumId w:val="18"/>
  </w:num>
  <w:num w:numId="5">
    <w:abstractNumId w:val="22"/>
  </w:num>
  <w:num w:numId="6">
    <w:abstractNumId w:val="10"/>
  </w:num>
  <w:num w:numId="7">
    <w:abstractNumId w:val="27"/>
  </w:num>
  <w:num w:numId="8">
    <w:abstractNumId w:val="15"/>
  </w:num>
  <w:num w:numId="9">
    <w:abstractNumId w:val="17"/>
  </w:num>
  <w:num w:numId="10">
    <w:abstractNumId w:val="16"/>
  </w:num>
  <w:num w:numId="11">
    <w:abstractNumId w:val="24"/>
  </w:num>
  <w:num w:numId="12">
    <w:abstractNumId w:val="28"/>
  </w:num>
  <w:num w:numId="13">
    <w:abstractNumId w:val="7"/>
  </w:num>
  <w:num w:numId="14">
    <w:abstractNumId w:val="5"/>
  </w:num>
  <w:num w:numId="15">
    <w:abstractNumId w:val="11"/>
  </w:num>
  <w:num w:numId="16">
    <w:abstractNumId w:val="8"/>
  </w:num>
  <w:num w:numId="17">
    <w:abstractNumId w:val="21"/>
  </w:num>
  <w:num w:numId="18">
    <w:abstractNumId w:val="13"/>
  </w:num>
  <w:num w:numId="19">
    <w:abstractNumId w:val="14"/>
  </w:num>
  <w:num w:numId="20">
    <w:abstractNumId w:val="12"/>
  </w:num>
  <w:num w:numId="21">
    <w:abstractNumId w:val="1"/>
  </w:num>
  <w:num w:numId="22">
    <w:abstractNumId w:val="19"/>
  </w:num>
  <w:num w:numId="23">
    <w:abstractNumId w:val="0"/>
  </w:num>
  <w:num w:numId="24">
    <w:abstractNumId w:val="26"/>
  </w:num>
  <w:num w:numId="25">
    <w:abstractNumId w:val="16"/>
  </w:num>
  <w:num w:numId="26">
    <w:abstractNumId w:val="16"/>
  </w:num>
  <w:num w:numId="27">
    <w:abstractNumId w:val="16"/>
  </w:num>
  <w:num w:numId="28">
    <w:abstractNumId w:val="20"/>
  </w:num>
  <w:num w:numId="29">
    <w:abstractNumId w:val="2"/>
  </w:num>
  <w:num w:numId="30">
    <w:abstractNumId w:val="29"/>
  </w:num>
  <w:num w:numId="31">
    <w:abstractNumId w:val="4"/>
  </w:num>
  <w:num w:numId="32">
    <w:abstractNumId w:val="25"/>
  </w:num>
  <w:num w:numId="33">
    <w:abstractNumId w:val="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C9F"/>
    <w:rsid w:val="000030D4"/>
    <w:rsid w:val="00005FB3"/>
    <w:rsid w:val="00024DE5"/>
    <w:rsid w:val="00034A60"/>
    <w:rsid w:val="00034A66"/>
    <w:rsid w:val="000373E0"/>
    <w:rsid w:val="00054080"/>
    <w:rsid w:val="00055A4D"/>
    <w:rsid w:val="000944EC"/>
    <w:rsid w:val="000A7BD8"/>
    <w:rsid w:val="000B05FD"/>
    <w:rsid w:val="000B65A9"/>
    <w:rsid w:val="000E38A2"/>
    <w:rsid w:val="000E5ED5"/>
    <w:rsid w:val="000F29E2"/>
    <w:rsid w:val="000F35AB"/>
    <w:rsid w:val="000F5B57"/>
    <w:rsid w:val="00107A4A"/>
    <w:rsid w:val="001259F0"/>
    <w:rsid w:val="0012659F"/>
    <w:rsid w:val="00144FE8"/>
    <w:rsid w:val="0015069F"/>
    <w:rsid w:val="00155445"/>
    <w:rsid w:val="00185CC8"/>
    <w:rsid w:val="0019234D"/>
    <w:rsid w:val="001E2959"/>
    <w:rsid w:val="001E7ECF"/>
    <w:rsid w:val="00201212"/>
    <w:rsid w:val="00202DED"/>
    <w:rsid w:val="00210860"/>
    <w:rsid w:val="0022307F"/>
    <w:rsid w:val="002265FB"/>
    <w:rsid w:val="002705C5"/>
    <w:rsid w:val="00294A89"/>
    <w:rsid w:val="002A0806"/>
    <w:rsid w:val="002A412F"/>
    <w:rsid w:val="002C1E12"/>
    <w:rsid w:val="002D3746"/>
    <w:rsid w:val="002D76E5"/>
    <w:rsid w:val="002E38D2"/>
    <w:rsid w:val="002E76A5"/>
    <w:rsid w:val="00306E8E"/>
    <w:rsid w:val="003340FD"/>
    <w:rsid w:val="003544A5"/>
    <w:rsid w:val="0036685E"/>
    <w:rsid w:val="00376E0D"/>
    <w:rsid w:val="00377462"/>
    <w:rsid w:val="00385DD1"/>
    <w:rsid w:val="003A2E6E"/>
    <w:rsid w:val="003C4317"/>
    <w:rsid w:val="003E1E8B"/>
    <w:rsid w:val="003F4B76"/>
    <w:rsid w:val="0040489B"/>
    <w:rsid w:val="00406A3D"/>
    <w:rsid w:val="00414BE2"/>
    <w:rsid w:val="004160EF"/>
    <w:rsid w:val="00416B6C"/>
    <w:rsid w:val="0042269B"/>
    <w:rsid w:val="004235D5"/>
    <w:rsid w:val="00445C9F"/>
    <w:rsid w:val="0045317F"/>
    <w:rsid w:val="004611AA"/>
    <w:rsid w:val="00466DD8"/>
    <w:rsid w:val="00484988"/>
    <w:rsid w:val="004B6C4E"/>
    <w:rsid w:val="004C5B57"/>
    <w:rsid w:val="004D2865"/>
    <w:rsid w:val="004E6F1C"/>
    <w:rsid w:val="004F7650"/>
    <w:rsid w:val="0050053D"/>
    <w:rsid w:val="005057EC"/>
    <w:rsid w:val="00525819"/>
    <w:rsid w:val="00534789"/>
    <w:rsid w:val="005401EA"/>
    <w:rsid w:val="00541D8B"/>
    <w:rsid w:val="00554E48"/>
    <w:rsid w:val="00561663"/>
    <w:rsid w:val="005647CC"/>
    <w:rsid w:val="005715D9"/>
    <w:rsid w:val="0058259B"/>
    <w:rsid w:val="00582656"/>
    <w:rsid w:val="00591AAE"/>
    <w:rsid w:val="005B56D3"/>
    <w:rsid w:val="005C1383"/>
    <w:rsid w:val="005D1CCE"/>
    <w:rsid w:val="005D2706"/>
    <w:rsid w:val="005E274E"/>
    <w:rsid w:val="005E6BC2"/>
    <w:rsid w:val="005F545D"/>
    <w:rsid w:val="00607819"/>
    <w:rsid w:val="006152A2"/>
    <w:rsid w:val="006215E8"/>
    <w:rsid w:val="00622224"/>
    <w:rsid w:val="0063547C"/>
    <w:rsid w:val="006502C5"/>
    <w:rsid w:val="00654C24"/>
    <w:rsid w:val="00655400"/>
    <w:rsid w:val="00671FD3"/>
    <w:rsid w:val="00675453"/>
    <w:rsid w:val="006A05A6"/>
    <w:rsid w:val="006A0C3A"/>
    <w:rsid w:val="006B0A02"/>
    <w:rsid w:val="006C10B9"/>
    <w:rsid w:val="006D289F"/>
    <w:rsid w:val="006D4D9C"/>
    <w:rsid w:val="006E47AB"/>
    <w:rsid w:val="00701590"/>
    <w:rsid w:val="00707F9F"/>
    <w:rsid w:val="00761504"/>
    <w:rsid w:val="0076446D"/>
    <w:rsid w:val="00792216"/>
    <w:rsid w:val="00796179"/>
    <w:rsid w:val="007A0868"/>
    <w:rsid w:val="007C79B8"/>
    <w:rsid w:val="007D6D98"/>
    <w:rsid w:val="007E10B5"/>
    <w:rsid w:val="007F7377"/>
    <w:rsid w:val="007F7C90"/>
    <w:rsid w:val="00801206"/>
    <w:rsid w:val="00804AC0"/>
    <w:rsid w:val="008123C5"/>
    <w:rsid w:val="008134B2"/>
    <w:rsid w:val="0082018C"/>
    <w:rsid w:val="00834572"/>
    <w:rsid w:val="00841CF2"/>
    <w:rsid w:val="008429AA"/>
    <w:rsid w:val="00855E6B"/>
    <w:rsid w:val="00857C9A"/>
    <w:rsid w:val="0086559C"/>
    <w:rsid w:val="00896A48"/>
    <w:rsid w:val="008A250E"/>
    <w:rsid w:val="008C711D"/>
    <w:rsid w:val="008E0FC7"/>
    <w:rsid w:val="008E2B70"/>
    <w:rsid w:val="008E64FB"/>
    <w:rsid w:val="008F042B"/>
    <w:rsid w:val="00900A90"/>
    <w:rsid w:val="00903CED"/>
    <w:rsid w:val="00915FE6"/>
    <w:rsid w:val="0092146D"/>
    <w:rsid w:val="009318E9"/>
    <w:rsid w:val="00950447"/>
    <w:rsid w:val="0095332D"/>
    <w:rsid w:val="0095657A"/>
    <w:rsid w:val="0095728F"/>
    <w:rsid w:val="009600CB"/>
    <w:rsid w:val="00963EBA"/>
    <w:rsid w:val="0097661C"/>
    <w:rsid w:val="00981B9C"/>
    <w:rsid w:val="0098253D"/>
    <w:rsid w:val="00985F8A"/>
    <w:rsid w:val="00991E22"/>
    <w:rsid w:val="0099306A"/>
    <w:rsid w:val="0099483C"/>
    <w:rsid w:val="009A7106"/>
    <w:rsid w:val="009C3515"/>
    <w:rsid w:val="009C4072"/>
    <w:rsid w:val="009D6145"/>
    <w:rsid w:val="009E75AB"/>
    <w:rsid w:val="009F203A"/>
    <w:rsid w:val="009F7B39"/>
    <w:rsid w:val="00A011BA"/>
    <w:rsid w:val="00A03181"/>
    <w:rsid w:val="00A06185"/>
    <w:rsid w:val="00A179AE"/>
    <w:rsid w:val="00A21ED5"/>
    <w:rsid w:val="00A25C6A"/>
    <w:rsid w:val="00A44927"/>
    <w:rsid w:val="00A51045"/>
    <w:rsid w:val="00A54580"/>
    <w:rsid w:val="00A57127"/>
    <w:rsid w:val="00A7174F"/>
    <w:rsid w:val="00A83269"/>
    <w:rsid w:val="00AF2210"/>
    <w:rsid w:val="00AF6D53"/>
    <w:rsid w:val="00B0765D"/>
    <w:rsid w:val="00B30E69"/>
    <w:rsid w:val="00B3268D"/>
    <w:rsid w:val="00B342B7"/>
    <w:rsid w:val="00B50512"/>
    <w:rsid w:val="00B54BAF"/>
    <w:rsid w:val="00B55D22"/>
    <w:rsid w:val="00B5602D"/>
    <w:rsid w:val="00B77A39"/>
    <w:rsid w:val="00B86383"/>
    <w:rsid w:val="00BA1164"/>
    <w:rsid w:val="00BA7CB4"/>
    <w:rsid w:val="00BC3501"/>
    <w:rsid w:val="00BD5AD1"/>
    <w:rsid w:val="00BF2E20"/>
    <w:rsid w:val="00C0293A"/>
    <w:rsid w:val="00C07BFC"/>
    <w:rsid w:val="00C21D43"/>
    <w:rsid w:val="00C3199D"/>
    <w:rsid w:val="00C46FB2"/>
    <w:rsid w:val="00C577AC"/>
    <w:rsid w:val="00C61FF4"/>
    <w:rsid w:val="00C665C4"/>
    <w:rsid w:val="00C8421A"/>
    <w:rsid w:val="00C92AF8"/>
    <w:rsid w:val="00CA2BF3"/>
    <w:rsid w:val="00CB56C8"/>
    <w:rsid w:val="00CC3854"/>
    <w:rsid w:val="00CC77ED"/>
    <w:rsid w:val="00CD13FF"/>
    <w:rsid w:val="00CE2D76"/>
    <w:rsid w:val="00CE2FE0"/>
    <w:rsid w:val="00CF4C0B"/>
    <w:rsid w:val="00D0615E"/>
    <w:rsid w:val="00D13FF3"/>
    <w:rsid w:val="00D24B65"/>
    <w:rsid w:val="00D324F8"/>
    <w:rsid w:val="00D327E6"/>
    <w:rsid w:val="00D3334F"/>
    <w:rsid w:val="00D5420E"/>
    <w:rsid w:val="00D645C9"/>
    <w:rsid w:val="00D65050"/>
    <w:rsid w:val="00D77DEE"/>
    <w:rsid w:val="00D87205"/>
    <w:rsid w:val="00D87FCD"/>
    <w:rsid w:val="00D901C5"/>
    <w:rsid w:val="00D9196E"/>
    <w:rsid w:val="00DA71D9"/>
    <w:rsid w:val="00DB2F0D"/>
    <w:rsid w:val="00DC1BAC"/>
    <w:rsid w:val="00DE1B31"/>
    <w:rsid w:val="00DE6647"/>
    <w:rsid w:val="00DF2464"/>
    <w:rsid w:val="00E11748"/>
    <w:rsid w:val="00E30B82"/>
    <w:rsid w:val="00E33DA1"/>
    <w:rsid w:val="00E51295"/>
    <w:rsid w:val="00E61603"/>
    <w:rsid w:val="00E77E83"/>
    <w:rsid w:val="00E8094C"/>
    <w:rsid w:val="00E811D2"/>
    <w:rsid w:val="00E83811"/>
    <w:rsid w:val="00EA32F9"/>
    <w:rsid w:val="00EB66CC"/>
    <w:rsid w:val="00EC04A4"/>
    <w:rsid w:val="00EC6B6D"/>
    <w:rsid w:val="00ED41A5"/>
    <w:rsid w:val="00ED4DF4"/>
    <w:rsid w:val="00ED7069"/>
    <w:rsid w:val="00EE14BC"/>
    <w:rsid w:val="00EE2238"/>
    <w:rsid w:val="00EF04FE"/>
    <w:rsid w:val="00EF2B72"/>
    <w:rsid w:val="00EF5966"/>
    <w:rsid w:val="00F156AC"/>
    <w:rsid w:val="00F26411"/>
    <w:rsid w:val="00F34AC1"/>
    <w:rsid w:val="00F71A74"/>
    <w:rsid w:val="00F7403B"/>
    <w:rsid w:val="00F7717F"/>
    <w:rsid w:val="00F81D3F"/>
    <w:rsid w:val="00F83501"/>
    <w:rsid w:val="00F838A3"/>
    <w:rsid w:val="00F8699E"/>
    <w:rsid w:val="00FA4126"/>
    <w:rsid w:val="00FC3A22"/>
    <w:rsid w:val="00FD43A4"/>
    <w:rsid w:val="00FE02B3"/>
    <w:rsid w:val="00FE66FB"/>
    <w:rsid w:val="00FE758B"/>
    <w:rsid w:val="00FF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C33F4A"/>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5C9F"/>
    <w:pPr>
      <w:widowControl w:val="0"/>
      <w:jc w:val="both"/>
    </w:pPr>
    <w:rPr>
      <w:rFonts w:ascii="Calibri" w:eastAsia="宋体" w:hAnsi="Calibri" w:cs="Times New Roman"/>
    </w:rPr>
  </w:style>
  <w:style w:type="paragraph" w:styleId="1">
    <w:name w:val="heading 1"/>
    <w:aliases w:val="H1,h1,Heading 1 3GPP"/>
    <w:next w:val="a"/>
    <w:link w:val="11"/>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2">
    <w:name w:val="heading 2"/>
    <w:aliases w:val="H2,h2,DO NOT USE_h2,h21,Heading 2 3GPP"/>
    <w:basedOn w:val="a"/>
    <w:next w:val="a"/>
    <w:link w:val="20"/>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uiPriority w:val="9"/>
    <w:rsid w:val="00445C9F"/>
    <w:rPr>
      <w:rFonts w:ascii="Calibri" w:eastAsia="宋体" w:hAnsi="Calibri" w:cs="Times New Roman"/>
      <w:b/>
      <w:bCs/>
      <w:kern w:val="44"/>
      <w:sz w:val="44"/>
      <w:szCs w:val="44"/>
    </w:rPr>
  </w:style>
  <w:style w:type="character" w:customStyle="1" w:styleId="20">
    <w:name w:val="标题 2 字符"/>
    <w:aliases w:val="H2 字符,h2 字符,DO NOT USE_h2 字符,h21 字符,Heading 2 3GPP 字符"/>
    <w:basedOn w:val="a0"/>
    <w:link w:val="2"/>
    <w:rsid w:val="00445C9F"/>
    <w:rPr>
      <w:rFonts w:ascii="Cambria" w:eastAsia="宋体" w:hAnsi="Cambria" w:cs="Times New Roman"/>
      <w:b/>
      <w:bCs/>
      <w:sz w:val="32"/>
      <w:szCs w:val="32"/>
      <w:lang w:val="x-none" w:eastAsia="x-none"/>
    </w:rPr>
  </w:style>
  <w:style w:type="character" w:customStyle="1" w:styleId="30">
    <w:name w:val="标题 3 字符"/>
    <w:basedOn w:val="a0"/>
    <w:link w:val="3"/>
    <w:rsid w:val="00445C9F"/>
    <w:rPr>
      <w:rFonts w:ascii="Calibri" w:eastAsia="宋体" w:hAnsi="Calibri" w:cs="Times New Roman"/>
      <w:b/>
      <w:bCs/>
      <w:sz w:val="32"/>
      <w:szCs w:val="32"/>
      <w:lang w:val="x-none" w:eastAsia="x-none"/>
    </w:rPr>
  </w:style>
  <w:style w:type="character" w:customStyle="1" w:styleId="11">
    <w:name w:val="标题 1 字符1"/>
    <w:aliases w:val="H1 字符,h1 字符,Heading 1 3GPP 字符"/>
    <w:link w:val="1"/>
    <w:rsid w:val="00445C9F"/>
    <w:rPr>
      <w:rFonts w:ascii="Arial" w:eastAsia="宋体"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4">
    <w:name w:val="页眉 字符"/>
    <w:basedOn w:val="a0"/>
    <w:uiPriority w:val="99"/>
    <w:semiHidden/>
    <w:rsid w:val="00445C9F"/>
    <w:rPr>
      <w:rFonts w:ascii="Calibri" w:eastAsia="宋体" w:hAnsi="Calibri" w:cs="Times New Roman"/>
      <w:sz w:val="18"/>
      <w:szCs w:val="18"/>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45C9F"/>
    <w:rPr>
      <w:rFonts w:ascii="Arial" w:eastAsia="宋体" w:hAnsi="Arial" w:cs="Times New Roman"/>
      <w:b/>
      <w:noProof/>
      <w:kern w:val="0"/>
      <w:sz w:val="18"/>
      <w:szCs w:val="20"/>
      <w:lang w:eastAsia="en-US"/>
    </w:rPr>
  </w:style>
  <w:style w:type="paragraph" w:styleId="a5">
    <w:name w:val="footer"/>
    <w:basedOn w:val="a3"/>
    <w:link w:val="13"/>
    <w:rsid w:val="00445C9F"/>
    <w:pPr>
      <w:jc w:val="center"/>
    </w:pPr>
    <w:rPr>
      <w:i/>
      <w:lang w:val="x-none"/>
    </w:rPr>
  </w:style>
  <w:style w:type="character" w:customStyle="1" w:styleId="a6">
    <w:name w:val="页脚 字符"/>
    <w:basedOn w:val="a0"/>
    <w:uiPriority w:val="99"/>
    <w:semiHidden/>
    <w:rsid w:val="00445C9F"/>
    <w:rPr>
      <w:rFonts w:ascii="Calibri" w:eastAsia="宋体" w:hAnsi="Calibri" w:cs="Times New Roman"/>
      <w:sz w:val="18"/>
      <w:szCs w:val="18"/>
    </w:rPr>
  </w:style>
  <w:style w:type="character" w:customStyle="1" w:styleId="13">
    <w:name w:val="页脚 字符1"/>
    <w:link w:val="a5"/>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a7"/>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a"/>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a7">
    <w:name w:val="List"/>
    <w:basedOn w:val="a"/>
    <w:uiPriority w:val="99"/>
    <w:semiHidden/>
    <w:unhideWhenUsed/>
    <w:rsid w:val="00445C9F"/>
    <w:pPr>
      <w:ind w:left="200" w:hangingChars="200" w:hanging="200"/>
      <w:contextualSpacing/>
    </w:p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E83811"/>
    <w:rPr>
      <w:rFonts w:eastAsia="宋体"/>
      <w:sz w:val="22"/>
      <w:lang w:eastAsia="en-US"/>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8"/>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aa">
    <w:name w:val="Balloon Text"/>
    <w:basedOn w:val="a"/>
    <w:link w:val="ab"/>
    <w:uiPriority w:val="99"/>
    <w:semiHidden/>
    <w:unhideWhenUsed/>
    <w:rsid w:val="00EE14BC"/>
    <w:rPr>
      <w:sz w:val="18"/>
      <w:szCs w:val="18"/>
    </w:rPr>
  </w:style>
  <w:style w:type="character" w:customStyle="1" w:styleId="ab">
    <w:name w:val="批注框文本 字符"/>
    <w:basedOn w:val="a0"/>
    <w:link w:val="aa"/>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References">
    <w:name w:val="References"/>
    <w:basedOn w:val="a"/>
    <w:next w:val="a"/>
    <w:rsid w:val="003E1E8B"/>
    <w:pPr>
      <w:widowControl/>
      <w:numPr>
        <w:numId w:val="6"/>
      </w:numPr>
      <w:spacing w:after="60"/>
      <w:ind w:right="-96"/>
      <w:jc w:val="left"/>
    </w:pPr>
    <w:rPr>
      <w:rFonts w:ascii="Times New Roman" w:hAnsi="Times New Roman"/>
      <w:kern w:val="0"/>
      <w:sz w:val="20"/>
      <w:szCs w:val="16"/>
      <w:lang w:eastAsia="en-US"/>
    </w:rPr>
  </w:style>
  <w:style w:type="table" w:styleId="ac">
    <w:name w:val="Table Grid"/>
    <w:basedOn w:val="a1"/>
    <w:rsid w:val="00E51295"/>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E51295"/>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E51295"/>
    <w:rPr>
      <w:rFonts w:ascii="Arial" w:eastAsia="MS Mincho" w:hAnsi="Arial" w:cs="Times New Roman"/>
      <w:kern w:val="0"/>
      <w:sz w:val="20"/>
      <w:szCs w:val="24"/>
      <w:lang w:val="en-GB" w:eastAsia="en-GB"/>
    </w:rPr>
  </w:style>
  <w:style w:type="paragraph" w:customStyle="1" w:styleId="Comments">
    <w:name w:val="Comments"/>
    <w:basedOn w:val="a"/>
    <w:link w:val="CommentsChar"/>
    <w:qFormat/>
    <w:rsid w:val="00E51295"/>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E51295"/>
    <w:rPr>
      <w:rFonts w:ascii="Arial" w:eastAsia="MS Mincho" w:hAnsi="Arial" w:cs="Times New Roman"/>
      <w:i/>
      <w:noProof/>
      <w:kern w:val="0"/>
      <w:sz w:val="18"/>
      <w:szCs w:val="24"/>
      <w:lang w:val="en-GB" w:eastAsia="en-GB"/>
    </w:rPr>
  </w:style>
  <w:style w:type="character" w:styleId="ad">
    <w:name w:val="annotation reference"/>
    <w:uiPriority w:val="99"/>
    <w:semiHidden/>
    <w:rsid w:val="00C577AC"/>
    <w:rPr>
      <w:sz w:val="16"/>
      <w:szCs w:val="16"/>
    </w:rPr>
  </w:style>
  <w:style w:type="paragraph" w:styleId="ae">
    <w:name w:val="annotation text"/>
    <w:basedOn w:val="a"/>
    <w:link w:val="af"/>
    <w:uiPriority w:val="99"/>
    <w:semiHidden/>
    <w:rsid w:val="00C577AC"/>
    <w:pPr>
      <w:widowControl/>
      <w:spacing w:before="40"/>
      <w:jc w:val="left"/>
    </w:pPr>
    <w:rPr>
      <w:rFonts w:ascii="Arial" w:eastAsia="MS Mincho" w:hAnsi="Arial"/>
      <w:kern w:val="0"/>
      <w:sz w:val="20"/>
      <w:szCs w:val="20"/>
      <w:lang w:val="en-GB" w:eastAsia="en-GB"/>
    </w:rPr>
  </w:style>
  <w:style w:type="character" w:customStyle="1" w:styleId="af">
    <w:name w:val="批注文字 字符"/>
    <w:basedOn w:val="a0"/>
    <w:link w:val="ae"/>
    <w:uiPriority w:val="99"/>
    <w:semiHidden/>
    <w:rsid w:val="00C577AC"/>
    <w:rPr>
      <w:rFonts w:ascii="Arial" w:eastAsia="MS Mincho" w:hAnsi="Arial" w:cs="Times New Roman"/>
      <w:kern w:val="0"/>
      <w:sz w:val="20"/>
      <w:szCs w:val="20"/>
      <w:lang w:val="en-GB" w:eastAsia="en-GB"/>
    </w:rPr>
  </w:style>
  <w:style w:type="paragraph" w:styleId="af0">
    <w:name w:val="annotation subject"/>
    <w:basedOn w:val="ae"/>
    <w:next w:val="ae"/>
    <w:link w:val="af1"/>
    <w:uiPriority w:val="99"/>
    <w:semiHidden/>
    <w:unhideWhenUsed/>
    <w:rsid w:val="008429AA"/>
    <w:pPr>
      <w:widowControl w:val="0"/>
      <w:spacing w:before="0"/>
      <w:jc w:val="both"/>
    </w:pPr>
    <w:rPr>
      <w:rFonts w:ascii="Calibri" w:eastAsia="宋体" w:hAnsi="Calibri"/>
      <w:b/>
      <w:bCs/>
      <w:kern w:val="2"/>
      <w:lang w:val="en-US" w:eastAsia="zh-CN"/>
    </w:rPr>
  </w:style>
  <w:style w:type="character" w:customStyle="1" w:styleId="af1">
    <w:name w:val="批注主题 字符"/>
    <w:basedOn w:val="af"/>
    <w:link w:val="af0"/>
    <w:uiPriority w:val="99"/>
    <w:semiHidden/>
    <w:rsid w:val="008429AA"/>
    <w:rPr>
      <w:rFonts w:ascii="Calibri" w:eastAsia="宋体" w:hAnsi="Calibri" w:cs="Times New Roman"/>
      <w:b/>
      <w:bCs/>
      <w:kern w:val="0"/>
      <w:sz w:val="20"/>
      <w:szCs w:val="20"/>
      <w:lang w:val="en-GB" w:eastAsia="en-GB"/>
    </w:rPr>
  </w:style>
  <w:style w:type="paragraph" w:styleId="af2">
    <w:name w:val="Revision"/>
    <w:hidden/>
    <w:uiPriority w:val="99"/>
    <w:semiHidden/>
    <w:rsid w:val="00B55D22"/>
    <w:rPr>
      <w:rFonts w:ascii="Calibri" w:eastAsia="宋体" w:hAnsi="Calibri" w:cs="Times New Roman"/>
    </w:rPr>
  </w:style>
  <w:style w:type="paragraph" w:customStyle="1" w:styleId="B4">
    <w:name w:val="B4"/>
    <w:basedOn w:val="4"/>
    <w:link w:val="B4Char"/>
    <w:rsid w:val="004E6F1C"/>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ja-JP"/>
    </w:rPr>
  </w:style>
  <w:style w:type="paragraph" w:customStyle="1" w:styleId="B5">
    <w:name w:val="B5"/>
    <w:basedOn w:val="5"/>
    <w:link w:val="B5Char"/>
    <w:rsid w:val="004E6F1C"/>
    <w:pPr>
      <w:widowControl/>
      <w:overflowPunct w:val="0"/>
      <w:autoSpaceDE w:val="0"/>
      <w:autoSpaceDN w:val="0"/>
      <w:adjustRightInd w:val="0"/>
      <w:spacing w:after="180"/>
      <w:ind w:left="1702"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locked/>
    <w:rsid w:val="004E6F1C"/>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E6F1C"/>
    <w:rPr>
      <w:rFonts w:ascii="Times New Roman" w:eastAsia="Times New Roman" w:hAnsi="Times New Roman" w:cs="Times New Roman"/>
      <w:kern w:val="0"/>
      <w:sz w:val="20"/>
      <w:szCs w:val="20"/>
      <w:lang w:val="en-GB" w:eastAsia="ja-JP"/>
    </w:rPr>
  </w:style>
  <w:style w:type="paragraph" w:styleId="4">
    <w:name w:val="List 4"/>
    <w:basedOn w:val="a"/>
    <w:uiPriority w:val="99"/>
    <w:semiHidden/>
    <w:unhideWhenUsed/>
    <w:rsid w:val="004E6F1C"/>
    <w:pPr>
      <w:ind w:left="1440" w:hanging="360"/>
      <w:contextualSpacing/>
    </w:pPr>
  </w:style>
  <w:style w:type="paragraph" w:styleId="5">
    <w:name w:val="List 5"/>
    <w:basedOn w:val="a"/>
    <w:uiPriority w:val="99"/>
    <w:semiHidden/>
    <w:unhideWhenUsed/>
    <w:rsid w:val="004E6F1C"/>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620593">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5069F-044D-4A8B-9349-107AB5688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Ran Ran1 Yue</cp:lastModifiedBy>
  <cp:revision>3</cp:revision>
  <dcterms:created xsi:type="dcterms:W3CDTF">2021-10-21T09:53:00Z</dcterms:created>
  <dcterms:modified xsi:type="dcterms:W3CDTF">2021-10-21T10:26:00Z</dcterms:modified>
</cp:coreProperties>
</file>