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af"/>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w:t>
      </w:r>
      <w:proofErr w:type="gramStart"/>
      <w:r w:rsidR="00FD524C" w:rsidRPr="00FD524C">
        <w:rPr>
          <w:rFonts w:ascii="Arial" w:hAnsi="Arial" w:cs="Arial"/>
          <w:b/>
          <w:sz w:val="22"/>
        </w:rPr>
        <w:t>][</w:t>
      </w:r>
      <w:proofErr w:type="gramEnd"/>
      <w:r w:rsidR="00FD524C" w:rsidRPr="00FD524C">
        <w:rPr>
          <w:rFonts w:ascii="Arial" w:hAnsi="Arial" w:cs="Arial"/>
          <w:b/>
          <w:sz w:val="22"/>
        </w:rPr>
        <w:t>110][</w:t>
      </w:r>
      <w:proofErr w:type="spellStart"/>
      <w:r w:rsidR="00FD524C" w:rsidRPr="00FD524C">
        <w:rPr>
          <w:rFonts w:ascii="Arial" w:hAnsi="Arial" w:cs="Arial"/>
          <w:b/>
          <w:sz w:val="22"/>
        </w:rPr>
        <w:t>RedCap</w:t>
      </w:r>
      <w:proofErr w:type="spellEnd"/>
      <w:r w:rsidR="00FD524C" w:rsidRPr="00FD524C">
        <w:rPr>
          <w:rFonts w:ascii="Arial" w:hAnsi="Arial" w:cs="Arial"/>
          <w:b/>
          <w:sz w:val="22"/>
        </w:rPr>
        <w:t>]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E1A7AE3"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8"/>
          </w:rPr>
          <w:t>R2-2107211</w:t>
        </w:r>
      </w:hyperlink>
      <w:r>
        <w:t xml:space="preserve"> and </w:t>
      </w:r>
      <w:hyperlink r:id="rId13" w:tooltip="C:Data3GPPExtractsR2-2107748 RRM relaxation for RedCap UEs.docx" w:history="1">
        <w:r w:rsidRPr="00011A77">
          <w:rPr>
            <w:rStyle w:val="af8"/>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8"/>
          <w:highlight w:val="yellow"/>
        </w:rPr>
        <w:t>R2-210</w:t>
      </w:r>
      <w:r>
        <w:rPr>
          <w:rStyle w:val="af8"/>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af8"/>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77777777" w:rsidR="003D7D29" w:rsidRPr="00EC0767" w:rsidRDefault="003D7D29" w:rsidP="003D7D29">
            <w:pPr>
              <w:widowControl w:val="0"/>
              <w:spacing w:after="0"/>
              <w:rPr>
                <w:rFonts w:ascii="CG Times (WN)" w:eastAsia="DengXian" w:hAnsi="CG Times (WN)"/>
                <w:bCs/>
                <w:szCs w:val="21"/>
                <w:lang w:val="fr-FR" w:eastAsia="zh-CN"/>
              </w:rPr>
            </w:pPr>
          </w:p>
        </w:tc>
        <w:tc>
          <w:tcPr>
            <w:tcW w:w="6402" w:type="dxa"/>
            <w:shd w:val="clear" w:color="auto" w:fill="auto"/>
          </w:tcPr>
          <w:p w14:paraId="36E0AEB4" w14:textId="77777777" w:rsidR="003D7D29" w:rsidRPr="00EC0767" w:rsidRDefault="003D7D29" w:rsidP="003D7D29">
            <w:pPr>
              <w:widowControl w:val="0"/>
              <w:spacing w:after="0"/>
              <w:rPr>
                <w:rFonts w:ascii="CG Times (WN)" w:eastAsia="DengXian" w:hAnsi="CG Times (WN)"/>
                <w:bCs/>
                <w:szCs w:val="21"/>
                <w:lang w:val="fr-FR" w:eastAsia="zh-CN"/>
              </w:rPr>
            </w:pP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lastRenderedPageBreak/>
        <w:br w:type="page"/>
      </w:r>
    </w:p>
    <w:p w14:paraId="43BD7249" w14:textId="77777777" w:rsidR="007971E2" w:rsidRDefault="003848E4" w:rsidP="00120DF8">
      <w:pPr>
        <w:pStyle w:val="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20"/>
        <w:numPr>
          <w:ilvl w:val="1"/>
          <w:numId w:val="10"/>
        </w:numPr>
        <w:rPr>
          <w:lang w:eastAsia="zh-CN"/>
        </w:rPr>
      </w:pPr>
      <w:r w:rsidRPr="00975F07">
        <w:t>Beam level criterion</w:t>
      </w:r>
    </w:p>
    <w:p w14:paraId="17BFE6C9" w14:textId="77777777" w:rsidR="00975F07" w:rsidRPr="00281D5F" w:rsidRDefault="005F0069" w:rsidP="005F0069">
      <w:pPr>
        <w:pStyle w:val="aff1"/>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aff1"/>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aff1"/>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5"/>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aff1"/>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aff1"/>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aff1"/>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aff1"/>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aff1"/>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 xml:space="preserve">(e.g.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游明朝" w:hAnsi="Arial" w:cs="Arial" w:hint="eastAsia"/>
                <w:lang w:eastAsia="ja-JP"/>
              </w:rPr>
            </w:pPr>
            <w:r>
              <w:rPr>
                <w:rFonts w:ascii="Arial" w:eastAsia="游明朝" w:hAnsi="Arial" w:cs="Arial"/>
                <w:lang w:eastAsia="ja-JP"/>
              </w:rPr>
              <w:t>See benefits</w:t>
            </w:r>
            <w:r w:rsidR="00DB38D6">
              <w:rPr>
                <w:rFonts w:ascii="Arial" w:eastAsia="游明朝" w:hAnsi="Arial" w:cs="Arial"/>
                <w:lang w:eastAsia="ja-JP"/>
              </w:rPr>
              <w:t xml:space="preserve"> to introduce beam-change based method as a complement in addition to</w:t>
            </w:r>
            <w:r>
              <w:rPr>
                <w:rFonts w:ascii="Arial" w:eastAsia="游明朝" w:hAnsi="Arial" w:cs="Arial"/>
                <w:lang w:eastAsia="ja-JP"/>
              </w:rPr>
              <w:t xml:space="preserve"> RSRP/RSRQ </w:t>
            </w:r>
            <w:r w:rsidR="00523C47">
              <w:rPr>
                <w:rFonts w:ascii="Arial" w:eastAsia="游明朝" w:hAnsi="Arial" w:cs="Arial"/>
                <w:lang w:eastAsia="ja-JP"/>
              </w:rPr>
              <w:t>method for stricter evaluation.</w:t>
            </w:r>
            <w:r>
              <w:rPr>
                <w:rFonts w:ascii="Arial" w:eastAsia="游明朝" w:hAnsi="Arial" w:cs="Arial"/>
                <w:lang w:eastAsia="ja-JP"/>
              </w:rPr>
              <w:t xml:space="preserve"> </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aff1"/>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aff1"/>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aff1"/>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aff1"/>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5"/>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1 or</w:t>
            </w:r>
            <w:r>
              <w:rPr>
                <w:rFonts w:ascii="Arial" w:eastAsia="游明朝"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游明朝" w:hAnsi="Arial" w:cs="Arial" w:hint="eastAsia"/>
                <w:szCs w:val="22"/>
                <w:lang w:val="en-US" w:eastAsia="ja-JP"/>
              </w:rPr>
            </w:pPr>
            <w:r>
              <w:rPr>
                <w:rFonts w:ascii="Arial" w:eastAsia="游明朝" w:hAnsi="Arial" w:cs="Arial"/>
                <w:szCs w:val="22"/>
                <w:lang w:val="en-US" w:eastAsia="ja-JP"/>
              </w:rPr>
              <w:t>See benefits in either evaluating</w:t>
            </w:r>
            <w:r w:rsidR="00523C47">
              <w:rPr>
                <w:rFonts w:ascii="Arial" w:eastAsia="游明朝" w:hAnsi="Arial" w:cs="Arial"/>
                <w:szCs w:val="22"/>
                <w:lang w:val="en-US" w:eastAsia="ja-JP"/>
              </w:rPr>
              <w:t xml:space="preserve"> t</w:t>
            </w:r>
            <w:r>
              <w:rPr>
                <w:rFonts w:ascii="Arial" w:eastAsia="游明朝" w:hAnsi="Arial" w:cs="Arial"/>
                <w:szCs w:val="22"/>
                <w:lang w:val="en-US" w:eastAsia="ja-JP"/>
              </w:rPr>
              <w:t xml:space="preserve">he beam quality variation </w:t>
            </w:r>
            <w:r w:rsidR="00523C47">
              <w:rPr>
                <w:rFonts w:ascii="Arial" w:eastAsia="游明朝" w:hAnsi="Arial" w:cs="Arial"/>
                <w:szCs w:val="22"/>
                <w:lang w:val="en-US" w:eastAsia="ja-JP"/>
              </w:rPr>
              <w:t>[1]</w:t>
            </w:r>
            <w:r>
              <w:rPr>
                <w:rFonts w:ascii="Arial" w:eastAsia="游明朝" w:hAnsi="Arial" w:cs="Arial"/>
                <w:szCs w:val="22"/>
                <w:lang w:val="en-US" w:eastAsia="ja-JP"/>
              </w:rPr>
              <w:t xml:space="preserve"> or change of Number of serving beams in a certain period of time</w:t>
            </w:r>
            <w:r w:rsidR="00523C47">
              <w:rPr>
                <w:rFonts w:ascii="Arial" w:eastAsia="游明朝" w:hAnsi="Arial" w:cs="Arial"/>
                <w:szCs w:val="22"/>
                <w:lang w:val="en-US" w:eastAsia="ja-JP"/>
              </w:rPr>
              <w:t xml:space="preserve">. </w:t>
            </w:r>
          </w:p>
        </w:tc>
      </w:tr>
      <w:tr w:rsidR="006E2503" w:rsidRPr="009B68A1" w14:paraId="79058CCE" w14:textId="77777777" w:rsidTr="002672CF">
        <w:tc>
          <w:tcPr>
            <w:tcW w:w="1192" w:type="pct"/>
          </w:tcPr>
          <w:p w14:paraId="6B3EAF7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EDF29BF"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32516E69"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7DDDA661" w14:textId="77777777" w:rsidTr="002672CF">
        <w:tc>
          <w:tcPr>
            <w:tcW w:w="1192" w:type="pct"/>
          </w:tcPr>
          <w:p w14:paraId="64F7B2CB"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D930E9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DA4299F"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4ADFE19F" w14:textId="77777777" w:rsidTr="002672CF">
        <w:tc>
          <w:tcPr>
            <w:tcW w:w="1192" w:type="pct"/>
          </w:tcPr>
          <w:p w14:paraId="3B44CD7A"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98B8D12"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9AFDDE1"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3D966236" w14:textId="77777777" w:rsidTr="002672CF">
        <w:tc>
          <w:tcPr>
            <w:tcW w:w="1192" w:type="pct"/>
          </w:tcPr>
          <w:p w14:paraId="09DF65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A3D50C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D51938C"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441CCCB3" w14:textId="77777777" w:rsidTr="002672CF">
        <w:tc>
          <w:tcPr>
            <w:tcW w:w="1192" w:type="pct"/>
          </w:tcPr>
          <w:p w14:paraId="4D42914D"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0DCD0F1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0EC8B036"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0FB56902" w14:textId="77777777" w:rsidTr="002672CF">
        <w:tc>
          <w:tcPr>
            <w:tcW w:w="1192" w:type="pct"/>
          </w:tcPr>
          <w:p w14:paraId="1FE5DB0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00F5F0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8BD42B7"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5930417D" w14:textId="77777777" w:rsidTr="002672CF">
        <w:tc>
          <w:tcPr>
            <w:tcW w:w="1192" w:type="pct"/>
          </w:tcPr>
          <w:p w14:paraId="3D8A3563"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7A2EF1A0"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75F87F15" w14:textId="77777777" w:rsidR="006E2503" w:rsidRPr="009B68A1" w:rsidRDefault="006E2503" w:rsidP="006E2503">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20"/>
        <w:numPr>
          <w:ilvl w:val="1"/>
          <w:numId w:val="10"/>
        </w:numPr>
      </w:pPr>
      <w:r w:rsidRPr="00CA3F53">
        <w:lastRenderedPageBreak/>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af5"/>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ＭＳ 明朝" w:hAnsi="Arial"/>
                <w:szCs w:val="24"/>
                <w:lang w:eastAsia="en-GB"/>
              </w:rPr>
            </w:pPr>
            <w:r>
              <w:rPr>
                <w:rFonts w:ascii="Arial" w:eastAsia="ＭＳ 明朝" w:hAnsi="Arial"/>
                <w:szCs w:val="24"/>
                <w:lang w:eastAsia="en-GB"/>
              </w:rPr>
              <w:t xml:space="preserve">1. </w:t>
            </w:r>
            <w:r w:rsidRPr="002D68B2">
              <w:rPr>
                <w:rFonts w:ascii="Arial" w:eastAsia="ＭＳ 明朝"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aff1"/>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aff1"/>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5"/>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w:t>
            </w:r>
            <w:r>
              <w:lastRenderedPageBreak/>
              <w:t xml:space="preserve">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游明朝" w:hAnsi="Arial" w:cs="Arial" w:hint="eastAsia"/>
                <w:szCs w:val="22"/>
                <w:lang w:eastAsia="ja-JP"/>
              </w:rPr>
            </w:pPr>
            <w:r>
              <w:rPr>
                <w:rFonts w:ascii="Arial" w:eastAsia="游明朝" w:hAnsi="Arial" w:cs="Arial"/>
                <w:szCs w:val="22"/>
                <w:lang w:eastAsia="ja-JP"/>
              </w:rPr>
              <w:t xml:space="preserve">Prefer combining </w:t>
            </w:r>
            <w:proofErr w:type="spellStart"/>
            <w:r>
              <w:rPr>
                <w:rFonts w:ascii="Arial" w:eastAsia="游明朝" w:hAnsi="Arial" w:cs="Arial"/>
                <w:szCs w:val="22"/>
                <w:lang w:eastAsia="ja-JP"/>
              </w:rPr>
              <w:t>exsiting</w:t>
            </w:r>
            <w:proofErr w:type="spellEnd"/>
            <w:r w:rsidR="002C27CA">
              <w:rPr>
                <w:rFonts w:ascii="Arial" w:eastAsia="游明朝" w:hAnsi="Arial" w:cs="Arial"/>
                <w:szCs w:val="22"/>
                <w:lang w:eastAsia="ja-JP"/>
              </w:rPr>
              <w:t xml:space="preserve"> </w:t>
            </w:r>
            <w:proofErr w:type="spellStart"/>
            <w:r w:rsidR="002C27CA">
              <w:rPr>
                <w:rFonts w:ascii="Arial" w:eastAsia="游明朝" w:hAnsi="Arial" w:cs="Arial"/>
                <w:szCs w:val="22"/>
                <w:lang w:eastAsia="ja-JP"/>
              </w:rPr>
              <w:t>threshold_P</w:t>
            </w:r>
            <w:proofErr w:type="spellEnd"/>
            <w:r w:rsidR="002C27CA">
              <w:rPr>
                <w:rFonts w:ascii="Arial" w:eastAsia="游明朝" w:hAnsi="Arial" w:cs="Arial"/>
                <w:szCs w:val="22"/>
                <w:lang w:eastAsia="ja-JP"/>
              </w:rPr>
              <w:t>/Q and beam-change based method</w:t>
            </w:r>
            <w:r>
              <w:rPr>
                <w:rFonts w:ascii="Arial" w:eastAsia="游明朝" w:hAnsi="Arial" w:cs="Arial"/>
                <w:szCs w:val="22"/>
                <w:lang w:eastAsia="ja-JP"/>
              </w:rPr>
              <w:t xml:space="preserve"> for stricter evaluation</w:t>
            </w:r>
            <w:r w:rsidR="002C27CA">
              <w:rPr>
                <w:rFonts w:ascii="Arial" w:eastAsia="游明朝" w:hAnsi="Arial" w:cs="Arial"/>
                <w:szCs w:val="22"/>
                <w:lang w:eastAsia="ja-JP"/>
              </w:rPr>
              <w:t xml:space="preserve">.  </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bookmarkStart w:id="1" w:name="_GoBack"/>
      <w:bookmarkEnd w:id="1"/>
    </w:p>
    <w:p w14:paraId="5201B037" w14:textId="77777777" w:rsidR="00A320C4" w:rsidRPr="00E14330" w:rsidRDefault="00382642" w:rsidP="00382642">
      <w:pPr>
        <w:pStyle w:val="20"/>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af5"/>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ＭＳ 明朝" w:hAnsi="Arial"/>
                <w:szCs w:val="24"/>
                <w:lang w:eastAsia="en-GB"/>
              </w:rPr>
              <w:t xml:space="preserve">1. </w:t>
            </w:r>
            <w:r w:rsidR="00C25061" w:rsidRPr="00C25061">
              <w:rPr>
                <w:rFonts w:ascii="Arial" w:eastAsia="ＭＳ 明朝"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aff1"/>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aff1"/>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aff1"/>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aff1"/>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5"/>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ＭＳ 明朝"/>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ＭＳ 明朝" w:hAnsi="Arial"/>
                <w:szCs w:val="24"/>
                <w:lang w:eastAsia="en-GB"/>
              </w:rPr>
              <w:t>RSRP</w:t>
            </w:r>
            <w:proofErr w:type="gramEnd"/>
            <w:r w:rsidRPr="00C25061">
              <w:rPr>
                <w:rFonts w:ascii="Arial" w:eastAsia="ＭＳ 明朝" w:hAnsi="Arial"/>
                <w:szCs w:val="24"/>
                <w:lang w:eastAsia="en-GB"/>
              </w:rPr>
              <w:t>/RSRQ based stationarity criterion</w:t>
            </w:r>
            <w:r>
              <w:rPr>
                <w:rFonts w:ascii="Arial" w:eastAsia="ＭＳ 明朝" w:hAnsi="Arial"/>
                <w:szCs w:val="24"/>
                <w:lang w:eastAsia="en-GB"/>
              </w:rPr>
              <w:t xml:space="preserve"> as in idle</w:t>
            </w:r>
            <w:r>
              <w:rPr>
                <w:lang w:eastAsia="zh-CN"/>
              </w:rPr>
              <w:t xml:space="preserve">, the network can indicate this in broadcast and </w:t>
            </w:r>
            <w:r w:rsidRPr="00C25061">
              <w:rPr>
                <w:rFonts w:ascii="Arial" w:eastAsia="ＭＳ 明朝" w:hAnsi="Arial"/>
                <w:szCs w:val="24"/>
                <w:lang w:eastAsia="en-GB"/>
              </w:rPr>
              <w:t>RRM measurement relaxation</w:t>
            </w:r>
            <w:r>
              <w:rPr>
                <w:rFonts w:ascii="Arial" w:eastAsia="ＭＳ 明朝" w:hAnsi="Arial"/>
                <w:szCs w:val="24"/>
                <w:lang w:eastAsia="en-GB"/>
              </w:rPr>
              <w:t xml:space="preserve"> could be configured by the </w:t>
            </w:r>
            <w:proofErr w:type="spellStart"/>
            <w:r>
              <w:rPr>
                <w:rFonts w:ascii="Arial" w:eastAsia="ＭＳ 明朝" w:hAnsi="Arial"/>
                <w:szCs w:val="24"/>
                <w:lang w:eastAsia="en-GB"/>
              </w:rPr>
              <w:t>gNodeB</w:t>
            </w:r>
            <w:proofErr w:type="spellEnd"/>
            <w:r>
              <w:rPr>
                <w:rFonts w:ascii="Arial" w:eastAsia="ＭＳ 明朝" w:hAnsi="Arial"/>
                <w:szCs w:val="24"/>
                <w:lang w:eastAsia="en-GB"/>
              </w:rPr>
              <w:t xml:space="preserve"> immediately when entering </w:t>
            </w:r>
            <w:proofErr w:type="spellStart"/>
            <w:r>
              <w:rPr>
                <w:rFonts w:ascii="Arial" w:eastAsia="ＭＳ 明朝" w:hAnsi="Arial"/>
                <w:szCs w:val="24"/>
                <w:lang w:eastAsia="en-GB"/>
              </w:rPr>
              <w:t>RRC_Connected</w:t>
            </w:r>
            <w:proofErr w:type="spellEnd"/>
            <w:r>
              <w:rPr>
                <w:rFonts w:ascii="Arial" w:eastAsia="ＭＳ 明朝"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Furthermore CONNECTED mode relaxation criteria can </w:t>
            </w:r>
            <w:r>
              <w:rPr>
                <w:rFonts w:ascii="Arial" w:eastAsia="DengXian" w:hAnsi="Arial" w:cs="Arial"/>
                <w:szCs w:val="22"/>
                <w:lang w:eastAsia="zh-CN"/>
              </w:rPr>
              <w:lastRenderedPageBreak/>
              <w:t>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lastRenderedPageBreak/>
              <w:t>NTTDOCOMO</w:t>
            </w:r>
          </w:p>
        </w:tc>
        <w:tc>
          <w:tcPr>
            <w:tcW w:w="1126" w:type="pct"/>
          </w:tcPr>
          <w:p w14:paraId="03397401" w14:textId="33F6B017" w:rsidR="002C27CA" w:rsidRPr="002C27CA" w:rsidRDefault="002C27CA"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游明朝" w:hAnsi="Arial" w:cs="Arial" w:hint="eastAsia"/>
                <w:szCs w:val="22"/>
                <w:lang w:eastAsia="ja-JP"/>
              </w:rPr>
            </w:pPr>
            <w:r>
              <w:rPr>
                <w:rFonts w:ascii="Arial" w:eastAsia="游明朝" w:hAnsi="Arial" w:cs="Arial" w:hint="eastAsia"/>
                <w:szCs w:val="22"/>
                <w:lang w:eastAsia="ja-JP"/>
              </w:rPr>
              <w:t>I</w:t>
            </w:r>
            <w:r>
              <w:rPr>
                <w:rFonts w:ascii="Arial" w:eastAsia="游明朝" w:hAnsi="Arial" w:cs="Arial"/>
                <w:szCs w:val="22"/>
                <w:lang w:eastAsia="ja-JP"/>
              </w:rPr>
              <w:t xml:space="preserve">n RRC_CONNECTED, it is straightforward to send </w:t>
            </w:r>
            <w:r w:rsidRPr="00150814">
              <w:rPr>
                <w:rFonts w:ascii="Arial" w:eastAsia="游明朝" w:hAnsi="Arial" w:cs="Arial"/>
                <w:szCs w:val="22"/>
                <w:lang w:eastAsia="ja-JP"/>
              </w:rPr>
              <w:t>configuration of stationarity criterion</w:t>
            </w:r>
            <w:r>
              <w:rPr>
                <w:rFonts w:ascii="Arial" w:eastAsia="游明朝" w:hAnsi="Arial" w:cs="Arial"/>
                <w:szCs w:val="22"/>
                <w:lang w:eastAsia="ja-JP"/>
              </w:rPr>
              <w:t xml:space="preserve"> in RRC dedicated signalling.</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aff1"/>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aff1"/>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aff1"/>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aff1"/>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5"/>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lastRenderedPageBreak/>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(e.g.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游明朝" w:hAnsi="Arial" w:cs="Arial" w:hint="eastAsia"/>
                <w:szCs w:val="22"/>
                <w:lang w:eastAsia="ja-JP"/>
              </w:rPr>
            </w:pPr>
            <w:r>
              <w:rPr>
                <w:rFonts w:ascii="Arial" w:eastAsia="游明朝" w:hAnsi="Arial" w:cs="Arial"/>
                <w:szCs w:val="22"/>
                <w:lang w:eastAsia="ja-JP"/>
              </w:rPr>
              <w:t>T</w:t>
            </w:r>
            <w:r>
              <w:rPr>
                <w:rFonts w:ascii="Arial" w:eastAsia="游明朝" w:hAnsi="Arial" w:cs="Arial" w:hint="eastAsia"/>
                <w:szCs w:val="22"/>
                <w:lang w:eastAsia="ja-JP"/>
              </w:rPr>
              <w:t xml:space="preserve">he </w:t>
            </w:r>
            <w:r>
              <w:rPr>
                <w:rFonts w:ascii="Arial" w:eastAsia="游明朝" w:hAnsi="Arial" w:cs="Arial"/>
                <w:szCs w:val="22"/>
                <w:lang w:eastAsia="ja-JP"/>
              </w:rPr>
              <w:t xml:space="preserve">criteria satisfied </w:t>
            </w:r>
            <w:r>
              <w:rPr>
                <w:rFonts w:ascii="Arial" w:eastAsia="游明朝" w:hAnsi="Arial" w:cs="Arial" w:hint="eastAsia"/>
                <w:szCs w:val="22"/>
                <w:lang w:eastAsia="ja-JP"/>
              </w:rPr>
              <w:t xml:space="preserve">notification could be sent to </w:t>
            </w:r>
            <w:proofErr w:type="spellStart"/>
            <w:r>
              <w:rPr>
                <w:rFonts w:ascii="Arial" w:eastAsia="游明朝" w:hAnsi="Arial" w:cs="Arial" w:hint="eastAsia"/>
                <w:szCs w:val="22"/>
                <w:lang w:eastAsia="ja-JP"/>
              </w:rPr>
              <w:t>gNB</w:t>
            </w:r>
            <w:proofErr w:type="spellEnd"/>
            <w:r>
              <w:rPr>
                <w:rFonts w:ascii="Arial" w:eastAsia="游明朝" w:hAnsi="Arial" w:cs="Arial" w:hint="eastAsia"/>
                <w:szCs w:val="22"/>
                <w:lang w:eastAsia="ja-JP"/>
              </w:rPr>
              <w:t xml:space="preserve"> using measurement reporting mechanism.</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20"/>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af5"/>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aff1"/>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aff1"/>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aff1"/>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aff1"/>
        <w:numPr>
          <w:ilvl w:val="0"/>
          <w:numId w:val="38"/>
        </w:numPr>
        <w:rPr>
          <w:rFonts w:ascii="Arial" w:eastAsia="DengXian" w:hAnsi="Arial" w:cs="Arial"/>
          <w:b/>
          <w:bCs/>
          <w:szCs w:val="21"/>
        </w:rPr>
      </w:pPr>
      <w:r>
        <w:rPr>
          <w:rFonts w:ascii="Arial" w:hAnsi="Arial" w:cs="Arial"/>
          <w:b/>
          <w:sz w:val="20"/>
          <w:szCs w:val="20"/>
        </w:rPr>
        <w:t>Other…</w:t>
      </w:r>
    </w:p>
    <w:tbl>
      <w:tblPr>
        <w:tblStyle w:val="af5"/>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w:t>
            </w:r>
            <w:proofErr w:type="gramStart"/>
            <w:r>
              <w:rPr>
                <w:rFonts w:ascii="Arial" w:eastAsiaTheme="minorEastAsia" w:hAnsi="Arial" w:cs="Arial"/>
                <w:szCs w:val="22"/>
                <w:lang w:eastAsia="ja-JP"/>
              </w:rPr>
              <w:t>the</w:t>
            </w:r>
            <w:proofErr w:type="gramEnd"/>
            <w:r>
              <w:rPr>
                <w:rFonts w:ascii="Arial" w:eastAsiaTheme="minorEastAsia" w:hAnsi="Arial" w:cs="Arial"/>
                <w:szCs w:val="22"/>
                <w:lang w:eastAsia="ja-JP"/>
              </w:rPr>
              <w:t xml:space="preserv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8"/>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aff1"/>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aff1"/>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游明朝" w:hAnsi="Arial" w:cs="Arial" w:hint="eastAsia"/>
                <w:szCs w:val="22"/>
                <w:lang w:eastAsia="ja-JP"/>
              </w:rPr>
            </w:pPr>
            <w:r>
              <w:rPr>
                <w:rFonts w:ascii="Arial" w:eastAsia="游明朝"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游明朝" w:hAnsi="Arial" w:cs="Arial" w:hint="eastAsia"/>
                <w:szCs w:val="22"/>
                <w:lang w:eastAsia="ja-JP"/>
              </w:rPr>
            </w:pPr>
            <w:r>
              <w:rPr>
                <w:rFonts w:ascii="Arial" w:eastAsia="游明朝" w:hAnsi="Arial" w:cs="Arial" w:hint="eastAsia"/>
                <w:szCs w:val="22"/>
                <w:lang w:eastAsia="ja-JP"/>
              </w:rPr>
              <w:t>OK with these.</w:t>
            </w: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8A1F0" w14:textId="77777777" w:rsidR="002C27CA" w:rsidRDefault="002C27CA">
      <w:pPr>
        <w:spacing w:after="0" w:line="240" w:lineRule="auto"/>
      </w:pPr>
      <w:r>
        <w:separator/>
      </w:r>
    </w:p>
  </w:endnote>
  <w:endnote w:type="continuationSeparator" w:id="0">
    <w:p w14:paraId="670504B2" w14:textId="77777777" w:rsidR="002C27CA" w:rsidRDefault="002C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FCA1" w14:textId="77777777" w:rsidR="002C27CA" w:rsidRDefault="002C27CA">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FD4B2" w14:textId="77777777" w:rsidR="002C27CA" w:rsidRDefault="002C27CA">
      <w:pPr>
        <w:spacing w:after="0" w:line="240" w:lineRule="auto"/>
      </w:pPr>
      <w:r>
        <w:separator/>
      </w:r>
    </w:p>
  </w:footnote>
  <w:footnote w:type="continuationSeparator" w:id="0">
    <w:p w14:paraId="157AB51E" w14:textId="77777777" w:rsidR="002C27CA" w:rsidRDefault="002C2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24B5"/>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rsid w:val="00E524B5"/>
    <w:pPr>
      <w:keepNext/>
      <w:keepLines/>
      <w:pBdr>
        <w:top w:val="single" w:sz="12" w:space="3" w:color="auto"/>
      </w:pBdr>
      <w:spacing w:before="240" w:after="180"/>
      <w:outlineLvl w:val="0"/>
    </w:pPr>
    <w:rPr>
      <w:rFonts w:ascii="Arial" w:eastAsia="ＭＳ 明朝" w:hAnsi="Arial"/>
      <w:sz w:val="32"/>
      <w:lang w:val="en-GB" w:eastAsia="en-US"/>
    </w:rPr>
  </w:style>
  <w:style w:type="paragraph" w:styleId="20">
    <w:name w:val="heading 2"/>
    <w:aliases w:val="DO NOT USE_h2,h2,h21,H2,Head2A,2,UNDERRUBRIK 1-2,H2 Char,h2 Char"/>
    <w:basedOn w:val="1"/>
    <w:next w:val="a0"/>
    <w:link w:val="21"/>
    <w:qFormat/>
    <w:rsid w:val="00E524B5"/>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rsid w:val="00E524B5"/>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rsid w:val="00E524B5"/>
    <w:pPr>
      <w:outlineLvl w:val="3"/>
    </w:pPr>
    <w:rPr>
      <w:sz w:val="24"/>
    </w:rPr>
  </w:style>
  <w:style w:type="paragraph" w:styleId="5">
    <w:name w:val="heading 5"/>
    <w:basedOn w:val="41"/>
    <w:next w:val="a0"/>
    <w:qFormat/>
    <w:rsid w:val="00E524B5"/>
    <w:pPr>
      <w:outlineLvl w:val="4"/>
    </w:pPr>
    <w:rPr>
      <w:sz w:val="22"/>
    </w:rPr>
  </w:style>
  <w:style w:type="paragraph" w:styleId="6">
    <w:name w:val="heading 6"/>
    <w:basedOn w:val="H6"/>
    <w:next w:val="a0"/>
    <w:qFormat/>
    <w:rsid w:val="00E524B5"/>
    <w:pPr>
      <w:outlineLvl w:val="5"/>
    </w:pPr>
  </w:style>
  <w:style w:type="paragraph" w:styleId="7">
    <w:name w:val="heading 7"/>
    <w:basedOn w:val="H6"/>
    <w:next w:val="a0"/>
    <w:qFormat/>
    <w:rsid w:val="00E524B5"/>
    <w:pPr>
      <w:outlineLvl w:val="6"/>
    </w:pPr>
  </w:style>
  <w:style w:type="paragraph" w:styleId="8">
    <w:name w:val="heading 8"/>
    <w:basedOn w:val="7"/>
    <w:next w:val="a0"/>
    <w:qFormat/>
    <w:rsid w:val="00E524B5"/>
    <w:pPr>
      <w:outlineLvl w:val="7"/>
    </w:pPr>
  </w:style>
  <w:style w:type="paragraph" w:styleId="9">
    <w:name w:val="heading 9"/>
    <w:basedOn w:val="8"/>
    <w:next w:val="a0"/>
    <w:qFormat/>
    <w:rsid w:val="00E524B5"/>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E524B5"/>
    <w:pPr>
      <w:ind w:left="1985" w:hanging="1985"/>
      <w:outlineLvl w:val="9"/>
    </w:pPr>
    <w:rPr>
      <w:sz w:val="20"/>
    </w:rPr>
  </w:style>
  <w:style w:type="paragraph" w:styleId="30">
    <w:name w:val="List 3"/>
    <w:basedOn w:val="22"/>
    <w:qFormat/>
    <w:rsid w:val="00E524B5"/>
    <w:pPr>
      <w:ind w:left="1135"/>
    </w:pPr>
  </w:style>
  <w:style w:type="paragraph" w:styleId="22">
    <w:name w:val="List 2"/>
    <w:basedOn w:val="a4"/>
    <w:qFormat/>
    <w:rsid w:val="00E524B5"/>
    <w:pPr>
      <w:ind w:left="851"/>
    </w:pPr>
  </w:style>
  <w:style w:type="paragraph" w:styleId="a4">
    <w:name w:val="List"/>
    <w:basedOn w:val="a0"/>
    <w:link w:val="a5"/>
    <w:rsid w:val="00E524B5"/>
    <w:pPr>
      <w:ind w:left="704" w:hanging="420"/>
    </w:pPr>
  </w:style>
  <w:style w:type="paragraph" w:styleId="70">
    <w:name w:val="toc 7"/>
    <w:basedOn w:val="60"/>
    <w:next w:val="a0"/>
    <w:semiHidden/>
    <w:qFormat/>
    <w:rsid w:val="00E524B5"/>
    <w:pPr>
      <w:ind w:left="2268" w:hanging="2268"/>
    </w:pPr>
  </w:style>
  <w:style w:type="paragraph" w:styleId="60">
    <w:name w:val="toc 6"/>
    <w:basedOn w:val="50"/>
    <w:next w:val="a0"/>
    <w:semiHidden/>
    <w:qFormat/>
    <w:rsid w:val="00E524B5"/>
    <w:pPr>
      <w:ind w:left="1985" w:hanging="1985"/>
    </w:pPr>
  </w:style>
  <w:style w:type="paragraph" w:styleId="50">
    <w:name w:val="toc 5"/>
    <w:basedOn w:val="42"/>
    <w:next w:val="a0"/>
    <w:semiHidden/>
    <w:qFormat/>
    <w:rsid w:val="00E524B5"/>
    <w:pPr>
      <w:ind w:left="1701" w:hanging="1701"/>
    </w:pPr>
  </w:style>
  <w:style w:type="paragraph" w:styleId="42">
    <w:name w:val="toc 4"/>
    <w:basedOn w:val="31"/>
    <w:next w:val="a0"/>
    <w:semiHidden/>
    <w:qFormat/>
    <w:rsid w:val="00E524B5"/>
    <w:pPr>
      <w:ind w:left="1418" w:hanging="1418"/>
    </w:pPr>
  </w:style>
  <w:style w:type="paragraph" w:styleId="31">
    <w:name w:val="toc 3"/>
    <w:basedOn w:val="23"/>
    <w:next w:val="a0"/>
    <w:semiHidden/>
    <w:qFormat/>
    <w:rsid w:val="00E524B5"/>
    <w:pPr>
      <w:ind w:left="1134" w:hanging="1134"/>
    </w:pPr>
  </w:style>
  <w:style w:type="paragraph" w:styleId="23">
    <w:name w:val="toc 2"/>
    <w:basedOn w:val="11"/>
    <w:next w:val="a0"/>
    <w:semiHidden/>
    <w:qFormat/>
    <w:rsid w:val="00E524B5"/>
    <w:pPr>
      <w:keepNext w:val="0"/>
      <w:spacing w:before="0"/>
      <w:ind w:left="851" w:hanging="851"/>
    </w:pPr>
    <w:rPr>
      <w:sz w:val="20"/>
    </w:rPr>
  </w:style>
  <w:style w:type="paragraph" w:styleId="11">
    <w:name w:val="toc 1"/>
    <w:next w:val="a0"/>
    <w:semiHidden/>
    <w:qFormat/>
    <w:rsid w:val="00E524B5"/>
    <w:pPr>
      <w:keepNext/>
      <w:keepLines/>
      <w:widowControl w:val="0"/>
      <w:tabs>
        <w:tab w:val="right" w:leader="dot" w:pos="9639"/>
      </w:tabs>
      <w:spacing w:before="120"/>
      <w:ind w:left="567" w:right="425" w:hanging="567"/>
    </w:pPr>
    <w:rPr>
      <w:rFonts w:eastAsia="ＭＳ 明朝"/>
      <w:sz w:val="22"/>
      <w:lang w:val="en-GB" w:eastAsia="en-US"/>
    </w:rPr>
  </w:style>
  <w:style w:type="paragraph" w:styleId="40">
    <w:name w:val="List Bullet 4"/>
    <w:basedOn w:val="a0"/>
    <w:qFormat/>
    <w:rsid w:val="00E524B5"/>
    <w:pPr>
      <w:numPr>
        <w:numId w:val="1"/>
      </w:numPr>
      <w:tabs>
        <w:tab w:val="clear" w:pos="1418"/>
        <w:tab w:val="left" w:pos="1600"/>
      </w:tabs>
      <w:ind w:left="1543"/>
    </w:pPr>
  </w:style>
  <w:style w:type="paragraph" w:styleId="a">
    <w:name w:val="List Number"/>
    <w:basedOn w:val="a4"/>
    <w:qFormat/>
    <w:rsid w:val="00E524B5"/>
    <w:pPr>
      <w:numPr>
        <w:numId w:val="2"/>
      </w:numPr>
    </w:pPr>
  </w:style>
  <w:style w:type="paragraph" w:styleId="a6">
    <w:name w:val="caption"/>
    <w:basedOn w:val="a0"/>
    <w:next w:val="a0"/>
    <w:qFormat/>
    <w:rsid w:val="00E524B5"/>
    <w:pPr>
      <w:overflowPunct w:val="0"/>
      <w:autoSpaceDE w:val="0"/>
      <w:autoSpaceDN w:val="0"/>
      <w:adjustRightInd w:val="0"/>
      <w:spacing w:before="120" w:after="120"/>
      <w:textAlignment w:val="baseline"/>
    </w:pPr>
    <w:rPr>
      <w:b/>
      <w:lang w:val="en-US"/>
    </w:rPr>
  </w:style>
  <w:style w:type="paragraph" w:styleId="a7">
    <w:name w:val="List Bullet"/>
    <w:basedOn w:val="a4"/>
    <w:qFormat/>
    <w:rsid w:val="00E524B5"/>
    <w:pPr>
      <w:ind w:left="0" w:firstLine="0"/>
    </w:pPr>
  </w:style>
  <w:style w:type="paragraph" w:styleId="a8">
    <w:name w:val="Document Map"/>
    <w:basedOn w:val="a0"/>
    <w:semiHidden/>
    <w:qFormat/>
    <w:rsid w:val="00E524B5"/>
    <w:pPr>
      <w:shd w:val="clear" w:color="auto" w:fill="000080"/>
    </w:pPr>
    <w:rPr>
      <w:rFonts w:ascii="Tahoma" w:hAnsi="Tahoma" w:cs="Tahoma"/>
    </w:rPr>
  </w:style>
  <w:style w:type="paragraph" w:styleId="a9">
    <w:name w:val="annotation text"/>
    <w:basedOn w:val="a0"/>
    <w:semiHidden/>
    <w:qFormat/>
    <w:rsid w:val="00E524B5"/>
  </w:style>
  <w:style w:type="paragraph" w:styleId="aa">
    <w:name w:val="Body Text"/>
    <w:basedOn w:val="a0"/>
    <w:link w:val="ab"/>
    <w:qFormat/>
    <w:rsid w:val="00E524B5"/>
    <w:pPr>
      <w:spacing w:after="120"/>
    </w:pPr>
    <w:rPr>
      <w:rFonts w:eastAsia="ＭＳ 明朝"/>
      <w:szCs w:val="24"/>
      <w:lang w:val="en-US"/>
    </w:rPr>
  </w:style>
  <w:style w:type="paragraph" w:styleId="ac">
    <w:name w:val="Plain Text"/>
    <w:basedOn w:val="a0"/>
    <w:link w:val="ad"/>
    <w:uiPriority w:val="99"/>
    <w:unhideWhenUsed/>
    <w:qFormat/>
    <w:rsid w:val="00E524B5"/>
    <w:pPr>
      <w:spacing w:after="0"/>
    </w:pPr>
    <w:rPr>
      <w:rFonts w:ascii="Calibri" w:hAnsi="Calibri"/>
      <w:sz w:val="22"/>
      <w:szCs w:val="21"/>
      <w:lang w:val="en-US" w:eastAsia="zh-CN"/>
    </w:rPr>
  </w:style>
  <w:style w:type="paragraph" w:styleId="80">
    <w:name w:val="toc 8"/>
    <w:basedOn w:val="11"/>
    <w:next w:val="a0"/>
    <w:semiHidden/>
    <w:qFormat/>
    <w:rsid w:val="00E524B5"/>
    <w:pPr>
      <w:spacing w:before="180"/>
      <w:ind w:left="2693" w:hanging="2693"/>
    </w:pPr>
    <w:rPr>
      <w:b/>
    </w:rPr>
  </w:style>
  <w:style w:type="paragraph" w:styleId="ae">
    <w:name w:val="Balloon Text"/>
    <w:basedOn w:val="a0"/>
    <w:semiHidden/>
    <w:qFormat/>
    <w:rsid w:val="00E524B5"/>
    <w:rPr>
      <w:rFonts w:ascii="Tahoma" w:hAnsi="Tahoma" w:cs="Tahoma"/>
      <w:sz w:val="16"/>
      <w:szCs w:val="16"/>
    </w:rPr>
  </w:style>
  <w:style w:type="paragraph" w:styleId="af">
    <w:name w:val="footer"/>
    <w:basedOn w:val="af0"/>
    <w:qFormat/>
    <w:rsid w:val="00E524B5"/>
    <w:pPr>
      <w:jc w:val="center"/>
    </w:pPr>
    <w:rPr>
      <w:i/>
    </w:rPr>
  </w:style>
  <w:style w:type="paragraph" w:styleId="af0">
    <w:name w:val="header"/>
    <w:link w:val="af1"/>
    <w:qFormat/>
    <w:rsid w:val="00E524B5"/>
    <w:pPr>
      <w:widowControl w:val="0"/>
    </w:pPr>
    <w:rPr>
      <w:rFonts w:ascii="Arial" w:eastAsia="ＭＳ 明朝" w:hAnsi="Arial"/>
      <w:b/>
      <w:sz w:val="18"/>
      <w:lang w:val="en-GB" w:eastAsia="en-US"/>
    </w:rPr>
  </w:style>
  <w:style w:type="paragraph" w:styleId="af2">
    <w:name w:val="footnote text"/>
    <w:basedOn w:val="a0"/>
    <w:semiHidden/>
    <w:qFormat/>
    <w:rsid w:val="00E524B5"/>
    <w:pPr>
      <w:keepLines/>
      <w:spacing w:after="0"/>
      <w:ind w:left="454" w:hanging="454"/>
    </w:pPr>
    <w:rPr>
      <w:sz w:val="16"/>
    </w:rPr>
  </w:style>
  <w:style w:type="paragraph" w:styleId="51">
    <w:name w:val="List 5"/>
    <w:basedOn w:val="43"/>
    <w:qFormat/>
    <w:rsid w:val="00E524B5"/>
    <w:pPr>
      <w:ind w:left="1702"/>
    </w:pPr>
  </w:style>
  <w:style w:type="paragraph" w:styleId="43">
    <w:name w:val="List 4"/>
    <w:basedOn w:val="30"/>
    <w:qFormat/>
    <w:rsid w:val="00E524B5"/>
    <w:pPr>
      <w:ind w:left="1418"/>
    </w:pPr>
  </w:style>
  <w:style w:type="paragraph" w:styleId="af3">
    <w:name w:val="table of figures"/>
    <w:basedOn w:val="aa"/>
    <w:next w:val="a0"/>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rsid w:val="00E524B5"/>
    <w:pPr>
      <w:ind w:left="1418" w:hanging="1418"/>
    </w:pPr>
  </w:style>
  <w:style w:type="paragraph" w:styleId="Web">
    <w:name w:val="Normal (Web)"/>
    <w:basedOn w:val="a0"/>
    <w:uiPriority w:val="99"/>
    <w:unhideWhenUsed/>
    <w:qFormat/>
    <w:rsid w:val="00E524B5"/>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rsid w:val="00E524B5"/>
    <w:pPr>
      <w:keepLines/>
      <w:spacing w:after="0"/>
    </w:pPr>
  </w:style>
  <w:style w:type="paragraph" w:styleId="24">
    <w:name w:val="index 2"/>
    <w:basedOn w:val="12"/>
    <w:next w:val="a0"/>
    <w:semiHidden/>
    <w:qFormat/>
    <w:rsid w:val="00E524B5"/>
    <w:pPr>
      <w:ind w:left="284"/>
    </w:pPr>
  </w:style>
  <w:style w:type="paragraph" w:styleId="af4">
    <w:name w:val="annotation subject"/>
    <w:basedOn w:val="a9"/>
    <w:next w:val="a9"/>
    <w:semiHidden/>
    <w:qFormat/>
    <w:rsid w:val="00E524B5"/>
    <w:rPr>
      <w:b/>
      <w:bCs/>
    </w:rPr>
  </w:style>
  <w:style w:type="table" w:styleId="af5">
    <w:name w:val="Table Grid"/>
    <w:basedOn w:val="a2"/>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E524B5"/>
    <w:rPr>
      <w:rFonts w:eastAsia="SimSun"/>
      <w:b/>
      <w:bCs/>
      <w:lang w:val="en-US" w:eastAsia="zh-CN" w:bidi="ar-SA"/>
    </w:rPr>
  </w:style>
  <w:style w:type="character" w:styleId="af7">
    <w:name w:val="FollowedHyperlink"/>
    <w:qFormat/>
    <w:rsid w:val="00E524B5"/>
    <w:rPr>
      <w:rFonts w:eastAsia="SimSun"/>
      <w:color w:val="800080"/>
      <w:u w:val="single"/>
      <w:lang w:val="en-US" w:eastAsia="zh-CN" w:bidi="ar-SA"/>
    </w:rPr>
  </w:style>
  <w:style w:type="character" w:styleId="af8">
    <w:name w:val="Hyperlink"/>
    <w:qFormat/>
    <w:rsid w:val="00E524B5"/>
    <w:rPr>
      <w:rFonts w:eastAsia="SimSun"/>
      <w:color w:val="0000FF"/>
      <w:u w:val="single"/>
      <w:lang w:val="en-US" w:eastAsia="zh-CN" w:bidi="ar-SA"/>
    </w:rPr>
  </w:style>
  <w:style w:type="character" w:styleId="af9">
    <w:name w:val="annotation reference"/>
    <w:semiHidden/>
    <w:qFormat/>
    <w:rsid w:val="00E524B5"/>
    <w:rPr>
      <w:rFonts w:eastAsia="SimSun"/>
      <w:sz w:val="16"/>
      <w:lang w:val="en-US" w:eastAsia="zh-CN" w:bidi="ar-SA"/>
    </w:rPr>
  </w:style>
  <w:style w:type="character" w:styleId="afa">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ＭＳ 明朝" w:hAnsi="Arial"/>
      <w:lang w:val="en-GB" w:eastAsia="en-US"/>
    </w:rPr>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a0"/>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a0"/>
    <w:link w:val="THChar"/>
    <w:qFormat/>
    <w:rsid w:val="00E524B5"/>
    <w:pPr>
      <w:keepNext/>
      <w:keepLines/>
      <w:spacing w:before="60"/>
      <w:jc w:val="center"/>
    </w:pPr>
    <w:rPr>
      <w:rFonts w:ascii="Arial" w:hAnsi="Arial"/>
      <w:b/>
    </w:rPr>
  </w:style>
  <w:style w:type="paragraph" w:customStyle="1" w:styleId="NO">
    <w:name w:val="NO"/>
    <w:basedOn w:val="a0"/>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a0"/>
    <w:qFormat/>
    <w:rsid w:val="00E524B5"/>
    <w:pPr>
      <w:keepLines/>
      <w:ind w:left="1702" w:hanging="1418"/>
    </w:pPr>
  </w:style>
  <w:style w:type="paragraph" w:customStyle="1" w:styleId="FP">
    <w:name w:val="FP"/>
    <w:basedOn w:val="a0"/>
    <w:qFormat/>
    <w:rsid w:val="00E524B5"/>
    <w:pPr>
      <w:spacing w:after="0"/>
    </w:pPr>
  </w:style>
  <w:style w:type="paragraph" w:customStyle="1" w:styleId="LD">
    <w:name w:val="LD"/>
    <w:qFormat/>
    <w:rsid w:val="00E524B5"/>
    <w:pPr>
      <w:keepNext/>
      <w:keepLines/>
      <w:spacing w:line="180" w:lineRule="exact"/>
    </w:pPr>
    <w:rPr>
      <w:rFonts w:ascii="MS LineDraw" w:eastAsia="ＭＳ 明朝"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a0"/>
    <w:qFormat/>
    <w:rsid w:val="00E524B5"/>
    <w:pPr>
      <w:numPr>
        <w:numId w:val="3"/>
      </w:numPr>
      <w:tabs>
        <w:tab w:val="clear" w:pos="840"/>
        <w:tab w:val="left" w:pos="704"/>
      </w:tabs>
      <w:ind w:left="704" w:hanging="420"/>
    </w:pPr>
    <w:rPr>
      <w:lang w:eastAsia="zh-CN"/>
    </w:rPr>
  </w:style>
  <w:style w:type="paragraph" w:customStyle="1" w:styleId="Reference">
    <w:name w:val="Reference"/>
    <w:basedOn w:val="a0"/>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rsid w:val="00E524B5"/>
    <w:pPr>
      <w:framePr w:wrap="notBeside" w:vAnchor="page" w:hAnchor="margin" w:y="15764"/>
      <w:widowControl w:val="0"/>
    </w:pPr>
    <w:rPr>
      <w:rFonts w:ascii="Arial" w:eastAsia="ＭＳ 明朝"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fb">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a4"/>
    <w:link w:val="MSMinchoChar"/>
    <w:rsid w:val="00E524B5"/>
  </w:style>
  <w:style w:type="character" w:customStyle="1" w:styleId="a5">
    <w:name w:val="一覧 (文字)"/>
    <w:link w:val="a4"/>
    <w:rsid w:val="00E524B5"/>
    <w:rPr>
      <w:rFonts w:eastAsia="SimSun"/>
      <w:lang w:val="en-GB" w:eastAsia="en-US" w:bidi="ar-SA"/>
    </w:rPr>
  </w:style>
  <w:style w:type="character" w:customStyle="1" w:styleId="MSMinchoChar">
    <w:name w:val="样式 列表 + (西文) MS Mincho Char"/>
    <w:basedOn w:val="a5"/>
    <w:link w:val="MSMincho"/>
    <w:rsid w:val="00E524B5"/>
    <w:rPr>
      <w:rFonts w:eastAsia="SimSun"/>
      <w:lang w:val="en-GB" w:eastAsia="en-US" w:bidi="ar-SA"/>
    </w:rPr>
  </w:style>
  <w:style w:type="paragraph" w:customStyle="1" w:styleId="B4">
    <w:name w:val="B4"/>
    <w:basedOn w:val="43"/>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51"/>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ＭＳ 明朝" w:hAnsi="Arial"/>
      <w:lang w:val="en-GB" w:eastAsia="en-US"/>
    </w:rPr>
  </w:style>
  <w:style w:type="paragraph" w:customStyle="1" w:styleId="tdoc-header">
    <w:name w:val="tdoc-header"/>
    <w:qFormat/>
    <w:rsid w:val="00E524B5"/>
    <w:rPr>
      <w:rFonts w:ascii="Arial" w:eastAsia="ＭＳ 明朝"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a0"/>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fc">
    <w:name w:val="样式 图表标题 + (中文) 宋体"/>
    <w:basedOn w:val="afd"/>
    <w:qFormat/>
    <w:rsid w:val="00E524B5"/>
    <w:rPr>
      <w:rFonts w:eastAsia="Arial"/>
    </w:rPr>
  </w:style>
  <w:style w:type="paragraph" w:customStyle="1" w:styleId="afd">
    <w:name w:val="图表标题"/>
    <w:basedOn w:val="a0"/>
    <w:next w:val="a0"/>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a0"/>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rsid w:val="00E524B5"/>
    <w:pPr>
      <w:tabs>
        <w:tab w:val="center" w:pos="4820"/>
        <w:tab w:val="right" w:pos="9640"/>
      </w:tabs>
    </w:pPr>
    <w:rPr>
      <w:lang w:val="en-US"/>
    </w:rPr>
  </w:style>
  <w:style w:type="paragraph" w:customStyle="1" w:styleId="CharCharChar">
    <w:name w:val="Char Char Char"/>
    <w:basedOn w:val="a0"/>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rsid w:val="00E524B5"/>
    <w:pPr>
      <w:ind w:left="568" w:hanging="284"/>
    </w:pPr>
    <w:rPr>
      <w:rFonts w:eastAsia="ＭＳ 明朝"/>
      <w:lang w:eastAsia="ja-JP"/>
    </w:rPr>
  </w:style>
  <w:style w:type="character" w:customStyle="1" w:styleId="B1Char1">
    <w:name w:val="B1 Char1"/>
    <w:link w:val="B1"/>
    <w:qFormat/>
    <w:rsid w:val="00E524B5"/>
    <w:rPr>
      <w:rFonts w:eastAsia="ＭＳ 明朝"/>
      <w:lang w:val="en-GB" w:eastAsia="ja-JP" w:bidi="ar-SA"/>
    </w:rPr>
  </w:style>
  <w:style w:type="character" w:customStyle="1" w:styleId="afe">
    <w:name w:val="首标题"/>
    <w:qFormat/>
    <w:rsid w:val="00E524B5"/>
    <w:rPr>
      <w:rFonts w:ascii="Arial" w:eastAsia="SimSun" w:hAnsi="Arial"/>
      <w:sz w:val="24"/>
      <w:lang w:val="en-US" w:eastAsia="zh-CN" w:bidi="ar-SA"/>
    </w:rPr>
  </w:style>
  <w:style w:type="paragraph" w:customStyle="1" w:styleId="4">
    <w:name w:val="标题4"/>
    <w:basedOn w:val="a0"/>
    <w:qFormat/>
    <w:rsid w:val="00E524B5"/>
    <w:pPr>
      <w:numPr>
        <w:numId w:val="5"/>
      </w:numPr>
    </w:pPr>
  </w:style>
  <w:style w:type="paragraph" w:customStyle="1" w:styleId="aff">
    <w:name w:val="插图题注"/>
    <w:basedOn w:val="a0"/>
    <w:qFormat/>
    <w:rsid w:val="00E524B5"/>
  </w:style>
  <w:style w:type="paragraph" w:customStyle="1" w:styleId="aff0">
    <w:name w:val="表格题注"/>
    <w:basedOn w:val="a0"/>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3">
    <w:name w:val="样式1"/>
    <w:basedOn w:val="a0"/>
    <w:qFormat/>
    <w:rsid w:val="00E524B5"/>
  </w:style>
  <w:style w:type="character" w:customStyle="1" w:styleId="21">
    <w:name w:val="見出し 2 (文字)"/>
    <w:aliases w:val="DO NOT USE_h2 (文字),h2 (文字),h21 (文字),H2 (文字),Head2A (文字),2 (文字),UNDERRUBRIK 1-2 (文字),H2 Char (文字),h2 Char (文字)"/>
    <w:link w:val="20"/>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a0"/>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a0"/>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本文 (文字)"/>
    <w:link w:val="aa"/>
    <w:qFormat/>
    <w:rsid w:val="00E524B5"/>
    <w:rPr>
      <w:rFonts w:eastAsia="ＭＳ 明朝"/>
      <w:szCs w:val="24"/>
      <w:lang w:val="en-US" w:eastAsia="en-US" w:bidi="ar-SA"/>
    </w:rPr>
  </w:style>
  <w:style w:type="paragraph" w:customStyle="1" w:styleId="CaptionFigure">
    <w:name w:val="CaptionFigure"/>
    <w:next w:val="aa"/>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22"/>
    <w:link w:val="B2Char"/>
    <w:qFormat/>
    <w:rsid w:val="00E524B5"/>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a0"/>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aff1">
    <w:name w:val="List Paragraph"/>
    <w:basedOn w:val="a0"/>
    <w:link w:val="aff2"/>
    <w:uiPriority w:val="34"/>
    <w:qFormat/>
    <w:rsid w:val="00E524B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rsid w:val="00E524B5"/>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ad">
    <w:name w:val="書式なし (文字)"/>
    <w:link w:val="ac"/>
    <w:uiPriority w:val="99"/>
    <w:qFormat/>
    <w:rsid w:val="00E524B5"/>
    <w:rPr>
      <w:rFonts w:ascii="Calibri" w:eastAsia="SimSun" w:hAnsi="Calibri"/>
      <w:sz w:val="22"/>
      <w:szCs w:val="21"/>
      <w:lang w:val="en-US" w:eastAsia="zh-CN" w:bidi="ar-SA"/>
    </w:rPr>
  </w:style>
  <w:style w:type="character" w:customStyle="1" w:styleId="af1">
    <w:name w:val="ヘッダー (文字)"/>
    <w:link w:val="af0"/>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a0"/>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a0"/>
    <w:next w:val="Doc-text2"/>
    <w:link w:val="Doc-titleChar"/>
    <w:qFormat/>
    <w:rsid w:val="00E524B5"/>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aff2">
    <w:name w:val="リスト段落 (文字)"/>
    <w:link w:val="aff1"/>
    <w:uiPriority w:val="34"/>
    <w:qFormat/>
    <w:rsid w:val="00E524B5"/>
    <w:rPr>
      <w:rFonts w:ascii="Malgun Gothic" w:hAnsi="Malgun Gothic"/>
      <w:sz w:val="22"/>
      <w:szCs w:val="22"/>
    </w:rPr>
  </w:style>
  <w:style w:type="paragraph" w:customStyle="1" w:styleId="tal0">
    <w:name w:val="tal"/>
    <w:basedOn w:val="a0"/>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E524B5"/>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a0"/>
    <w:link w:val="CommentsChar"/>
    <w:qFormat/>
    <w:rsid w:val="00E524B5"/>
    <w:pPr>
      <w:spacing w:before="40" w:after="0"/>
    </w:pPr>
    <w:rPr>
      <w:rFonts w:ascii="Arial" w:eastAsia="ＭＳ 明朝"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a0"/>
    <w:next w:val="Doc-text2"/>
    <w:qFormat/>
    <w:rsid w:val="00E524B5"/>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0"/>
    <w:next w:val="Doc-text2"/>
    <w:qFormat/>
    <w:rsid w:val="00E524B5"/>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ＭＳ 明朝" w:hAnsi="Arial"/>
      <w:szCs w:val="24"/>
      <w:lang w:val="en-GB" w:eastAsia="en-GB"/>
    </w:rPr>
  </w:style>
  <w:style w:type="paragraph" w:customStyle="1" w:styleId="BoldComments">
    <w:name w:val="Bold Comments"/>
    <w:basedOn w:val="a0"/>
    <w:link w:val="BoldCommentsChar"/>
    <w:qFormat/>
    <w:rsid w:val="00E524B5"/>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sid w:val="00E524B5"/>
    <w:rPr>
      <w:rFonts w:ascii="Arial" w:eastAsia="ＭＳ 明朝"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5">
    <w:name w:val="@他1"/>
    <w:basedOn w:val="a1"/>
    <w:uiPriority w:val="99"/>
    <w:unhideWhenUsed/>
    <w:rsid w:val="00E524B5"/>
    <w:rPr>
      <w:color w:val="2B579A"/>
      <w:shd w:val="clear" w:color="auto" w:fill="E6E6E6"/>
    </w:rPr>
  </w:style>
  <w:style w:type="character" w:customStyle="1" w:styleId="16">
    <w:name w:val="未处理的提及1"/>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f21dd9-5de3-44a3-9c4e-ab308fbc6c41"/>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3641</Words>
  <Characters>20476</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NTTDOCOMO</cp:lastModifiedBy>
  <cp:revision>2</cp:revision>
  <cp:lastPrinted>2009-04-22T00:01:00Z</cp:lastPrinted>
  <dcterms:created xsi:type="dcterms:W3CDTF">2021-08-20T15:06:00Z</dcterms:created>
  <dcterms:modified xsi:type="dcterms:W3CDTF">2021-08-20T15:06:00Z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