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072439">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07243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 Kim</w:t>
            </w:r>
          </w:p>
        </w:tc>
        <w:tc>
          <w:tcPr>
            <w:tcW w:w="4531" w:type="dxa"/>
          </w:tcPr>
          <w:p w14:paraId="1A168270" w14:textId="23F21FDE" w:rsidR="00541E16" w:rsidRPr="007A4BD4" w:rsidRDefault="00541E16" w:rsidP="0007243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072439">
            <w:pPr>
              <w:pStyle w:val="Doc-text2"/>
              <w:ind w:left="0" w:firstLine="0"/>
              <w:jc w:val="both"/>
              <w:rPr>
                <w:rFonts w:eastAsiaTheme="minorEastAsia" w:cs="Arial"/>
                <w:lang w:val="en-US" w:eastAsia="zh-TW"/>
              </w:rPr>
            </w:pPr>
            <w:r>
              <w:rPr>
                <w:rFonts w:eastAsiaTheme="minorEastAsia" w:cs="Arial"/>
                <w:lang w:val="en-US" w:eastAsia="zh-TW"/>
              </w:rPr>
              <w:t>Futurewei</w:t>
            </w:r>
          </w:p>
        </w:tc>
        <w:tc>
          <w:tcPr>
            <w:tcW w:w="2693" w:type="dxa"/>
          </w:tcPr>
          <w:p w14:paraId="1DD939D6" w14:textId="6CF4535B" w:rsidR="00326BF4" w:rsidRDefault="00326BF4" w:rsidP="0007243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 Zou</w:t>
            </w:r>
          </w:p>
        </w:tc>
        <w:tc>
          <w:tcPr>
            <w:tcW w:w="4531" w:type="dxa"/>
          </w:tcPr>
          <w:p w14:paraId="318C7653" w14:textId="45CF959A" w:rsidR="00326BF4" w:rsidRDefault="00326BF4" w:rsidP="0007243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FE2F1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FE2F1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FE2F1C">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FE2F1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FE2F1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FE2F1C">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FE2F1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FE2F1C">
        <w:tc>
          <w:tcPr>
            <w:tcW w:w="1701" w:type="dxa"/>
          </w:tcPr>
          <w:p w14:paraId="7B250AE1" w14:textId="51DF6810" w:rsidR="001B2F7D" w:rsidRDefault="00326BF4" w:rsidP="001B2F7D">
            <w:pPr>
              <w:rPr>
                <w:rFonts w:ascii="Arial" w:hAnsi="Arial" w:cs="Arial"/>
              </w:rPr>
            </w:pPr>
            <w:r>
              <w:rPr>
                <w:rFonts w:ascii="Arial" w:hAnsi="Arial" w:cs="Arial"/>
              </w:rPr>
              <w:t>Futurewei</w:t>
            </w:r>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lastRenderedPageBreak/>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4"/>
        <w:gridCol w:w="1284"/>
        <w:gridCol w:w="3077"/>
        <w:gridCol w:w="3565"/>
      </w:tblGrid>
      <w:tr w:rsidR="00E10F25" w:rsidRPr="002E3966" w14:paraId="4ACE32A1" w14:textId="77777777" w:rsidTr="00E10F25">
        <w:tc>
          <w:tcPr>
            <w:tcW w:w="1437"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FE2F1C">
            <w:pPr>
              <w:rPr>
                <w:rFonts w:ascii="Arial" w:hAnsi="Arial" w:cs="Arial"/>
              </w:rPr>
            </w:pPr>
            <w:r>
              <w:rPr>
                <w:rFonts w:ascii="Arial" w:hAnsi="Arial" w:cs="Arial"/>
              </w:rPr>
              <w:t>Ericsson</w:t>
            </w:r>
          </w:p>
        </w:tc>
        <w:tc>
          <w:tcPr>
            <w:tcW w:w="1125" w:type="dxa"/>
          </w:tcPr>
          <w:p w14:paraId="399E9A40" w14:textId="21B8D3DB" w:rsidR="00E10F25" w:rsidRDefault="001527F7" w:rsidP="00FE2F1C">
            <w:pPr>
              <w:rPr>
                <w:rFonts w:ascii="Arial" w:hAnsi="Arial" w:cs="Arial"/>
              </w:rPr>
            </w:pPr>
            <w:r>
              <w:rPr>
                <w:rFonts w:ascii="Arial" w:hAnsi="Arial" w:cs="Arial"/>
              </w:rPr>
              <w:t>N</w:t>
            </w:r>
          </w:p>
        </w:tc>
        <w:tc>
          <w:tcPr>
            <w:tcW w:w="3157" w:type="dxa"/>
          </w:tcPr>
          <w:p w14:paraId="6511EB77" w14:textId="4AA44AE8" w:rsidR="00E10F25" w:rsidRDefault="001527F7" w:rsidP="00FE2F1C">
            <w:pPr>
              <w:rPr>
                <w:rFonts w:ascii="Arial" w:hAnsi="Arial" w:cs="Arial"/>
              </w:rPr>
            </w:pPr>
            <w:r>
              <w:rPr>
                <w:rFonts w:ascii="Arial" w:hAnsi="Arial" w:cs="Arial"/>
              </w:rPr>
              <w:t>-</w:t>
            </w:r>
          </w:p>
        </w:tc>
        <w:tc>
          <w:tcPr>
            <w:tcW w:w="3631"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125" w:type="dxa"/>
          </w:tcPr>
          <w:p w14:paraId="2E463285" w14:textId="1B279C9E" w:rsidR="00E10F25" w:rsidRPr="00703D37" w:rsidRDefault="00372C71" w:rsidP="00FE2F1C">
            <w:pPr>
              <w:rPr>
                <w:rFonts w:ascii="Arial" w:hAnsi="Arial" w:cs="Arial"/>
              </w:rPr>
            </w:pPr>
            <w:r>
              <w:rPr>
                <w:rFonts w:ascii="Arial" w:hAnsi="Arial" w:cs="Arial"/>
              </w:rPr>
              <w:t>No</w:t>
            </w:r>
          </w:p>
        </w:tc>
        <w:tc>
          <w:tcPr>
            <w:tcW w:w="3157" w:type="dxa"/>
          </w:tcPr>
          <w:p w14:paraId="710134B4" w14:textId="77777777" w:rsidR="00E10F25" w:rsidRDefault="00E10F25" w:rsidP="00FE2F1C">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E10F25">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E10F25">
        <w:tc>
          <w:tcPr>
            <w:tcW w:w="1437" w:type="dxa"/>
          </w:tcPr>
          <w:p w14:paraId="4BFC9F0C" w14:textId="4A05A99E" w:rsidR="003639AF" w:rsidRDefault="003639AF" w:rsidP="003639AF">
            <w:pPr>
              <w:rPr>
                <w:rFonts w:ascii="Arial" w:hAnsi="Arial" w:cs="Arial"/>
              </w:rPr>
            </w:pPr>
            <w:r>
              <w:rPr>
                <w:rFonts w:ascii="Arial" w:hAnsi="Arial" w:cs="Arial"/>
              </w:rPr>
              <w:lastRenderedPageBreak/>
              <w:t>Samsung</w:t>
            </w:r>
          </w:p>
        </w:tc>
        <w:tc>
          <w:tcPr>
            <w:tcW w:w="1125" w:type="dxa"/>
          </w:tcPr>
          <w:p w14:paraId="356E7257" w14:textId="5648FC1F" w:rsidR="003639AF" w:rsidRDefault="003639AF" w:rsidP="003639AF">
            <w:pPr>
              <w:rPr>
                <w:rFonts w:ascii="Arial" w:hAnsi="Arial" w:cs="Arial"/>
              </w:rPr>
            </w:pPr>
            <w:r>
              <w:rPr>
                <w:rFonts w:ascii="Arial" w:hAnsi="Arial" w:cs="Arial"/>
              </w:rPr>
              <w:t>Y</w:t>
            </w:r>
          </w:p>
        </w:tc>
        <w:tc>
          <w:tcPr>
            <w:tcW w:w="3157" w:type="dxa"/>
          </w:tcPr>
          <w:p w14:paraId="085F686E" w14:textId="48FD166A" w:rsidR="003639AF" w:rsidRDefault="003639AF" w:rsidP="003639AF">
            <w:pPr>
              <w:rPr>
                <w:rFonts w:ascii="Arial" w:hAnsi="Arial" w:cs="Arial"/>
              </w:rPr>
            </w:pPr>
            <w:r>
              <w:rPr>
                <w:rFonts w:ascii="Arial" w:hAnsi="Arial" w:cs="Arial"/>
              </w:rPr>
              <w:t>a</w:t>
            </w:r>
          </w:p>
        </w:tc>
        <w:tc>
          <w:tcPr>
            <w:tcW w:w="3631"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E10F25">
        <w:tc>
          <w:tcPr>
            <w:tcW w:w="1437" w:type="dxa"/>
          </w:tcPr>
          <w:p w14:paraId="4EEC5A55" w14:textId="128CCACD" w:rsidR="001B2F7D" w:rsidRDefault="001B2F7D" w:rsidP="001B2F7D">
            <w:pPr>
              <w:rPr>
                <w:rFonts w:ascii="Arial" w:hAnsi="Arial" w:cs="Arial"/>
              </w:rPr>
            </w:pPr>
            <w:r>
              <w:rPr>
                <w:rFonts w:ascii="Arial" w:hAnsi="Arial" w:cs="Arial"/>
              </w:rPr>
              <w:t>Huawei, HiSilicon</w:t>
            </w:r>
          </w:p>
        </w:tc>
        <w:tc>
          <w:tcPr>
            <w:tcW w:w="1125"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157" w:type="dxa"/>
          </w:tcPr>
          <w:p w14:paraId="666A9DF3" w14:textId="247A09F5" w:rsidR="001B2F7D" w:rsidRDefault="001B2F7D" w:rsidP="001B2F7D">
            <w:pPr>
              <w:rPr>
                <w:rFonts w:ascii="Arial" w:hAnsi="Arial" w:cs="Arial"/>
              </w:rPr>
            </w:pPr>
            <w:r>
              <w:rPr>
                <w:rFonts w:ascii="Arial" w:hAnsi="Arial" w:cs="Arial"/>
              </w:rPr>
              <w:t>a)</w:t>
            </w:r>
          </w:p>
        </w:tc>
        <w:tc>
          <w:tcPr>
            <w:tcW w:w="3631"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E10F25">
        <w:tc>
          <w:tcPr>
            <w:tcW w:w="1437"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0D3E78D6" w14:textId="77777777" w:rsidR="001B2F7D" w:rsidRDefault="001B2F7D" w:rsidP="001B2F7D">
            <w:pPr>
              <w:rPr>
                <w:rFonts w:ascii="Arial" w:hAnsi="Arial" w:cs="Arial"/>
              </w:rPr>
            </w:pPr>
          </w:p>
        </w:tc>
        <w:tc>
          <w:tcPr>
            <w:tcW w:w="3157"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631"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E10F25">
        <w:tc>
          <w:tcPr>
            <w:tcW w:w="1437" w:type="dxa"/>
          </w:tcPr>
          <w:p w14:paraId="3CB8E16E" w14:textId="6CE73854" w:rsidR="001B2F7D" w:rsidRDefault="0002731A" w:rsidP="001B2F7D">
            <w:pPr>
              <w:rPr>
                <w:rFonts w:ascii="Arial" w:hAnsi="Arial" w:cs="Arial"/>
              </w:rPr>
            </w:pPr>
            <w:r>
              <w:rPr>
                <w:rFonts w:ascii="Arial" w:hAnsi="Arial" w:cs="Arial"/>
              </w:rPr>
              <w:t>Futurewei</w:t>
            </w:r>
          </w:p>
        </w:tc>
        <w:tc>
          <w:tcPr>
            <w:tcW w:w="1125" w:type="dxa"/>
          </w:tcPr>
          <w:p w14:paraId="1BAD0743" w14:textId="7D68DEE8" w:rsidR="001B2F7D" w:rsidRDefault="0002731A" w:rsidP="001B2F7D">
            <w:pPr>
              <w:rPr>
                <w:rFonts w:ascii="Arial" w:hAnsi="Arial" w:cs="Arial"/>
              </w:rPr>
            </w:pPr>
            <w:r>
              <w:rPr>
                <w:rFonts w:ascii="Arial" w:hAnsi="Arial" w:cs="Arial"/>
              </w:rPr>
              <w:t>Y</w:t>
            </w:r>
          </w:p>
        </w:tc>
        <w:tc>
          <w:tcPr>
            <w:tcW w:w="3157" w:type="dxa"/>
          </w:tcPr>
          <w:p w14:paraId="227595C3" w14:textId="3B3C55CE" w:rsidR="001B2F7D" w:rsidRDefault="0002731A" w:rsidP="001B2F7D">
            <w:pPr>
              <w:rPr>
                <w:rFonts w:ascii="Arial" w:hAnsi="Arial" w:cs="Arial"/>
              </w:rPr>
            </w:pPr>
            <w:r>
              <w:rPr>
                <w:rFonts w:ascii="Arial" w:hAnsi="Arial" w:cs="Arial"/>
              </w:rPr>
              <w:t>c</w:t>
            </w:r>
          </w:p>
        </w:tc>
        <w:tc>
          <w:tcPr>
            <w:tcW w:w="3631"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lastRenderedPageBreak/>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FE2F1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FE2F1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FE2F1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FE2F1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FE2F1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FE2F1C">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FE2F1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FE2F1C">
        <w:tc>
          <w:tcPr>
            <w:tcW w:w="1701" w:type="dxa"/>
          </w:tcPr>
          <w:p w14:paraId="6907860F" w14:textId="0B4A5AB8" w:rsidR="001B2F7D" w:rsidRDefault="00FD0394" w:rsidP="001B2F7D">
            <w:pPr>
              <w:rPr>
                <w:rFonts w:ascii="Arial" w:hAnsi="Arial" w:cs="Arial"/>
              </w:rPr>
            </w:pPr>
            <w:r>
              <w:rPr>
                <w:rFonts w:ascii="Arial" w:hAnsi="Arial" w:cs="Arial"/>
              </w:rPr>
              <w:t>Futurewei</w:t>
            </w:r>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FE2F1C">
        <w:tc>
          <w:tcPr>
            <w:tcW w:w="1701" w:type="dxa"/>
          </w:tcPr>
          <w:p w14:paraId="5D5524C8" w14:textId="77777777" w:rsidR="001B2F7D" w:rsidRDefault="001B2F7D" w:rsidP="001B2F7D">
            <w:pPr>
              <w:rPr>
                <w:rFonts w:ascii="Arial" w:hAnsi="Arial" w:cs="Arial"/>
              </w:rPr>
            </w:pPr>
          </w:p>
        </w:tc>
        <w:tc>
          <w:tcPr>
            <w:tcW w:w="1417" w:type="dxa"/>
          </w:tcPr>
          <w:p w14:paraId="2670FA47" w14:textId="77777777" w:rsidR="001B2F7D" w:rsidRDefault="001B2F7D" w:rsidP="001B2F7D">
            <w:pPr>
              <w:rPr>
                <w:rFonts w:ascii="Arial" w:hAnsi="Arial" w:cs="Arial"/>
              </w:rPr>
            </w:pPr>
          </w:p>
        </w:tc>
        <w:tc>
          <w:tcPr>
            <w:tcW w:w="5670" w:type="dxa"/>
          </w:tcPr>
          <w:p w14:paraId="573E45AA" w14:textId="77777777" w:rsidR="001B2F7D" w:rsidRDefault="001B2F7D" w:rsidP="001B2F7D">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FE2F1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FE2F1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FE2F1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FE2F1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FE2F1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FE2F1C">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 xml:space="preserve">Option 2 can save a lot of overhead over the air interface. It is true that it has an impact on signalling over network interfaces, but the overhead is not significant (as for network </w:t>
            </w:r>
            <w:r>
              <w:rPr>
                <w:rFonts w:ascii="Arial" w:hAnsi="Arial" w:cs="Arial"/>
              </w:rPr>
              <w:lastRenderedPageBreak/>
              <w:t>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FE2F1C">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FE2F1C">
        <w:tc>
          <w:tcPr>
            <w:tcW w:w="1437" w:type="dxa"/>
          </w:tcPr>
          <w:p w14:paraId="55D23467" w14:textId="5BB26C1D" w:rsidR="001B2F7D" w:rsidRDefault="002F5609" w:rsidP="001B2F7D">
            <w:pPr>
              <w:rPr>
                <w:rFonts w:ascii="Arial" w:hAnsi="Arial" w:cs="Arial"/>
              </w:rPr>
            </w:pPr>
            <w:r>
              <w:rPr>
                <w:rFonts w:ascii="Arial" w:hAnsi="Arial" w:cs="Arial"/>
              </w:rPr>
              <w:t>Futurewei</w:t>
            </w:r>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FE2F1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FE2F1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FE2F1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FE2F1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FE2F1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FE2F1C">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FE2F1C">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FE2F1C">
        <w:tc>
          <w:tcPr>
            <w:tcW w:w="1701" w:type="dxa"/>
          </w:tcPr>
          <w:p w14:paraId="4C0E8350" w14:textId="0F8704F5" w:rsidR="001B2F7D" w:rsidRDefault="00A0498A" w:rsidP="001B2F7D">
            <w:pPr>
              <w:rPr>
                <w:rFonts w:ascii="Arial" w:hAnsi="Arial" w:cs="Arial"/>
              </w:rPr>
            </w:pPr>
            <w:r>
              <w:rPr>
                <w:rFonts w:ascii="Arial" w:hAnsi="Arial" w:cs="Arial"/>
              </w:rPr>
              <w:t>Futurewei</w:t>
            </w:r>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lastRenderedPageBreak/>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FE2F1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FE2F1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FE2F1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FE2F1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FE2F1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FE2F1C">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r w:rsidRPr="004C5450">
              <w:rPr>
                <w:rFonts w:ascii="Arial" w:hAnsi="Arial" w:cs="Arial"/>
              </w:rPr>
              <w:t>pagingGroupList</w:t>
            </w:r>
            <w:r>
              <w:rPr>
                <w:rFonts w:ascii="Arial" w:hAnsi="Arial" w:cs="Arial"/>
              </w:rPr>
              <w:t xml:space="preserve"> parameter)</w:t>
            </w:r>
          </w:p>
        </w:tc>
      </w:tr>
      <w:tr w:rsidR="001B2F7D" w14:paraId="3C5C4E11" w14:textId="77777777" w:rsidTr="00FE2F1C">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FE2F1C">
        <w:tc>
          <w:tcPr>
            <w:tcW w:w="1701" w:type="dxa"/>
          </w:tcPr>
          <w:p w14:paraId="3C2BA8E9" w14:textId="0FD11643" w:rsidR="001B2F7D" w:rsidRDefault="00A0498A" w:rsidP="001B2F7D">
            <w:pPr>
              <w:rPr>
                <w:rFonts w:ascii="Arial" w:hAnsi="Arial" w:cs="Arial"/>
              </w:rPr>
            </w:pPr>
            <w:r>
              <w:rPr>
                <w:rFonts w:ascii="Arial" w:hAnsi="Arial" w:cs="Arial"/>
              </w:rPr>
              <w:t>Futurewei</w:t>
            </w:r>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lastRenderedPageBreak/>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FE2F1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FE2F1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FE2F1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FE2F1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POs. </w:t>
            </w:r>
          </w:p>
        </w:tc>
      </w:tr>
      <w:tr w:rsidR="00FE2F1C" w14:paraId="5D3C6907" w14:textId="77777777" w:rsidTr="00FE2F1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FE2F1C">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lastRenderedPageBreak/>
              <w:t>Figure 7.2.2.3-1</w:t>
            </w:r>
            <w:r>
              <w:rPr>
                <w:rFonts w:ascii="Arial" w:hAnsi="Arial" w:cs="Arial"/>
              </w:rPr>
              <w:t>. Option 2 and 3 are then unnecessary as they duplicate option 1.</w:t>
            </w:r>
          </w:p>
        </w:tc>
      </w:tr>
      <w:tr w:rsidR="001B2F7D" w14:paraId="5018C0B3" w14:textId="77777777" w:rsidTr="00FE2F1C">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lastRenderedPageBreak/>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FE2F1C">
        <w:tc>
          <w:tcPr>
            <w:tcW w:w="1437" w:type="dxa"/>
          </w:tcPr>
          <w:p w14:paraId="60A571BC" w14:textId="2558BC1E" w:rsidR="001B2F7D" w:rsidRDefault="004373D0" w:rsidP="001B2F7D">
            <w:pPr>
              <w:rPr>
                <w:rFonts w:ascii="Arial" w:hAnsi="Arial" w:cs="Arial"/>
              </w:rPr>
            </w:pPr>
            <w:r>
              <w:rPr>
                <w:rFonts w:ascii="Arial" w:hAnsi="Arial" w:cs="Arial"/>
              </w:rPr>
              <w:t>Futurewei</w:t>
            </w:r>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FE2F1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FE2F1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FE2F1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FE2F1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w:t>
            </w:r>
            <w:r>
              <w:rPr>
                <w:rFonts w:ascii="Arial" w:hAnsi="Arial" w:cs="Arial"/>
                <w:lang w:eastAsia="ja-JP"/>
              </w:rPr>
              <w:lastRenderedPageBreak/>
              <w:t xml:space="preserve">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FE2F1C">
        <w:tc>
          <w:tcPr>
            <w:tcW w:w="1701" w:type="dxa"/>
          </w:tcPr>
          <w:p w14:paraId="3D7C3CFC" w14:textId="1B1129B5" w:rsidR="00FE2F1C" w:rsidRDefault="00FE2F1C" w:rsidP="00FE2F1C">
            <w:pPr>
              <w:rPr>
                <w:rFonts w:ascii="Arial" w:hAnsi="Arial" w:cs="Arial"/>
              </w:rPr>
            </w:pPr>
            <w:r>
              <w:rPr>
                <w:rFonts w:ascii="Arial" w:hAnsi="Arial" w:cs="Arial"/>
              </w:rPr>
              <w:lastRenderedPageBreak/>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FE2F1C">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his can be discussed together with ePowSav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FE2F1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FE2F1C">
        <w:tc>
          <w:tcPr>
            <w:tcW w:w="1701" w:type="dxa"/>
          </w:tcPr>
          <w:p w14:paraId="2F8114F5" w14:textId="5D826B9C" w:rsidR="001B2F7D" w:rsidRDefault="007A095F" w:rsidP="001B2F7D">
            <w:pPr>
              <w:rPr>
                <w:rFonts w:ascii="Arial" w:hAnsi="Arial" w:cs="Arial"/>
              </w:rPr>
            </w:pPr>
            <w:r>
              <w:rPr>
                <w:rFonts w:ascii="Arial" w:hAnsi="Arial" w:cs="Arial"/>
              </w:rPr>
              <w:t>Futurewei</w:t>
            </w:r>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lastRenderedPageBreak/>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FE2F1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FE2F1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FE2F1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FE2F1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FE2F1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FE2F1C">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FE2F1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FE2F1C">
        <w:tc>
          <w:tcPr>
            <w:tcW w:w="1437" w:type="dxa"/>
          </w:tcPr>
          <w:p w14:paraId="3E55EF5E" w14:textId="29A9F0FD" w:rsidR="006D692E" w:rsidRDefault="006D692E" w:rsidP="00BB6608">
            <w:pPr>
              <w:rPr>
                <w:rFonts w:ascii="Arial" w:eastAsia="Malgun Gothic" w:hAnsi="Arial" w:cs="Arial" w:hint="eastAsia"/>
                <w:lang w:eastAsia="ko-KR"/>
              </w:rPr>
            </w:pPr>
            <w:r>
              <w:rPr>
                <w:rFonts w:ascii="Arial" w:eastAsia="Malgun Gothic" w:hAnsi="Arial" w:cs="Arial"/>
                <w:lang w:eastAsia="ko-KR"/>
              </w:rPr>
              <w:t>Futurewei</w:t>
            </w:r>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hint="eastAsia"/>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 xml:space="preserve">Contributions [6][10][13][22]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 xml:space="preserve">no need to introduce new Access </w:t>
      </w:r>
      <w:r w:rsidRPr="0014643E">
        <w:rPr>
          <w:sz w:val="22"/>
          <w:szCs w:val="22"/>
          <w:lang w:eastAsia="ko-KR"/>
        </w:rPr>
        <w:lastRenderedPageBreak/>
        <w:t>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FE2F1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FE2F1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FE2F1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FE2F1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FE2F1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FE2F1C">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rsidR="00991E78" w14:paraId="5895B630" w14:textId="77777777" w:rsidTr="00FE2F1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FE2F1C">
        <w:tc>
          <w:tcPr>
            <w:tcW w:w="1701" w:type="dxa"/>
          </w:tcPr>
          <w:p w14:paraId="027B39FD" w14:textId="47DAB269" w:rsidR="00991E78" w:rsidRDefault="00747E67" w:rsidP="00991E78">
            <w:pPr>
              <w:rPr>
                <w:rFonts w:ascii="Arial" w:hAnsi="Arial" w:cs="Arial"/>
              </w:rPr>
            </w:pPr>
            <w:r>
              <w:rPr>
                <w:rFonts w:ascii="Arial" w:hAnsi="Arial" w:cs="Arial"/>
              </w:rPr>
              <w:t>Futurewei</w:t>
            </w:r>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FE2F1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FE2F1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FE2F1C">
        <w:tc>
          <w:tcPr>
            <w:tcW w:w="1701" w:type="dxa"/>
          </w:tcPr>
          <w:p w14:paraId="16428598" w14:textId="2A4452B2" w:rsidR="0046680F" w:rsidRPr="00703D37" w:rsidRDefault="0046680F" w:rsidP="0046680F">
            <w:pPr>
              <w:rPr>
                <w:rFonts w:ascii="Arial" w:hAnsi="Arial" w:cs="Arial"/>
              </w:rPr>
            </w:pPr>
            <w:r>
              <w:rPr>
                <w:rFonts w:ascii="Arial" w:hAnsi="Arial" w:cs="Arial"/>
              </w:rPr>
              <w:lastRenderedPageBreak/>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FE2F1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FE2F1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FE2F1C">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FE2F1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 xml:space="preserve">‘mt-Access’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FE2F1C">
        <w:tc>
          <w:tcPr>
            <w:tcW w:w="1701" w:type="dxa"/>
          </w:tcPr>
          <w:p w14:paraId="24BA9109" w14:textId="5F66B182" w:rsidR="00991E78" w:rsidRDefault="00C477BE" w:rsidP="00991E78">
            <w:pPr>
              <w:rPr>
                <w:rFonts w:ascii="Arial" w:hAnsi="Arial" w:cs="Arial"/>
              </w:rPr>
            </w:pPr>
            <w:r>
              <w:rPr>
                <w:rFonts w:ascii="Arial" w:hAnsi="Arial" w:cs="Arial"/>
              </w:rPr>
              <w:t>Futurewei</w:t>
            </w:r>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FE2F1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FE2F1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lastRenderedPageBreak/>
              <w:t>If the UE is configured with a dedicated PUCCH feedback, the absence of feedback can be used as an indication that the UE did not join the session.</w:t>
            </w:r>
          </w:p>
        </w:tc>
      </w:tr>
      <w:tr w:rsidR="0051239D" w14:paraId="0248C3D4" w14:textId="77777777" w:rsidTr="00FE2F1C">
        <w:tc>
          <w:tcPr>
            <w:tcW w:w="1701" w:type="dxa"/>
          </w:tcPr>
          <w:p w14:paraId="7D68092D" w14:textId="1C4FABB5" w:rsidR="0051239D" w:rsidRPr="00703D37" w:rsidRDefault="00151E43" w:rsidP="00FE2F1C">
            <w:pPr>
              <w:rPr>
                <w:rFonts w:ascii="Arial" w:hAnsi="Arial" w:cs="Arial"/>
              </w:rPr>
            </w:pPr>
            <w:r>
              <w:rPr>
                <w:rFonts w:ascii="Arial" w:hAnsi="Arial" w:cs="Arial"/>
              </w:rPr>
              <w:lastRenderedPageBreak/>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FE2F1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FE2F1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FE2F1C">
        <w:tc>
          <w:tcPr>
            <w:tcW w:w="1701" w:type="dxa"/>
          </w:tcPr>
          <w:p w14:paraId="71B01176" w14:textId="0BBCFAAB" w:rsidR="00991E78" w:rsidRDefault="00991E78" w:rsidP="00991E78">
            <w:pPr>
              <w:rPr>
                <w:rFonts w:ascii="Arial" w:hAnsi="Arial" w:cs="Arial"/>
              </w:rPr>
            </w:pPr>
            <w:r>
              <w:rPr>
                <w:rFonts w:ascii="Arial" w:hAnsi="Arial" w:cs="Arial"/>
              </w:rPr>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FE2F1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FE2F1C">
        <w:tc>
          <w:tcPr>
            <w:tcW w:w="1701" w:type="dxa"/>
          </w:tcPr>
          <w:p w14:paraId="51A51F27" w14:textId="60EF5129" w:rsidR="00991E78" w:rsidRDefault="008652C5" w:rsidP="00991E78">
            <w:pPr>
              <w:rPr>
                <w:rFonts w:ascii="Arial" w:hAnsi="Arial" w:cs="Arial"/>
              </w:rPr>
            </w:pPr>
            <w:r>
              <w:rPr>
                <w:rFonts w:ascii="Arial" w:hAnsi="Arial" w:cs="Arial"/>
              </w:rPr>
              <w:t>Futurewei</w:t>
            </w:r>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307FCB37" w:rsidR="00991E78" w:rsidRDefault="00634A60" w:rsidP="00991E78">
            <w:pPr>
              <w:rPr>
                <w:rFonts w:ascii="Arial" w:hAnsi="Arial" w:cs="Arial"/>
              </w:rPr>
            </w:pPr>
            <w:r>
              <w:rPr>
                <w:rFonts w:ascii="Arial" w:hAnsi="Arial" w:cs="Arial"/>
              </w:rPr>
              <w:t xml:space="preserve">In case some UEs missed page, </w:t>
            </w:r>
            <w:r w:rsidR="0077057C">
              <w:rPr>
                <w:rFonts w:ascii="Arial" w:hAnsi="Arial" w:cs="Arial"/>
              </w:rPr>
              <w:t xml:space="preserve">the network could re-page them again following the legacy paging approach. The network implementation determines the MBS re-paging area. </w:t>
            </w: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FE2F1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FE2F1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FE2F1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FE2F1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FE2F1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FE2F1C">
        <w:tc>
          <w:tcPr>
            <w:tcW w:w="1701" w:type="dxa"/>
          </w:tcPr>
          <w:p w14:paraId="0E5F88C3" w14:textId="0D763E84" w:rsidR="00412D75" w:rsidRDefault="00412D75" w:rsidP="00412D75">
            <w:pPr>
              <w:rPr>
                <w:rFonts w:ascii="Arial" w:hAnsi="Arial" w:cs="Arial"/>
              </w:rPr>
            </w:pPr>
            <w:r>
              <w:rPr>
                <w:rFonts w:ascii="Arial" w:hAnsi="Arial" w:cs="Arial"/>
              </w:rPr>
              <w:lastRenderedPageBreak/>
              <w:t>Huawei, HiSilicon</w:t>
            </w:r>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1"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FE2F1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FE2F1C">
        <w:tc>
          <w:tcPr>
            <w:tcW w:w="1701" w:type="dxa"/>
          </w:tcPr>
          <w:p w14:paraId="52643417" w14:textId="654D3F10" w:rsidR="00412D75" w:rsidRDefault="00B30845" w:rsidP="00412D75">
            <w:pPr>
              <w:rPr>
                <w:rFonts w:ascii="Arial" w:hAnsi="Arial" w:cs="Arial"/>
              </w:rPr>
            </w:pPr>
            <w:r>
              <w:rPr>
                <w:rFonts w:ascii="Arial" w:hAnsi="Arial" w:cs="Arial"/>
              </w:rPr>
              <w:t>Futurewei</w:t>
            </w:r>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maybe changed at the session activation by the network. We may need to identify in connected mode if there is use case for MBS cell prioritization in DM1. </w:t>
            </w: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39A3D0B5" w:rsidR="00316F29" w:rsidRPr="00316F29" w:rsidRDefault="00773F19" w:rsidP="00FE2F1C">
      <w:pPr>
        <w:pStyle w:val="Doc-title"/>
        <w:numPr>
          <w:ilvl w:val="0"/>
          <w:numId w:val="11"/>
        </w:numPr>
      </w:pPr>
      <w:hyperlink r:id="rId12"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7703" w14:textId="77777777" w:rsidR="00773F19" w:rsidRDefault="00773F19">
      <w:pPr>
        <w:pStyle w:val="TAL"/>
      </w:pPr>
      <w:r>
        <w:separator/>
      </w:r>
    </w:p>
  </w:endnote>
  <w:endnote w:type="continuationSeparator" w:id="0">
    <w:p w14:paraId="4EB21757" w14:textId="77777777" w:rsidR="00773F19" w:rsidRDefault="00773F1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5595637F" w:rsidR="00FE2F1C" w:rsidRDefault="00FE2F1C">
    <w:pPr>
      <w:pStyle w:val="Footer"/>
    </w:pPr>
    <w:r>
      <w:fldChar w:fldCharType="begin"/>
    </w:r>
    <w:r>
      <w:instrText xml:space="preserve"> PAGE   \* MERGEFORMAT </w:instrText>
    </w:r>
    <w:r>
      <w:fldChar w:fldCharType="separate"/>
    </w:r>
    <w:r w:rsidR="00765ABB">
      <w:t>15</w:t>
    </w:r>
    <w:r>
      <w:fldChar w:fldCharType="end"/>
    </w:r>
  </w:p>
  <w:p w14:paraId="0FBB99F7" w14:textId="77777777" w:rsidR="00FE2F1C" w:rsidRDefault="00FE2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397D" w14:textId="77777777" w:rsidR="00773F19" w:rsidRDefault="00773F19">
      <w:pPr>
        <w:pStyle w:val="TAL"/>
      </w:pPr>
      <w:r>
        <w:separator/>
      </w:r>
    </w:p>
  </w:footnote>
  <w:footnote w:type="continuationSeparator" w:id="0">
    <w:p w14:paraId="4C6D8719" w14:textId="77777777" w:rsidR="00773F19" w:rsidRDefault="00773F1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列出段落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5-e\Docs\R2-210820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47E6B22-000E-4559-A73E-73EC8CBCF82E}">
  <ds:schemaRefs>
    <ds:schemaRef ds:uri="http://schemas.openxmlformats.org/officeDocument/2006/bibliography"/>
  </ds:schemaRefs>
</ds:datastoreItem>
</file>

<file path=customXml/itemProps4.xml><?xml version="1.0" encoding="utf-8"?>
<ds:datastoreItem xmlns:ds="http://schemas.openxmlformats.org/officeDocument/2006/customXml" ds:itemID="{2D4FA6AC-2746-48CB-A4B5-115E7EA5F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245</TotalTime>
  <Pages>17</Pages>
  <Words>5808</Words>
  <Characters>33110</Characters>
  <Application>Microsoft Office Word</Application>
  <DocSecurity>0</DocSecurity>
  <Lines>275</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Jialin Zou</cp:lastModifiedBy>
  <cp:revision>15</cp:revision>
  <cp:lastPrinted>2007-12-21T04:58:00Z</cp:lastPrinted>
  <dcterms:created xsi:type="dcterms:W3CDTF">2021-08-20T14:32:00Z</dcterms:created>
  <dcterms:modified xsi:type="dcterms:W3CDTF">2021-08-20T23:32:00Z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