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0"/>
        <w:ind w:left="1985" w:hanging="1985"/>
        <w:rPr>
          <w:rFonts w:ascii="Arial" w:hAnsi="Arial" w:cs="Arial"/>
          <w:b/>
          <w:sz w:val="24"/>
          <w:szCs w:val="24"/>
        </w:rPr>
      </w:pPr>
      <w:bookmarkStart w:id="8" w:name="_GoBack"/>
      <w:bookmarkEnd w:id="8"/>
      <w:bookmarkStart w:id="0" w:name="OLE_LINK58"/>
      <w:bookmarkStart w:id="1" w:name="OLE_LINK57"/>
      <w:r>
        <w:rPr>
          <w:rFonts w:ascii="Arial" w:hAnsi="Arial" w:cs="Arial"/>
          <w:b/>
          <w:sz w:val="24"/>
          <w:szCs w:val="24"/>
        </w:rPr>
        <w:t>3GPP TSG RAN WG2#115-e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R2-210xxxx</w:t>
      </w:r>
    </w:p>
    <w:p>
      <w:pPr>
        <w:spacing w:after="60"/>
        <w:ind w:left="1985" w:hanging="19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Online, 16-27 August 2021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bookmarkEnd w:id="0"/>
    <w:bookmarkEnd w:id="1"/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2" w:name="OLE_LINK61"/>
      <w:bookmarkStart w:id="3" w:name="OLE_LINK60"/>
      <w:bookmarkStart w:id="4" w:name="OLE_LINK59"/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[Draft] </w:t>
      </w:r>
      <w:r>
        <w:rPr>
          <w:rFonts w:ascii="Arial" w:hAnsi="Arial" w:cs="Arial"/>
          <w:bCs/>
          <w:sz w:val="22"/>
          <w:szCs w:val="22"/>
        </w:rPr>
        <w:t>Reply LS to RAN2 on reduction of service interruption during intra-donor IAB-node migration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Rel-17</w:t>
      </w:r>
    </w:p>
    <w:bookmarkEnd w:id="2"/>
    <w:bookmarkEnd w:id="3"/>
    <w:bookmarkEnd w:id="4"/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lang w:eastAsia="zh-CN"/>
        </w:rPr>
        <w:t>NR_IAB_enh-Core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AT&amp;T [will be RAN2]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RAN3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</w:p>
    <w:p>
      <w:pPr>
        <w:spacing w:after="60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>Name:</w:t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eastAsia="zh-CN"/>
        </w:rPr>
        <w:t>Milap Majmundar</w:t>
      </w:r>
    </w:p>
    <w:p>
      <w:pPr>
        <w:spacing w:after="60"/>
        <w:rPr>
          <w:rFonts w:ascii="Arial" w:hAnsi="Arial" w:cs="Arial"/>
          <w:b/>
          <w:bCs/>
          <w:sz w:val="22"/>
          <w:szCs w:val="22"/>
          <w:lang w:val="de-DE" w:eastAsia="zh-CN"/>
        </w:rPr>
      </w:pPr>
      <w:r>
        <w:rPr>
          <w:rFonts w:hint="eastAsia" w:ascii="Arial" w:hAnsi="Arial" w:cs="Arial"/>
          <w:b/>
          <w:bCs/>
          <w:sz w:val="22"/>
          <w:szCs w:val="22"/>
          <w:lang w:val="de-DE" w:eastAsia="zh-CN"/>
        </w:rPr>
        <w:t>E</w:t>
      </w:r>
      <w:r>
        <w:rPr>
          <w:rFonts w:ascii="Arial" w:hAnsi="Arial" w:cs="Arial"/>
          <w:b/>
          <w:bCs/>
          <w:sz w:val="22"/>
          <w:szCs w:val="22"/>
          <w:lang w:val="de-DE" w:eastAsia="zh-CN"/>
        </w:rPr>
        <w:t>-mail Address:</w:t>
      </w:r>
      <w:r>
        <w:rPr>
          <w:rFonts w:ascii="Arial" w:hAnsi="Arial" w:cs="Arial"/>
          <w:b/>
          <w:bCs/>
          <w:sz w:val="22"/>
          <w:szCs w:val="22"/>
          <w:lang w:val="de-DE"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val="de-DE" w:eastAsia="zh-CN"/>
        </w:rPr>
        <w:t>milap.majmundar@att.com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de-DE"/>
        </w:rPr>
      </w:pPr>
    </w:p>
    <w:p>
      <w:pPr>
        <w:pStyle w:val="2"/>
      </w:pPr>
      <w:r>
        <w:t>1</w:t>
      </w:r>
      <w:r>
        <w:tab/>
      </w:r>
      <w:r>
        <w:t>Overall description</w:t>
      </w:r>
    </w:p>
    <w:p>
      <w:pPr>
        <w:pStyle w:val="40"/>
        <w:snapToGrid w:val="0"/>
        <w:spacing w:before="0" w:beforeAutospacing="0" w:after="120" w:afterAutospacing="0"/>
        <w:rPr>
          <w:rFonts w:ascii="Arial" w:hAnsi="Arial" w:eastAsia="等线" w:cs="Arial"/>
          <w:sz w:val="20"/>
          <w:szCs w:val="20"/>
          <w:lang w:val="en-GB" w:eastAsia="zh-CN"/>
        </w:rPr>
      </w:pPr>
      <w:r>
        <w:rPr>
          <w:rFonts w:ascii="Arial" w:hAnsi="Arial" w:eastAsia="等线" w:cs="Arial"/>
          <w:sz w:val="20"/>
          <w:szCs w:val="20"/>
          <w:lang w:val="en-GB" w:eastAsia="zh-CN"/>
        </w:rPr>
        <w:t xml:space="preserve">RAN2 thanks RAN3 for their LS on reduction of service interruption during intra-donor IAB-node migration (R2-2106948), which has been noted. RAN2 understands that RAN3 is discussing two solutions for reduction of service interruption, where the transfer of RRCReconfiguration for TNL migration of a descendent IAB node occurs over the source path. </w:t>
      </w:r>
    </w:p>
    <w:p>
      <w:pPr>
        <w:pStyle w:val="40"/>
        <w:numPr>
          <w:ilvl w:val="0"/>
          <w:numId w:val="5"/>
        </w:numPr>
        <w:snapToGrid w:val="0"/>
        <w:spacing w:before="0" w:beforeAutospacing="0" w:after="120" w:afterAutospacing="0"/>
        <w:rPr>
          <w:rFonts w:ascii="Arial" w:hAnsi="Arial" w:eastAsia="等线" w:cs="Arial"/>
          <w:sz w:val="20"/>
          <w:szCs w:val="20"/>
          <w:lang w:val="en-GB" w:eastAsia="zh-CN"/>
        </w:rPr>
      </w:pPr>
      <w:commentRangeStart w:id="0"/>
      <w:r>
        <w:rPr>
          <w:rFonts w:ascii="Arial" w:hAnsi="Arial" w:eastAsia="等线" w:cs="Arial"/>
          <w:sz w:val="20"/>
          <w:szCs w:val="20"/>
          <w:lang w:val="en-GB" w:eastAsia="zh-CN"/>
        </w:rPr>
        <w:t xml:space="preserve">For Solution 1, the RRCReconfiguration message for TNL migration of a descendent node IAB-MT is withheld by this descendant node’s parent IAB-DU, and it is delivered only when a condition is satisfied. </w:t>
      </w:r>
    </w:p>
    <w:p>
      <w:pPr>
        <w:pStyle w:val="40"/>
        <w:numPr>
          <w:ilvl w:val="0"/>
          <w:numId w:val="5"/>
        </w:numPr>
        <w:snapToGrid w:val="0"/>
        <w:spacing w:before="0" w:beforeAutospacing="0" w:after="120" w:afterAutospacing="0"/>
        <w:rPr>
          <w:rFonts w:ascii="Arial" w:hAnsi="Arial" w:eastAsia="等线" w:cs="Arial"/>
          <w:sz w:val="20"/>
          <w:szCs w:val="20"/>
          <w:lang w:val="en-GB" w:eastAsia="zh-CN"/>
        </w:rPr>
      </w:pPr>
      <w:r>
        <w:rPr>
          <w:rFonts w:ascii="Arial" w:hAnsi="Arial" w:eastAsia="等线" w:cs="Arial"/>
          <w:sz w:val="20"/>
          <w:szCs w:val="20"/>
          <w:lang w:val="en-GB" w:eastAsia="zh-CN"/>
        </w:rPr>
        <w:t>For Solution 2, the RRCReconfiguration message for TNL migration of the descendant-node IAB-MT is buffered by the descendent-node’s IAB-MT itself, and it is executed only when an indication is received from the parent IAB-DU.</w:t>
      </w:r>
      <w:commentRangeEnd w:id="0"/>
      <w:r>
        <w:rPr>
          <w:rStyle w:val="50"/>
          <w:rFonts w:ascii="Arial" w:hAnsi="Arial" w:eastAsia="Times New Roman"/>
          <w:szCs w:val="20"/>
          <w:lang w:val="en-GB" w:eastAsia="ja-JP"/>
        </w:rPr>
        <w:commentReference w:id="0"/>
      </w:r>
    </w:p>
    <w:p>
      <w:pPr>
        <w:pStyle w:val="40"/>
        <w:snapToGrid w:val="0"/>
        <w:spacing w:before="0" w:beforeAutospacing="0" w:after="120" w:afterAutospacing="0"/>
        <w:rPr>
          <w:rFonts w:ascii="Arial" w:hAnsi="Arial" w:eastAsia="等线" w:cs="Arial"/>
          <w:sz w:val="20"/>
          <w:szCs w:val="20"/>
          <w:lang w:val="en-GB" w:eastAsia="zh-CN"/>
        </w:rPr>
      </w:pPr>
      <w:r>
        <w:rPr>
          <w:rFonts w:ascii="Arial" w:hAnsi="Arial" w:eastAsia="等线" w:cs="Arial"/>
          <w:sz w:val="20"/>
          <w:szCs w:val="20"/>
          <w:lang w:val="en-GB" w:eastAsia="zh-CN"/>
        </w:rPr>
        <w:t>RAN2 provides the following feedback to RAN3 regarding Solutions 1 and 2:</w:t>
      </w:r>
    </w:p>
    <w:p>
      <w:pPr>
        <w:pStyle w:val="40"/>
        <w:snapToGrid w:val="0"/>
        <w:spacing w:before="0" w:beforeAutospacing="0" w:after="120" w:afterAutospacing="0"/>
        <w:rPr>
          <w:rFonts w:ascii="Arial" w:hAnsi="Arial" w:eastAsia="等线" w:cs="Arial"/>
          <w:sz w:val="20"/>
          <w:szCs w:val="20"/>
          <w:lang w:val="en-GB" w:eastAsia="zh-CN"/>
        </w:rPr>
      </w:pPr>
      <w:bookmarkStart w:id="7" w:name="_Hlk80538689"/>
      <w:r>
        <w:rPr>
          <w:rFonts w:ascii="Arial" w:hAnsi="Arial" w:eastAsia="等线" w:cs="Arial"/>
          <w:sz w:val="20"/>
          <w:szCs w:val="20"/>
          <w:lang w:val="en-GB" w:eastAsia="zh-CN"/>
        </w:rPr>
        <w:t>Solution 1:</w:t>
      </w:r>
    </w:p>
    <w:bookmarkEnd w:id="7"/>
    <w:p>
      <w:pPr>
        <w:pStyle w:val="40"/>
        <w:numPr>
          <w:ilvl w:val="0"/>
          <w:numId w:val="6"/>
        </w:numPr>
        <w:snapToGrid w:val="0"/>
        <w:spacing w:before="0" w:beforeAutospacing="0" w:after="120" w:afterAutospacing="0"/>
        <w:rPr>
          <w:rFonts w:ascii="Arial" w:hAnsi="Arial" w:eastAsia="等线" w:cs="Arial"/>
          <w:sz w:val="20"/>
          <w:szCs w:val="20"/>
          <w:lang w:val="en-GB" w:eastAsia="zh-CN"/>
        </w:rPr>
      </w:pPr>
      <w:r>
        <w:rPr>
          <w:rFonts w:ascii="Arial" w:hAnsi="Arial" w:eastAsia="等线" w:cs="Arial"/>
          <w:sz w:val="20"/>
          <w:szCs w:val="20"/>
          <w:lang w:val="en-GB" w:eastAsia="zh-CN"/>
        </w:rPr>
        <w:t xml:space="preserve">Solution 1 has no impact on RAN2 for the success case described in the LS from RAN3. </w:t>
      </w:r>
    </w:p>
    <w:p>
      <w:pPr>
        <w:pStyle w:val="40"/>
        <w:numPr>
          <w:ilvl w:val="0"/>
          <w:numId w:val="6"/>
        </w:numPr>
        <w:snapToGrid w:val="0"/>
        <w:spacing w:before="0" w:beforeAutospacing="0" w:after="120" w:afterAutospacing="0"/>
        <w:rPr>
          <w:rFonts w:ascii="Arial" w:hAnsi="Arial" w:eastAsia="等线" w:cs="Arial"/>
          <w:sz w:val="20"/>
          <w:szCs w:val="20"/>
          <w:lang w:val="en-GB" w:eastAsia="zh-CN"/>
        </w:rPr>
      </w:pPr>
      <w:r>
        <w:rPr>
          <w:rFonts w:ascii="Arial" w:hAnsi="Arial" w:eastAsia="等线" w:cs="Arial"/>
          <w:sz w:val="20"/>
          <w:szCs w:val="20"/>
          <w:lang w:val="en-GB" w:eastAsia="zh-CN"/>
        </w:rPr>
        <w:t xml:space="preserve">RAN2 observes that there are other aspects of Solution 1 requiring further discussion, such as IAB-node migration failure case, or the case with additional RRCReconfiguration messages to same child IAB-MT. </w:t>
      </w:r>
    </w:p>
    <w:p>
      <w:pPr>
        <w:pStyle w:val="40"/>
        <w:numPr>
          <w:ilvl w:val="0"/>
          <w:numId w:val="6"/>
        </w:numPr>
        <w:snapToGrid w:val="0"/>
        <w:spacing w:before="0" w:beforeAutospacing="0" w:after="120" w:afterAutospacing="0"/>
        <w:rPr>
          <w:rFonts w:ascii="Arial" w:hAnsi="Arial" w:eastAsia="等线" w:cs="Arial"/>
          <w:sz w:val="20"/>
          <w:szCs w:val="20"/>
          <w:lang w:val="en-GB" w:eastAsia="zh-CN"/>
        </w:rPr>
      </w:pPr>
      <w:r>
        <w:rPr>
          <w:rFonts w:ascii="Arial" w:hAnsi="Arial" w:eastAsia="等线" w:cs="Arial"/>
          <w:sz w:val="20"/>
          <w:szCs w:val="20"/>
          <w:lang w:val="en-GB" w:eastAsia="zh-CN"/>
        </w:rPr>
        <w:t>RAN2 emphasizes that for solution 1,</w:t>
      </w:r>
      <w:commentRangeStart w:id="1"/>
      <w:r>
        <w:rPr>
          <w:rFonts w:ascii="Arial" w:hAnsi="Arial" w:eastAsia="等线" w:cs="Arial"/>
          <w:sz w:val="20"/>
          <w:szCs w:val="20"/>
          <w:lang w:val="en-GB" w:eastAsia="zh-CN"/>
        </w:rPr>
        <w:t xml:space="preserve"> the PDCP SN order cannot be disrupted, i.e., it is not possible to discard a RRC Reconfiguration message.</w:t>
      </w:r>
      <w:commentRangeEnd w:id="1"/>
      <w:r>
        <w:commentReference w:id="1"/>
      </w:r>
    </w:p>
    <w:p>
      <w:pPr>
        <w:pStyle w:val="40"/>
        <w:snapToGrid w:val="0"/>
        <w:spacing w:before="0" w:beforeAutospacing="0" w:after="120" w:afterAutospacing="0"/>
        <w:rPr>
          <w:rFonts w:ascii="Arial" w:hAnsi="Arial" w:eastAsia="等线" w:cs="Arial"/>
          <w:sz w:val="20"/>
          <w:szCs w:val="20"/>
          <w:lang w:val="en-GB" w:eastAsia="zh-CN"/>
        </w:rPr>
      </w:pPr>
      <w:r>
        <w:rPr>
          <w:rFonts w:ascii="Arial" w:hAnsi="Arial" w:eastAsia="等线" w:cs="Arial"/>
          <w:sz w:val="20"/>
          <w:szCs w:val="20"/>
          <w:lang w:val="en-GB" w:eastAsia="zh-CN"/>
        </w:rPr>
        <w:t>Solution 2:</w:t>
      </w:r>
    </w:p>
    <w:p>
      <w:pPr>
        <w:pStyle w:val="40"/>
        <w:numPr>
          <w:ilvl w:val="0"/>
          <w:numId w:val="7"/>
        </w:numPr>
        <w:snapToGrid w:val="0"/>
        <w:spacing w:before="0" w:beforeAutospacing="0" w:after="120" w:afterAutospacing="0"/>
        <w:ind w:left="720"/>
        <w:rPr>
          <w:rFonts w:ascii="Arial" w:hAnsi="Arial" w:eastAsia="等线" w:cs="Arial"/>
          <w:sz w:val="20"/>
          <w:szCs w:val="20"/>
          <w:lang w:val="en-GB" w:eastAsia="zh-CN"/>
        </w:rPr>
      </w:pPr>
      <w:r>
        <w:rPr>
          <w:rFonts w:ascii="Arial" w:hAnsi="Arial" w:eastAsia="等线" w:cs="Arial"/>
          <w:sz w:val="20"/>
          <w:szCs w:val="20"/>
          <w:lang w:val="en-GB" w:eastAsia="zh-CN"/>
        </w:rPr>
        <w:t>RAN2 expects the following impact for Solution 2:</w:t>
      </w:r>
    </w:p>
    <w:p>
      <w:pPr>
        <w:pStyle w:val="40"/>
        <w:numPr>
          <w:ilvl w:val="1"/>
          <w:numId w:val="7"/>
        </w:numPr>
        <w:snapToGrid w:val="0"/>
        <w:spacing w:after="120" w:afterAutospacing="0"/>
        <w:ind w:left="1440"/>
        <w:rPr>
          <w:rFonts w:ascii="Arial" w:hAnsi="Arial" w:eastAsia="等线" w:cs="Arial"/>
          <w:sz w:val="20"/>
          <w:szCs w:val="20"/>
          <w:lang w:val="en-GB" w:eastAsia="zh-CN"/>
        </w:rPr>
      </w:pPr>
      <w:r>
        <w:rPr>
          <w:rFonts w:ascii="Arial" w:hAnsi="Arial" w:eastAsia="等线" w:cs="Arial"/>
          <w:sz w:val="20"/>
          <w:szCs w:val="20"/>
          <w:lang w:val="en-GB" w:eastAsia="zh-CN"/>
        </w:rPr>
        <w:t>Impact to RRC specification (38.331):</w:t>
      </w:r>
    </w:p>
    <w:p>
      <w:pPr>
        <w:pStyle w:val="40"/>
        <w:numPr>
          <w:ilvl w:val="2"/>
          <w:numId w:val="7"/>
        </w:numPr>
        <w:snapToGrid w:val="0"/>
        <w:spacing w:after="120" w:afterAutospacing="0"/>
        <w:ind w:left="2160"/>
        <w:rPr>
          <w:rFonts w:ascii="Arial" w:hAnsi="Arial" w:eastAsia="等线" w:cs="Arial"/>
          <w:sz w:val="20"/>
          <w:szCs w:val="20"/>
          <w:lang w:val="en-GB" w:eastAsia="zh-CN"/>
        </w:rPr>
      </w:pPr>
      <w:r>
        <w:rPr>
          <w:rFonts w:ascii="Arial" w:hAnsi="Arial" w:eastAsia="等线" w:cs="Arial"/>
          <w:sz w:val="20"/>
          <w:szCs w:val="20"/>
          <w:lang w:val="en-GB" w:eastAsia="zh-CN"/>
        </w:rPr>
        <w:t>Indication for conditional execution to be added to RRCReconfiguration message</w:t>
      </w:r>
    </w:p>
    <w:p>
      <w:pPr>
        <w:pStyle w:val="40"/>
        <w:numPr>
          <w:ilvl w:val="2"/>
          <w:numId w:val="7"/>
        </w:numPr>
        <w:snapToGrid w:val="0"/>
        <w:spacing w:after="120" w:afterAutospacing="0"/>
        <w:ind w:left="2160"/>
        <w:rPr>
          <w:rFonts w:ascii="Arial" w:hAnsi="Arial" w:eastAsia="等线" w:cs="Arial"/>
          <w:sz w:val="20"/>
          <w:szCs w:val="20"/>
          <w:lang w:val="en-GB" w:eastAsia="zh-CN"/>
        </w:rPr>
      </w:pPr>
      <w:r>
        <w:rPr>
          <w:rFonts w:ascii="Arial" w:hAnsi="Arial" w:eastAsia="等线" w:cs="Arial"/>
          <w:sz w:val="20"/>
          <w:szCs w:val="20"/>
          <w:lang w:val="en-GB" w:eastAsia="zh-CN"/>
        </w:rPr>
        <w:t>ASN.1 amendment needed for buffered RRCReconfiguration</w:t>
      </w:r>
    </w:p>
    <w:p>
      <w:pPr>
        <w:pStyle w:val="40"/>
        <w:numPr>
          <w:ilvl w:val="2"/>
          <w:numId w:val="7"/>
        </w:numPr>
        <w:snapToGrid w:val="0"/>
        <w:spacing w:after="120" w:afterAutospacing="0"/>
        <w:ind w:left="2160"/>
        <w:rPr>
          <w:rFonts w:ascii="Arial" w:hAnsi="Arial" w:eastAsia="等线" w:cs="Arial"/>
          <w:sz w:val="20"/>
          <w:szCs w:val="20"/>
          <w:lang w:val="en-GB" w:eastAsia="zh-CN"/>
        </w:rPr>
      </w:pPr>
      <w:r>
        <w:rPr>
          <w:rFonts w:ascii="Arial" w:hAnsi="Arial" w:eastAsia="等线" w:cs="Arial"/>
          <w:sz w:val="20"/>
          <w:szCs w:val="20"/>
          <w:lang w:val="en-GB" w:eastAsia="zh-CN"/>
        </w:rPr>
        <w:t>Procedures for the child IAB-node to potentially discard the buffered RRCReconfiguration, e.g., in case the parent IAB-node fails the migration (e.g., new action upon reception of BH RLF indication)</w:t>
      </w:r>
    </w:p>
    <w:p>
      <w:pPr>
        <w:pStyle w:val="40"/>
        <w:numPr>
          <w:ilvl w:val="1"/>
          <w:numId w:val="7"/>
        </w:numPr>
        <w:snapToGrid w:val="0"/>
        <w:spacing w:after="120" w:afterAutospacing="0"/>
        <w:ind w:left="1440"/>
        <w:rPr>
          <w:rFonts w:ascii="Arial" w:hAnsi="Arial" w:eastAsia="等线" w:cs="Arial"/>
          <w:sz w:val="20"/>
          <w:szCs w:val="20"/>
          <w:lang w:val="en-GB" w:eastAsia="zh-CN"/>
        </w:rPr>
      </w:pPr>
      <w:r>
        <w:rPr>
          <w:rFonts w:ascii="Arial" w:hAnsi="Arial" w:eastAsia="等线" w:cs="Arial"/>
          <w:sz w:val="20"/>
          <w:szCs w:val="20"/>
          <w:lang w:val="en-GB" w:eastAsia="zh-CN"/>
        </w:rPr>
        <w:t xml:space="preserve">L1/L2 indication (e.g. new BAP control PDU) sent by the migrated parent IAB-node DU to the descendant IAB-node MT to trigger the execution of RRCReconfiguration at the child IAB-node MT. </w:t>
      </w:r>
    </w:p>
    <w:p>
      <w:pPr>
        <w:pStyle w:val="40"/>
        <w:numPr>
          <w:ilvl w:val="0"/>
          <w:numId w:val="7"/>
        </w:numPr>
        <w:snapToGrid w:val="0"/>
        <w:spacing w:after="120" w:afterAutospacing="0"/>
        <w:ind w:left="720"/>
        <w:rPr>
          <w:rFonts w:ascii="Arial" w:hAnsi="Arial" w:eastAsia="等线" w:cs="Arial"/>
          <w:sz w:val="20"/>
          <w:szCs w:val="20"/>
          <w:lang w:val="en-GB" w:eastAsia="zh-CN"/>
        </w:rPr>
      </w:pPr>
      <w:r>
        <w:rPr>
          <w:rFonts w:ascii="Arial" w:hAnsi="Arial" w:eastAsia="等线" w:cs="Arial"/>
          <w:sz w:val="20"/>
          <w:szCs w:val="20"/>
          <w:lang w:val="en-GB" w:eastAsia="zh-CN"/>
        </w:rPr>
        <w:t>RAN2 observes that there are other aspects of Solution 2 requiring further discussion, such as IAB-node migration failure case, or interaction with CHO, or incompatibility with inter-CU migration.</w:t>
      </w:r>
    </w:p>
    <w:p>
      <w:pPr>
        <w:pStyle w:val="40"/>
        <w:snapToGrid w:val="0"/>
        <w:spacing w:before="0" w:beforeAutospacing="0" w:after="120" w:afterAutospacing="0"/>
        <w:rPr>
          <w:rFonts w:ascii="Arial" w:hAnsi="Arial" w:eastAsia="等线" w:cs="Arial"/>
          <w:sz w:val="20"/>
          <w:szCs w:val="20"/>
          <w:lang w:val="en-GB" w:eastAsia="zh-CN"/>
        </w:rPr>
      </w:pPr>
      <w:r>
        <w:rPr>
          <w:rFonts w:ascii="Arial" w:hAnsi="Arial" w:eastAsia="等线" w:cs="Arial"/>
          <w:sz w:val="20"/>
          <w:szCs w:val="20"/>
          <w:lang w:val="en-GB" w:eastAsia="zh-CN"/>
        </w:rPr>
        <w:t>Finally, RAN2 observes that trigger conditions for both Solution 1 (to forward withheld RRCReconfiguration) and Solution 2 (to execute buffered RRCReconfiguration) require further discussion.</w:t>
      </w:r>
    </w:p>
    <w:p>
      <w:pPr>
        <w:pStyle w:val="40"/>
        <w:snapToGrid w:val="0"/>
        <w:spacing w:before="0" w:beforeAutospacing="0" w:after="120" w:afterAutospacing="0"/>
        <w:rPr>
          <w:rFonts w:ascii="Arial" w:hAnsi="Arial" w:eastAsia="等线" w:cs="Arial"/>
          <w:sz w:val="20"/>
          <w:szCs w:val="20"/>
          <w:lang w:val="en-GB" w:eastAsia="zh-CN"/>
        </w:rPr>
      </w:pPr>
    </w:p>
    <w:p>
      <w:pPr>
        <w:pStyle w:val="40"/>
        <w:snapToGrid w:val="0"/>
        <w:spacing w:before="0" w:beforeAutospacing="0" w:after="120" w:afterAutospacing="0"/>
        <w:rPr>
          <w:rFonts w:ascii="Arial" w:hAnsi="Arial" w:eastAsia="等线" w:cs="Arial"/>
          <w:sz w:val="20"/>
          <w:szCs w:val="20"/>
          <w:lang w:val="en-GB" w:eastAsia="zh-CN"/>
        </w:rPr>
      </w:pPr>
      <w:r>
        <w:rPr>
          <w:rFonts w:ascii="Arial" w:hAnsi="Arial" w:eastAsia="等线" w:cs="Arial"/>
          <w:sz w:val="20"/>
          <w:szCs w:val="20"/>
          <w:lang w:val="en-GB" w:eastAsia="zh-CN"/>
        </w:rPr>
        <w:t>RAN2 requests RAN3 to consider the above feedback in their discussion of solutions for reduction of service interruption during intra-donor IAB-node migration.</w:t>
      </w:r>
    </w:p>
    <w:p>
      <w:pPr>
        <w:pStyle w:val="40"/>
        <w:snapToGrid w:val="0"/>
        <w:spacing w:before="0" w:beforeAutospacing="0" w:after="120" w:afterAutospacing="0"/>
        <w:rPr>
          <w:rFonts w:ascii="Arial" w:hAnsi="Arial" w:eastAsia="等线" w:cs="Arial"/>
          <w:bCs/>
          <w:sz w:val="20"/>
          <w:szCs w:val="20"/>
          <w:lang w:val="en-GB" w:eastAsia="zh-CN"/>
        </w:rPr>
      </w:pPr>
    </w:p>
    <w:p>
      <w:pPr>
        <w:pStyle w:val="2"/>
      </w:pPr>
      <w:r>
        <w:t>2</w:t>
      </w:r>
      <w:r>
        <w:tab/>
      </w:r>
      <w:r>
        <w:t>Actions</w:t>
      </w:r>
    </w:p>
    <w:p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</w:rPr>
        <w:t>RAN2 kindly asks RAN3 to take note of the above.</w:t>
      </w:r>
    </w:p>
    <w:p>
      <w:pPr>
        <w:spacing w:after="120"/>
        <w:ind w:left="993" w:hanging="993"/>
        <w:rPr>
          <w:rFonts w:ascii="Arial" w:hAnsi="Arial" w:cs="Arial"/>
        </w:rPr>
      </w:pPr>
    </w:p>
    <w:p>
      <w:pPr>
        <w:pStyle w:val="2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</w:r>
      <w:r>
        <w:rPr>
          <w:szCs w:val="36"/>
        </w:rPr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RAN3</w:t>
      </w:r>
      <w:r>
        <w:rPr>
          <w:szCs w:val="36"/>
        </w:rPr>
        <w:t xml:space="preserve"> meetings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bCs/>
          <w:lang w:eastAsia="zh-CN"/>
        </w:rPr>
        <w:t>TSG-RAN WG2 Meeting #116-e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>01 – 11 November 2021</w:t>
      </w:r>
      <w:r>
        <w:rPr>
          <w:rFonts w:ascii="Arial" w:hAnsi="Arial" w:cs="Arial"/>
          <w:bCs/>
          <w:lang w:val="de-DE"/>
        </w:rPr>
        <w:tab/>
      </w:r>
      <w:r>
        <w:rPr>
          <w:rFonts w:ascii="Arial" w:hAnsi="Arial" w:cs="Arial"/>
          <w:bCs/>
          <w:lang w:val="de-DE"/>
        </w:rPr>
        <w:t>E-meeting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bCs/>
          <w:lang w:eastAsia="zh-CN"/>
        </w:rPr>
        <w:t>TSG-RAN WG2 Meeting #117</w:t>
      </w:r>
      <w:r>
        <w:rPr>
          <w:rFonts w:ascii="Arial" w:hAnsi="Arial" w:cs="Arial"/>
          <w:bCs/>
          <w:lang w:val="de-DE"/>
        </w:rPr>
        <w:tab/>
      </w:r>
      <w:r>
        <w:rPr>
          <w:rFonts w:ascii="Arial" w:hAnsi="Arial" w:cs="Arial"/>
          <w:bCs/>
          <w:lang w:eastAsia="zh-CN"/>
        </w:rPr>
        <w:t>21 – 25 February 2022</w:t>
      </w:r>
      <w:r>
        <w:rPr>
          <w:rFonts w:ascii="Arial" w:hAnsi="Arial" w:cs="Arial"/>
          <w:bCs/>
          <w:lang w:val="de-DE"/>
        </w:rPr>
        <w:tab/>
      </w:r>
      <w:r>
        <w:rPr>
          <w:rFonts w:ascii="Arial" w:hAnsi="Arial" w:cs="Arial"/>
          <w:bCs/>
          <w:lang w:val="de-DE"/>
        </w:rPr>
        <w:tab/>
      </w:r>
      <w:r>
        <w:rPr>
          <w:rFonts w:ascii="Arial" w:hAnsi="Arial" w:cs="Arial"/>
          <w:bCs/>
          <w:lang w:eastAsia="zh-CN"/>
        </w:rPr>
        <w:t>Athens, GR</w:t>
      </w:r>
    </w:p>
    <w:sectPr>
      <w:pgSz w:w="11907" w:h="16840"/>
      <w:pgMar w:top="1021" w:right="1021" w:bottom="1021" w:left="1021" w:header="720" w:footer="578" w:gutter="0"/>
      <w:cols w:space="720" w:num="1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Milap Majmundar (AT&amp;T)" w:date="2021-08-22T14:18:00Z" w:initials="MM">
    <w:p w14:paraId="4E7566DF">
      <w:pPr>
        <w:pStyle w:val="28"/>
      </w:pPr>
      <w:r>
        <w:t>This description is from the incoming LS to RAN2.</w:t>
      </w:r>
    </w:p>
  </w:comment>
  <w:comment w:id="1" w:author="ZTE" w:date="2021-08-23T15:14:37Z" w:initials="ZTE">
    <w:p w14:paraId="060C555F">
      <w:pPr>
        <w:pStyle w:val="28"/>
        <w:rPr>
          <w:rFonts w:hint="default"/>
          <w:lang w:val="en-US"/>
        </w:rPr>
      </w:pPr>
      <w:r>
        <w:rPr>
          <w:rFonts w:hint="eastAsia" w:eastAsia="宋体"/>
          <w:lang w:val="en-US" w:eastAsia="zh-CN"/>
        </w:rPr>
        <w:t>It is suggested to remove this statement. It is not clear why the RRCReconfiguration message could not be discarded. RAN2 need to further discuss this.</w:t>
      </w:r>
    </w:p>
    <w:p w14:paraId="55C56879">
      <w:pPr>
        <w:pStyle w:val="28"/>
      </w:pPr>
      <w:r>
        <w:rPr>
          <w:rFonts w:hint="eastAsia" w:eastAsia="宋体"/>
          <w:lang w:val="en-US" w:eastAsia="zh-CN"/>
        </w:rPr>
        <w:t xml:space="preserve">As we know, the SRB1 where the RRCReconfiguration message delivers use default configuration and the configuration can be updated to support PDCP re-ordering timer via dedicated RRC signalling. Even if one RRCReconfiguration message is discarded, re-ordering timer in PDCP layer may take effect and the subsequent RRCReconfiguration message could still be delivered to upper layer.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E7566DF" w15:done="0"/>
  <w15:commentEx w15:paraId="55C5687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onotype Sorts">
    <w:altName w:val="Wingdings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344"/>
    <w:multiLevelType w:val="singleLevel"/>
    <w:tmpl w:val="1B0A1344"/>
    <w:lvl w:ilvl="0" w:tentative="0">
      <w:start w:val="1"/>
      <w:numFmt w:val="bullet"/>
      <w:pStyle w:val="59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1">
    <w:nsid w:val="35F3643F"/>
    <w:multiLevelType w:val="multilevel"/>
    <w:tmpl w:val="35F3643F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3D5412C0"/>
    <w:multiLevelType w:val="multilevel"/>
    <w:tmpl w:val="3D5412C0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>
    <w:nsid w:val="41CA2C26"/>
    <w:multiLevelType w:val="singleLevel"/>
    <w:tmpl w:val="41CA2C26"/>
    <w:lvl w:ilvl="0" w:tentative="0">
      <w:start w:val="1"/>
      <w:numFmt w:val="bullet"/>
      <w:pStyle w:val="57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4">
    <w:nsid w:val="549A69FD"/>
    <w:multiLevelType w:val="multilevel"/>
    <w:tmpl w:val="549A69FD"/>
    <w:lvl w:ilvl="0" w:tentative="0">
      <w:start w:val="5"/>
      <w:numFmt w:val="decimal"/>
      <w:pStyle w:val="58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>
    <w:nsid w:val="63690C9E"/>
    <w:multiLevelType w:val="singleLevel"/>
    <w:tmpl w:val="63690C9E"/>
    <w:lvl w:ilvl="0" w:tentative="0">
      <w:start w:val="1"/>
      <w:numFmt w:val="bullet"/>
      <w:pStyle w:val="56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6">
    <w:nsid w:val="65860A15"/>
    <w:multiLevelType w:val="multilevel"/>
    <w:tmpl w:val="65860A1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ilap Majmundar (AT&amp;T)">
    <w15:presenceInfo w15:providerId="None" w15:userId="Milap Majmundar (AT&amp;T)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linkStyles/>
  <w:attachedTemplate r:id="rId1"/>
  <w:trackRevisions w:val="1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0E11"/>
    <w:rsid w:val="000026AB"/>
    <w:rsid w:val="00017F23"/>
    <w:rsid w:val="00031D82"/>
    <w:rsid w:val="00056D08"/>
    <w:rsid w:val="00067B47"/>
    <w:rsid w:val="00071869"/>
    <w:rsid w:val="00086667"/>
    <w:rsid w:val="00086E35"/>
    <w:rsid w:val="000872B1"/>
    <w:rsid w:val="000A0A68"/>
    <w:rsid w:val="000A1B4D"/>
    <w:rsid w:val="000A58B7"/>
    <w:rsid w:val="000C1EEC"/>
    <w:rsid w:val="000D042F"/>
    <w:rsid w:val="000D08CD"/>
    <w:rsid w:val="000F6242"/>
    <w:rsid w:val="0010162F"/>
    <w:rsid w:val="001038A5"/>
    <w:rsid w:val="00110A27"/>
    <w:rsid w:val="00125DAD"/>
    <w:rsid w:val="0012761C"/>
    <w:rsid w:val="00143A20"/>
    <w:rsid w:val="00151ED0"/>
    <w:rsid w:val="00152CBB"/>
    <w:rsid w:val="0018042E"/>
    <w:rsid w:val="00190F82"/>
    <w:rsid w:val="00192A3D"/>
    <w:rsid w:val="001D2439"/>
    <w:rsid w:val="001E2C4F"/>
    <w:rsid w:val="002017BA"/>
    <w:rsid w:val="00202BC9"/>
    <w:rsid w:val="00205F32"/>
    <w:rsid w:val="002425E7"/>
    <w:rsid w:val="00273686"/>
    <w:rsid w:val="002760EB"/>
    <w:rsid w:val="00277B44"/>
    <w:rsid w:val="0028345A"/>
    <w:rsid w:val="00283FC0"/>
    <w:rsid w:val="002A032F"/>
    <w:rsid w:val="002A49E2"/>
    <w:rsid w:val="002D2DD1"/>
    <w:rsid w:val="002D7D82"/>
    <w:rsid w:val="002E75ED"/>
    <w:rsid w:val="002F1940"/>
    <w:rsid w:val="002F3283"/>
    <w:rsid w:val="00312D23"/>
    <w:rsid w:val="00321600"/>
    <w:rsid w:val="00322641"/>
    <w:rsid w:val="00336C44"/>
    <w:rsid w:val="003538BC"/>
    <w:rsid w:val="00361D53"/>
    <w:rsid w:val="00364127"/>
    <w:rsid w:val="00364989"/>
    <w:rsid w:val="003672B6"/>
    <w:rsid w:val="00372E23"/>
    <w:rsid w:val="003757ED"/>
    <w:rsid w:val="00376D10"/>
    <w:rsid w:val="00383545"/>
    <w:rsid w:val="003905A3"/>
    <w:rsid w:val="00390763"/>
    <w:rsid w:val="00391C24"/>
    <w:rsid w:val="00391FC3"/>
    <w:rsid w:val="003A0609"/>
    <w:rsid w:val="003B5CB5"/>
    <w:rsid w:val="003C4245"/>
    <w:rsid w:val="003D6FE6"/>
    <w:rsid w:val="003E0C6B"/>
    <w:rsid w:val="003E4CC6"/>
    <w:rsid w:val="003E682A"/>
    <w:rsid w:val="003F01AB"/>
    <w:rsid w:val="003F5724"/>
    <w:rsid w:val="003F7B90"/>
    <w:rsid w:val="00405705"/>
    <w:rsid w:val="00410375"/>
    <w:rsid w:val="00414C58"/>
    <w:rsid w:val="00414E37"/>
    <w:rsid w:val="004151A7"/>
    <w:rsid w:val="0041623D"/>
    <w:rsid w:val="00433500"/>
    <w:rsid w:val="00433F71"/>
    <w:rsid w:val="00440D43"/>
    <w:rsid w:val="004676AF"/>
    <w:rsid w:val="0047586B"/>
    <w:rsid w:val="004824E7"/>
    <w:rsid w:val="00486D04"/>
    <w:rsid w:val="00492879"/>
    <w:rsid w:val="004A3CAD"/>
    <w:rsid w:val="004B06E0"/>
    <w:rsid w:val="004B6D66"/>
    <w:rsid w:val="004D1AC8"/>
    <w:rsid w:val="004E3939"/>
    <w:rsid w:val="004E5809"/>
    <w:rsid w:val="005004B0"/>
    <w:rsid w:val="00502E8E"/>
    <w:rsid w:val="00505E20"/>
    <w:rsid w:val="00510418"/>
    <w:rsid w:val="00521A31"/>
    <w:rsid w:val="00527D03"/>
    <w:rsid w:val="005302E7"/>
    <w:rsid w:val="00530E1A"/>
    <w:rsid w:val="00535C2D"/>
    <w:rsid w:val="00570074"/>
    <w:rsid w:val="00584E04"/>
    <w:rsid w:val="005A62A5"/>
    <w:rsid w:val="005B3C8E"/>
    <w:rsid w:val="005C3EF5"/>
    <w:rsid w:val="005D6371"/>
    <w:rsid w:val="005E5DDF"/>
    <w:rsid w:val="005F01B1"/>
    <w:rsid w:val="005F5037"/>
    <w:rsid w:val="005F6555"/>
    <w:rsid w:val="0060107F"/>
    <w:rsid w:val="006054A9"/>
    <w:rsid w:val="00613B57"/>
    <w:rsid w:val="0062238D"/>
    <w:rsid w:val="00622D99"/>
    <w:rsid w:val="00641134"/>
    <w:rsid w:val="006432D4"/>
    <w:rsid w:val="00643F18"/>
    <w:rsid w:val="006457F5"/>
    <w:rsid w:val="006459B4"/>
    <w:rsid w:val="006628D2"/>
    <w:rsid w:val="00664347"/>
    <w:rsid w:val="00673028"/>
    <w:rsid w:val="00690B4C"/>
    <w:rsid w:val="00691780"/>
    <w:rsid w:val="00694E9C"/>
    <w:rsid w:val="006A01BB"/>
    <w:rsid w:val="006B1D9D"/>
    <w:rsid w:val="006C37E9"/>
    <w:rsid w:val="006C7663"/>
    <w:rsid w:val="006D36C5"/>
    <w:rsid w:val="006E4363"/>
    <w:rsid w:val="006F30D2"/>
    <w:rsid w:val="006F6C6A"/>
    <w:rsid w:val="00721E52"/>
    <w:rsid w:val="00726B36"/>
    <w:rsid w:val="00730A0C"/>
    <w:rsid w:val="00751730"/>
    <w:rsid w:val="0076443B"/>
    <w:rsid w:val="00771F16"/>
    <w:rsid w:val="007A3CB1"/>
    <w:rsid w:val="007B5003"/>
    <w:rsid w:val="007C0CF6"/>
    <w:rsid w:val="007D2712"/>
    <w:rsid w:val="007D4AC6"/>
    <w:rsid w:val="007E7A9A"/>
    <w:rsid w:val="007F22BA"/>
    <w:rsid w:val="007F4F92"/>
    <w:rsid w:val="008036C0"/>
    <w:rsid w:val="00804D74"/>
    <w:rsid w:val="00814A18"/>
    <w:rsid w:val="00815373"/>
    <w:rsid w:val="00824D38"/>
    <w:rsid w:val="008259BD"/>
    <w:rsid w:val="0082765A"/>
    <w:rsid w:val="00856DD7"/>
    <w:rsid w:val="00856E9B"/>
    <w:rsid w:val="00857979"/>
    <w:rsid w:val="00864992"/>
    <w:rsid w:val="008656E5"/>
    <w:rsid w:val="008721B6"/>
    <w:rsid w:val="00877BEE"/>
    <w:rsid w:val="00881759"/>
    <w:rsid w:val="008849E9"/>
    <w:rsid w:val="008A7E14"/>
    <w:rsid w:val="008B7A29"/>
    <w:rsid w:val="008C6991"/>
    <w:rsid w:val="008D1AFD"/>
    <w:rsid w:val="008D772F"/>
    <w:rsid w:val="008F1F50"/>
    <w:rsid w:val="008F2EF4"/>
    <w:rsid w:val="008F3D7C"/>
    <w:rsid w:val="008F5666"/>
    <w:rsid w:val="00900749"/>
    <w:rsid w:val="00900E95"/>
    <w:rsid w:val="00923B94"/>
    <w:rsid w:val="00945DFA"/>
    <w:rsid w:val="0095622E"/>
    <w:rsid w:val="0096295E"/>
    <w:rsid w:val="009750C3"/>
    <w:rsid w:val="00980D02"/>
    <w:rsid w:val="0098381C"/>
    <w:rsid w:val="00984292"/>
    <w:rsid w:val="00987077"/>
    <w:rsid w:val="0099764C"/>
    <w:rsid w:val="009A0AE7"/>
    <w:rsid w:val="009A2477"/>
    <w:rsid w:val="009D05C0"/>
    <w:rsid w:val="00A07012"/>
    <w:rsid w:val="00A07225"/>
    <w:rsid w:val="00A25B32"/>
    <w:rsid w:val="00A26AC0"/>
    <w:rsid w:val="00A334CC"/>
    <w:rsid w:val="00A351C4"/>
    <w:rsid w:val="00A37E85"/>
    <w:rsid w:val="00A415F4"/>
    <w:rsid w:val="00A637FD"/>
    <w:rsid w:val="00A74303"/>
    <w:rsid w:val="00AA583E"/>
    <w:rsid w:val="00AB00F5"/>
    <w:rsid w:val="00AC0516"/>
    <w:rsid w:val="00AD114B"/>
    <w:rsid w:val="00AD2090"/>
    <w:rsid w:val="00AD2561"/>
    <w:rsid w:val="00AD4CAA"/>
    <w:rsid w:val="00AD73A9"/>
    <w:rsid w:val="00AF6CB8"/>
    <w:rsid w:val="00B0201E"/>
    <w:rsid w:val="00B03C65"/>
    <w:rsid w:val="00B04880"/>
    <w:rsid w:val="00B16AE8"/>
    <w:rsid w:val="00B3473B"/>
    <w:rsid w:val="00B52C92"/>
    <w:rsid w:val="00B56F42"/>
    <w:rsid w:val="00B60B81"/>
    <w:rsid w:val="00B62D83"/>
    <w:rsid w:val="00B850C7"/>
    <w:rsid w:val="00B9481C"/>
    <w:rsid w:val="00B97703"/>
    <w:rsid w:val="00BC49B6"/>
    <w:rsid w:val="00BD7E7C"/>
    <w:rsid w:val="00BE68FC"/>
    <w:rsid w:val="00BE71F4"/>
    <w:rsid w:val="00BF22DB"/>
    <w:rsid w:val="00C035DB"/>
    <w:rsid w:val="00C13665"/>
    <w:rsid w:val="00C137EA"/>
    <w:rsid w:val="00C26835"/>
    <w:rsid w:val="00C30D30"/>
    <w:rsid w:val="00C35B0B"/>
    <w:rsid w:val="00C459D3"/>
    <w:rsid w:val="00C570AF"/>
    <w:rsid w:val="00C64967"/>
    <w:rsid w:val="00C71EA8"/>
    <w:rsid w:val="00C80558"/>
    <w:rsid w:val="00C827FA"/>
    <w:rsid w:val="00C84B00"/>
    <w:rsid w:val="00C86CB2"/>
    <w:rsid w:val="00C92C2F"/>
    <w:rsid w:val="00C943F4"/>
    <w:rsid w:val="00C97DCC"/>
    <w:rsid w:val="00CA38BC"/>
    <w:rsid w:val="00CD0476"/>
    <w:rsid w:val="00CD05AC"/>
    <w:rsid w:val="00CD6AF0"/>
    <w:rsid w:val="00CE1501"/>
    <w:rsid w:val="00CE37E3"/>
    <w:rsid w:val="00CE390D"/>
    <w:rsid w:val="00CF3F90"/>
    <w:rsid w:val="00CF6087"/>
    <w:rsid w:val="00D17003"/>
    <w:rsid w:val="00D41D38"/>
    <w:rsid w:val="00D45B5F"/>
    <w:rsid w:val="00D465D1"/>
    <w:rsid w:val="00D80910"/>
    <w:rsid w:val="00D93561"/>
    <w:rsid w:val="00DA2386"/>
    <w:rsid w:val="00DD2070"/>
    <w:rsid w:val="00DE53C1"/>
    <w:rsid w:val="00E05FBC"/>
    <w:rsid w:val="00E20CB2"/>
    <w:rsid w:val="00E22B3E"/>
    <w:rsid w:val="00E23E15"/>
    <w:rsid w:val="00E36795"/>
    <w:rsid w:val="00E5551D"/>
    <w:rsid w:val="00E65746"/>
    <w:rsid w:val="00E65968"/>
    <w:rsid w:val="00E674DB"/>
    <w:rsid w:val="00E86CCD"/>
    <w:rsid w:val="00EA40C6"/>
    <w:rsid w:val="00EB0A26"/>
    <w:rsid w:val="00EB22D5"/>
    <w:rsid w:val="00EB2678"/>
    <w:rsid w:val="00EB2AA4"/>
    <w:rsid w:val="00EB3694"/>
    <w:rsid w:val="00ED570A"/>
    <w:rsid w:val="00ED7764"/>
    <w:rsid w:val="00F077F3"/>
    <w:rsid w:val="00F33CC2"/>
    <w:rsid w:val="00F50C15"/>
    <w:rsid w:val="00F54935"/>
    <w:rsid w:val="00F5534C"/>
    <w:rsid w:val="00F72F9A"/>
    <w:rsid w:val="00F87351"/>
    <w:rsid w:val="00FA1EDB"/>
    <w:rsid w:val="00FB6EC3"/>
    <w:rsid w:val="00FB7F3C"/>
    <w:rsid w:val="00FC5D7E"/>
    <w:rsid w:val="00FD2C37"/>
    <w:rsid w:val="00FF70D2"/>
    <w:rsid w:val="063864B6"/>
    <w:rsid w:val="30195AB1"/>
    <w:rsid w:val="35E06FC1"/>
    <w:rsid w:val="476E71D9"/>
    <w:rsid w:val="7D4D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99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nhideWhenUsed="0" w:uiPriority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name="List"/>
    <w:lsdException w:qFormat="1" w:unhideWhenUsed="0" w:uiPriority="0" w:name="List Bullet"/>
    <w:lsdException w:qFormat="1" w:unhideWhenUsed="0" w:uiPriority="0" w:name="List Number"/>
    <w:lsdException w:unhideWhenUsed="0" w:uiPriority="0" w:name="List 2"/>
    <w:lsdException w:qFormat="1" w:unhideWhenUsed="0" w:uiPriority="0" w:name="List 3"/>
    <w:lsdException w:qFormat="1" w:unhideWhenUsed="0" w:uiPriority="0" w:name="List 4"/>
    <w:lsdException w:qFormat="1" w:unhideWhenUsed="0" w:uiPriority="0" w:name="List 5"/>
    <w:lsdException w:qFormat="1" w:unhideWhenUsed="0" w:uiPriority="0" w:name="List Bullet 2"/>
    <w:lsdException w:qFormat="1" w:unhideWhenUsed="0" w:uiPriority="0" w:name="List Bullet 3"/>
    <w:lsdException w:unhideWhenUsed="0" w:uiPriority="0" w:name="List Bullet 4"/>
    <w:lsdException w:unhideWhenUsed="0" w:uiPriority="0" w:name="List Bullet 5"/>
    <w:lsdException w:qFormat="1" w:unhideWhenUsed="0" w:uiPriority="0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 w:eastAsia="Times New Roman" w:cs="Times New Roman"/>
      <w:lang w:val="en-GB" w:eastAsia="ja-JP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hAnsi="Arial" w:eastAsia="Times New Roman" w:cs="Times New Roman"/>
      <w:sz w:val="36"/>
      <w:lang w:val="en-GB" w:eastAsia="ja-JP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6">
    <w:name w:val="Default Paragraph Font"/>
    <w:semiHidden/>
    <w:unhideWhenUsed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semiHidden/>
    <w:qFormat/>
    <w:uiPriority w:val="0"/>
    <w:pPr>
      <w:ind w:left="1135"/>
    </w:pPr>
  </w:style>
  <w:style w:type="paragraph" w:styleId="13">
    <w:name w:val="List 2"/>
    <w:basedOn w:val="14"/>
    <w:semiHidden/>
    <w:uiPriority w:val="0"/>
    <w:pPr>
      <w:ind w:left="851"/>
    </w:pPr>
  </w:style>
  <w:style w:type="paragraph" w:styleId="14">
    <w:name w:val="List"/>
    <w:basedOn w:val="1"/>
    <w:semiHidden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hAnsi="Times New Roman" w:eastAsia="Times New Roman" w:cs="Times New Roman"/>
      <w:sz w:val="22"/>
      <w:lang w:val="en-GB" w:eastAsia="ja-JP" w:bidi="ar-SA"/>
    </w:rPr>
  </w:style>
  <w:style w:type="paragraph" w:styleId="22">
    <w:name w:val="List Number 2"/>
    <w:basedOn w:val="23"/>
    <w:semiHidden/>
    <w:qFormat/>
    <w:uiPriority w:val="0"/>
    <w:pPr>
      <w:ind w:left="851"/>
    </w:pPr>
  </w:style>
  <w:style w:type="paragraph" w:styleId="23">
    <w:name w:val="List Number"/>
    <w:basedOn w:val="14"/>
    <w:semiHidden/>
    <w:qFormat/>
    <w:uiPriority w:val="0"/>
  </w:style>
  <w:style w:type="paragraph" w:styleId="24">
    <w:name w:val="List Bullet 4"/>
    <w:basedOn w:val="25"/>
    <w:semiHidden/>
    <w:uiPriority w:val="0"/>
    <w:pPr>
      <w:ind w:left="1418"/>
    </w:pPr>
  </w:style>
  <w:style w:type="paragraph" w:styleId="25">
    <w:name w:val="List Bullet 3"/>
    <w:basedOn w:val="26"/>
    <w:semiHidden/>
    <w:qFormat/>
    <w:uiPriority w:val="0"/>
    <w:pPr>
      <w:ind w:left="1135"/>
    </w:pPr>
  </w:style>
  <w:style w:type="paragraph" w:styleId="26">
    <w:name w:val="List Bullet 2"/>
    <w:basedOn w:val="27"/>
    <w:semiHidden/>
    <w:qFormat/>
    <w:uiPriority w:val="0"/>
    <w:pPr>
      <w:ind w:left="851"/>
    </w:pPr>
  </w:style>
  <w:style w:type="paragraph" w:styleId="27">
    <w:name w:val="List Bullet"/>
    <w:basedOn w:val="14"/>
    <w:semiHidden/>
    <w:qFormat/>
    <w:uiPriority w:val="0"/>
  </w:style>
  <w:style w:type="paragraph" w:styleId="28">
    <w:name w:val="annotation text"/>
    <w:basedOn w:val="1"/>
    <w:link w:val="98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29">
    <w:name w:val="Body Text"/>
    <w:basedOn w:val="1"/>
    <w:semiHidden/>
    <w:qFormat/>
    <w:uiPriority w:val="0"/>
    <w:rPr>
      <w:rFonts w:ascii="Arial" w:hAnsi="Arial" w:cs="Arial"/>
      <w:color w:val="FF0000"/>
    </w:rPr>
  </w:style>
  <w:style w:type="paragraph" w:styleId="30">
    <w:name w:val="List Bullet 5"/>
    <w:basedOn w:val="24"/>
    <w:semiHidden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link w:val="6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3">
    <w:name w:val="footer"/>
    <w:basedOn w:val="34"/>
    <w:semiHidden/>
    <w:qFormat/>
    <w:uiPriority w:val="0"/>
    <w:pPr>
      <w:jc w:val="center"/>
    </w:pPr>
    <w:rPr>
      <w:i/>
    </w:rPr>
  </w:style>
  <w:style w:type="paragraph" w:styleId="34">
    <w:name w:val="header"/>
    <w:link w:val="61"/>
    <w:qFormat/>
    <w:uiPriority w:val="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eastAsia="Times New Roman" w:cs="Times New Roman"/>
      <w:b/>
      <w:sz w:val="18"/>
      <w:lang w:val="en-GB" w:eastAsia="ja-JP" w:bidi="ar-SA"/>
    </w:rPr>
  </w:style>
  <w:style w:type="paragraph" w:styleId="35">
    <w:name w:val="footnote text"/>
    <w:basedOn w:val="1"/>
    <w:link w:val="65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semiHidden/>
    <w:qFormat/>
    <w:uiPriority w:val="0"/>
    <w:pPr>
      <w:ind w:left="1702"/>
    </w:pPr>
  </w:style>
  <w:style w:type="paragraph" w:styleId="37">
    <w:name w:val="List 4"/>
    <w:basedOn w:val="12"/>
    <w:semiHidden/>
    <w:qFormat/>
    <w:uiPriority w:val="0"/>
    <w:pPr>
      <w:ind w:left="1418"/>
    </w:pPr>
  </w:style>
  <w:style w:type="paragraph" w:styleId="38">
    <w:name w:val="Body Text Indent 3"/>
    <w:basedOn w:val="1"/>
    <w:link w:val="97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39">
    <w:name w:val="toc 9"/>
    <w:basedOn w:val="31"/>
    <w:next w:val="1"/>
    <w:semiHidden/>
    <w:qFormat/>
    <w:uiPriority w:val="0"/>
    <w:pPr>
      <w:ind w:left="1418" w:hanging="1418"/>
    </w:pPr>
  </w:style>
  <w:style w:type="paragraph" w:styleId="40">
    <w:name w:val="Normal (Web)"/>
    <w:basedOn w:val="1"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宋体"/>
      <w:sz w:val="24"/>
      <w:szCs w:val="24"/>
      <w:lang w:val="da-DK" w:eastAsia="da-DK"/>
    </w:r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paragraph" w:styleId="43">
    <w:name w:val="annotation subject"/>
    <w:basedOn w:val="28"/>
    <w:next w:val="28"/>
    <w:link w:val="99"/>
    <w:semiHidden/>
    <w:unhideWhenUsed/>
    <w:qFormat/>
    <w:uiPriority w:val="99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table" w:styleId="45">
    <w:name w:val="Table Grid"/>
    <w:basedOn w:val="4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page number"/>
    <w:basedOn w:val="46"/>
    <w:semiHidden/>
    <w:qFormat/>
    <w:uiPriority w:val="0"/>
  </w:style>
  <w:style w:type="character" w:styleId="48">
    <w:name w:val="Emphasis"/>
    <w:qFormat/>
    <w:uiPriority w:val="20"/>
    <w:rPr>
      <w:i/>
      <w:iCs/>
    </w:rPr>
  </w:style>
  <w:style w:type="character" w:styleId="49">
    <w:name w:val="Hyperlink"/>
    <w:unhideWhenUsed/>
    <w:qFormat/>
    <w:uiPriority w:val="99"/>
    <w:rPr>
      <w:color w:val="0000FF"/>
      <w:u w:val="single"/>
    </w:rPr>
  </w:style>
  <w:style w:type="character" w:styleId="50">
    <w:name w:val="annotation reference"/>
    <w:semiHidden/>
    <w:qFormat/>
    <w:uiPriority w:val="0"/>
    <w:rPr>
      <w:sz w:val="16"/>
    </w:rPr>
  </w:style>
  <w:style w:type="character" w:styleId="51">
    <w:name w:val="footnote reference"/>
    <w:basedOn w:val="46"/>
    <w:semiHidden/>
    <w:qFormat/>
    <w:uiPriority w:val="0"/>
    <w:rPr>
      <w:b/>
      <w:position w:val="6"/>
      <w:sz w:val="16"/>
    </w:rPr>
  </w:style>
  <w:style w:type="paragraph" w:customStyle="1" w:styleId="52">
    <w:name w:val="B1"/>
    <w:basedOn w:val="14"/>
    <w:qFormat/>
    <w:uiPriority w:val="0"/>
  </w:style>
  <w:style w:type="paragraph" w:customStyle="1" w:styleId="53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54">
    <w:name w:val="??"/>
    <w:qFormat/>
    <w:uiPriority w:val="0"/>
    <w:pPr>
      <w:widowControl w:val="0"/>
      <w:spacing w:after="160" w:line="259" w:lineRule="auto"/>
    </w:pPr>
    <w:rPr>
      <w:rFonts w:ascii="Times New Roman" w:hAnsi="Times New Roman" w:eastAsia="等线" w:cs="Times New Roman"/>
      <w:lang w:val="en-US" w:eastAsia="en-US" w:bidi="ar-SA"/>
    </w:rPr>
  </w:style>
  <w:style w:type="paragraph" w:customStyle="1" w:styleId="55">
    <w:name w:val="??? 2"/>
    <w:basedOn w:val="54"/>
    <w:next w:val="54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56">
    <w:name w:val="DECISION"/>
    <w:basedOn w:val="1"/>
    <w:qFormat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57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58">
    <w:name w:val="done"/>
    <w:basedOn w:val="57"/>
    <w:qFormat/>
    <w:uiPriority w:val="0"/>
    <w:pPr>
      <w:numPr>
        <w:numId w:val="3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</w:tabs>
      <w:ind w:left="340" w:hanging="340"/>
    </w:pPr>
    <w:rPr>
      <w:color w:val="008000"/>
    </w:rPr>
  </w:style>
  <w:style w:type="paragraph" w:customStyle="1" w:styleId="59">
    <w:name w:val="Not Done"/>
    <w:basedOn w:val="58"/>
    <w:qFormat/>
    <w:uiPriority w:val="0"/>
    <w:pPr>
      <w:numPr>
        <w:numId w:val="4"/>
      </w:numPr>
      <w:tabs>
        <w:tab w:val="left" w:pos="0"/>
      </w:tabs>
    </w:pPr>
    <w:rPr>
      <w:color w:val="FF0000"/>
    </w:rPr>
  </w:style>
  <w:style w:type="character" w:customStyle="1" w:styleId="60">
    <w:name w:val="Balloon Text Char"/>
    <w:link w:val="32"/>
    <w:semiHidden/>
    <w:qFormat/>
    <w:uiPriority w:val="99"/>
    <w:rPr>
      <w:rFonts w:ascii="Tahoma" w:hAnsi="Tahoma" w:cs="Tahoma"/>
      <w:sz w:val="16"/>
      <w:szCs w:val="16"/>
      <w:lang w:val="en-GB"/>
    </w:rPr>
  </w:style>
  <w:style w:type="character" w:customStyle="1" w:styleId="61">
    <w:name w:val="Header Char"/>
    <w:link w:val="34"/>
    <w:qFormat/>
    <w:uiPriority w:val="0"/>
    <w:rPr>
      <w:rFonts w:ascii="Arial" w:hAnsi="Arial" w:eastAsia="Times New Roman"/>
      <w:b/>
      <w:sz w:val="18"/>
      <w:lang w:val="en-GB" w:eastAsia="ja-JP"/>
    </w:rPr>
  </w:style>
  <w:style w:type="paragraph" w:customStyle="1" w:styleId="62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ja-JP" w:bidi="ar-SA"/>
    </w:rPr>
  </w:style>
  <w:style w:type="paragraph" w:customStyle="1" w:styleId="63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64">
    <w:name w:val="TT"/>
    <w:basedOn w:val="2"/>
    <w:next w:val="1"/>
    <w:uiPriority w:val="0"/>
    <w:pPr>
      <w:outlineLvl w:val="9"/>
    </w:pPr>
  </w:style>
  <w:style w:type="character" w:customStyle="1" w:styleId="65">
    <w:name w:val="Footnote Text Char"/>
    <w:link w:val="35"/>
    <w:semiHidden/>
    <w:qFormat/>
    <w:uiPriority w:val="0"/>
    <w:rPr>
      <w:rFonts w:eastAsia="Times New Roman"/>
      <w:sz w:val="16"/>
      <w:lang w:val="en-GB" w:eastAsia="ja-JP"/>
    </w:rPr>
  </w:style>
  <w:style w:type="paragraph" w:customStyle="1" w:styleId="66">
    <w:name w:val="TAH"/>
    <w:basedOn w:val="67"/>
    <w:qFormat/>
    <w:uiPriority w:val="0"/>
    <w:rPr>
      <w:b/>
    </w:rPr>
  </w:style>
  <w:style w:type="paragraph" w:customStyle="1" w:styleId="67">
    <w:name w:val="TAC"/>
    <w:basedOn w:val="68"/>
    <w:qFormat/>
    <w:uiPriority w:val="0"/>
    <w:pPr>
      <w:jc w:val="center"/>
    </w:pPr>
  </w:style>
  <w:style w:type="paragraph" w:customStyle="1" w:styleId="68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9">
    <w:name w:val="TF"/>
    <w:basedOn w:val="70"/>
    <w:qFormat/>
    <w:uiPriority w:val="0"/>
    <w:pPr>
      <w:keepNext w:val="0"/>
      <w:spacing w:before="0" w:after="240"/>
    </w:pPr>
  </w:style>
  <w:style w:type="paragraph" w:customStyle="1" w:styleId="70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71">
    <w:name w:val="NO"/>
    <w:basedOn w:val="1"/>
    <w:qFormat/>
    <w:uiPriority w:val="0"/>
    <w:pPr>
      <w:keepLines/>
      <w:ind w:left="1135" w:hanging="851"/>
    </w:pPr>
  </w:style>
  <w:style w:type="paragraph" w:customStyle="1" w:styleId="72">
    <w:name w:val="EX"/>
    <w:basedOn w:val="1"/>
    <w:qFormat/>
    <w:uiPriority w:val="0"/>
    <w:pPr>
      <w:keepLines/>
      <w:ind w:left="1702" w:hanging="1418"/>
    </w:pPr>
  </w:style>
  <w:style w:type="paragraph" w:customStyle="1" w:styleId="73">
    <w:name w:val="FP"/>
    <w:basedOn w:val="1"/>
    <w:qFormat/>
    <w:uiPriority w:val="0"/>
    <w:pPr>
      <w:spacing w:after="0"/>
    </w:pPr>
  </w:style>
  <w:style w:type="paragraph" w:customStyle="1" w:styleId="74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hAnsi="Courier New" w:eastAsia="Times New Roman" w:cs="Times New Roman"/>
      <w:lang w:val="en-GB" w:eastAsia="ja-JP" w:bidi="ar-SA"/>
    </w:rPr>
  </w:style>
  <w:style w:type="paragraph" w:customStyle="1" w:styleId="75">
    <w:name w:val="NW"/>
    <w:basedOn w:val="71"/>
    <w:qFormat/>
    <w:uiPriority w:val="0"/>
    <w:pPr>
      <w:spacing w:after="0"/>
    </w:pPr>
  </w:style>
  <w:style w:type="paragraph" w:customStyle="1" w:styleId="76">
    <w:name w:val="EW"/>
    <w:basedOn w:val="72"/>
    <w:qFormat/>
    <w:uiPriority w:val="0"/>
    <w:pPr>
      <w:spacing w:after="0"/>
    </w:pPr>
  </w:style>
  <w:style w:type="paragraph" w:customStyle="1" w:styleId="77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8">
    <w:name w:val="NF"/>
    <w:basedOn w:val="71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9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 w:eastAsia="Times New Roman" w:cs="Times New Roman"/>
      <w:sz w:val="16"/>
      <w:lang w:val="en-GB" w:eastAsia="ja-JP" w:bidi="ar-SA"/>
    </w:rPr>
  </w:style>
  <w:style w:type="paragraph" w:customStyle="1" w:styleId="80">
    <w:name w:val="TAR"/>
    <w:basedOn w:val="68"/>
    <w:qFormat/>
    <w:uiPriority w:val="0"/>
    <w:pPr>
      <w:jc w:val="right"/>
    </w:pPr>
  </w:style>
  <w:style w:type="paragraph" w:customStyle="1" w:styleId="81">
    <w:name w:val="TAN"/>
    <w:basedOn w:val="68"/>
    <w:qFormat/>
    <w:uiPriority w:val="0"/>
    <w:pPr>
      <w:ind w:left="851" w:hanging="851"/>
    </w:pPr>
  </w:style>
  <w:style w:type="paragraph" w:customStyle="1" w:styleId="82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hAnsi="Arial" w:eastAsia="Times New Roman" w:cs="Times New Roman"/>
      <w:sz w:val="40"/>
      <w:lang w:val="en-GB" w:eastAsia="ja-JP" w:bidi="ar-SA"/>
    </w:rPr>
  </w:style>
  <w:style w:type="paragraph" w:customStyle="1" w:styleId="83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hAnsi="Arial" w:eastAsia="Times New Roman" w:cs="Times New Roman"/>
      <w:i/>
      <w:lang w:val="en-GB" w:eastAsia="ja-JP" w:bidi="ar-SA"/>
    </w:rPr>
  </w:style>
  <w:style w:type="paragraph" w:customStyle="1" w:styleId="84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eastAsia="Times New Roman" w:cs="Times New Roman"/>
      <w:sz w:val="32"/>
      <w:lang w:val="en-GB" w:eastAsia="ja-JP" w:bidi="ar-SA"/>
    </w:rPr>
  </w:style>
  <w:style w:type="paragraph" w:customStyle="1" w:styleId="85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86">
    <w:name w:val="ZV"/>
    <w:basedOn w:val="85"/>
    <w:qFormat/>
    <w:uiPriority w:val="0"/>
    <w:pPr>
      <w:framePr w:y="16161"/>
    </w:pPr>
  </w:style>
  <w:style w:type="character" w:customStyle="1" w:styleId="87">
    <w:name w:val="ZGSM"/>
    <w:qFormat/>
    <w:uiPriority w:val="0"/>
  </w:style>
  <w:style w:type="paragraph" w:customStyle="1" w:styleId="88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89">
    <w:name w:val="Editor's Note"/>
    <w:basedOn w:val="71"/>
    <w:qFormat/>
    <w:uiPriority w:val="0"/>
    <w:rPr>
      <w:color w:val="FF0000"/>
    </w:rPr>
  </w:style>
  <w:style w:type="paragraph" w:customStyle="1" w:styleId="90">
    <w:name w:val="B2"/>
    <w:basedOn w:val="13"/>
    <w:qFormat/>
    <w:uiPriority w:val="0"/>
  </w:style>
  <w:style w:type="paragraph" w:customStyle="1" w:styleId="91">
    <w:name w:val="B3"/>
    <w:basedOn w:val="12"/>
    <w:qFormat/>
    <w:uiPriority w:val="0"/>
  </w:style>
  <w:style w:type="paragraph" w:customStyle="1" w:styleId="92">
    <w:name w:val="B4"/>
    <w:basedOn w:val="37"/>
    <w:qFormat/>
    <w:uiPriority w:val="0"/>
  </w:style>
  <w:style w:type="paragraph" w:customStyle="1" w:styleId="93">
    <w:name w:val="B5"/>
    <w:basedOn w:val="36"/>
    <w:qFormat/>
    <w:uiPriority w:val="0"/>
  </w:style>
  <w:style w:type="paragraph" w:customStyle="1" w:styleId="94">
    <w:name w:val="ZTD"/>
    <w:basedOn w:val="83"/>
    <w:qFormat/>
    <w:uiPriority w:val="0"/>
    <w:pPr>
      <w:framePr w:hRule="auto" w:y="852"/>
    </w:pPr>
    <w:rPr>
      <w:i w:val="0"/>
      <w:sz w:val="40"/>
    </w:rPr>
  </w:style>
  <w:style w:type="character" w:customStyle="1" w:styleId="95">
    <w:name w:val="List Paragraph Char"/>
    <w:link w:val="96"/>
    <w:qFormat/>
    <w:locked/>
    <w:uiPriority w:val="34"/>
    <w:rPr>
      <w:rFonts w:ascii="Tahoma" w:hAnsi="Tahoma" w:eastAsia="微软雅黑"/>
      <w:sz w:val="22"/>
      <w:szCs w:val="22"/>
    </w:rPr>
  </w:style>
  <w:style w:type="paragraph" w:styleId="96">
    <w:name w:val="List Paragraph"/>
    <w:basedOn w:val="1"/>
    <w:link w:val="95"/>
    <w:qFormat/>
    <w:uiPriority w:val="34"/>
    <w:pPr>
      <w:overflowPunct/>
      <w:autoSpaceDE/>
      <w:autoSpaceDN/>
      <w:snapToGrid w:val="0"/>
      <w:spacing w:after="200"/>
      <w:ind w:firstLine="420" w:firstLineChars="200"/>
      <w:textAlignment w:val="auto"/>
    </w:pPr>
    <w:rPr>
      <w:rFonts w:ascii="Tahoma" w:hAnsi="Tahoma" w:eastAsia="微软雅黑"/>
      <w:sz w:val="22"/>
      <w:szCs w:val="22"/>
    </w:rPr>
  </w:style>
  <w:style w:type="character" w:customStyle="1" w:styleId="97">
    <w:name w:val="Body Text Indent 3 Char"/>
    <w:link w:val="38"/>
    <w:qFormat/>
    <w:uiPriority w:val="0"/>
    <w:rPr>
      <w:sz w:val="16"/>
      <w:szCs w:val="16"/>
    </w:rPr>
  </w:style>
  <w:style w:type="character" w:customStyle="1" w:styleId="98">
    <w:name w:val="Comment Text Char"/>
    <w:basedOn w:val="46"/>
    <w:link w:val="28"/>
    <w:semiHidden/>
    <w:qFormat/>
    <w:uiPriority w:val="0"/>
    <w:rPr>
      <w:rFonts w:ascii="Arial" w:hAnsi="Arial"/>
      <w:lang w:val="en-GB" w:eastAsia="en-GB"/>
    </w:rPr>
  </w:style>
  <w:style w:type="character" w:customStyle="1" w:styleId="99">
    <w:name w:val="Comment Subject Char"/>
    <w:basedOn w:val="98"/>
    <w:link w:val="43"/>
    <w:semiHidden/>
    <w:qFormat/>
    <w:uiPriority w:val="99"/>
    <w:rPr>
      <w:rFonts w:ascii="Arial" w:hAnsi="Arial"/>
      <w:b/>
      <w:bCs/>
      <w:lang w:val="en-GB" w:eastAsia="en-GB"/>
    </w:rPr>
  </w:style>
  <w:style w:type="paragraph" w:customStyle="1" w:styleId="100">
    <w:name w:val="Revision"/>
    <w:hidden/>
    <w:semiHidden/>
    <w:qFormat/>
    <w:uiPriority w:val="99"/>
    <w:pPr>
      <w:spacing w:after="0" w:line="240" w:lineRule="auto"/>
    </w:pPr>
    <w:rPr>
      <w:rFonts w:ascii="Times New Roman" w:hAnsi="Times New Roman" w:eastAsia="等线" w:cs="Times New Roman"/>
      <w:lang w:val="en-GB" w:eastAsia="en-GB" w:bidi="ar-SA"/>
    </w:rPr>
  </w:style>
  <w:style w:type="character" w:customStyle="1" w:styleId="101">
    <w:name w:val="CR Cover Page Zchn"/>
    <w:link w:val="102"/>
    <w:qFormat/>
    <w:locked/>
    <w:uiPriority w:val="0"/>
    <w:rPr>
      <w:rFonts w:ascii="Arial" w:hAnsi="Arial" w:cs="Arial"/>
    </w:rPr>
  </w:style>
  <w:style w:type="paragraph" w:customStyle="1" w:styleId="102">
    <w:name w:val="CR Cover Page"/>
    <w:link w:val="101"/>
    <w:qFormat/>
    <w:uiPriority w:val="0"/>
    <w:pPr>
      <w:spacing w:after="120" w:line="240" w:lineRule="auto"/>
    </w:pPr>
    <w:rPr>
      <w:rFonts w:ascii="Arial" w:hAnsi="Arial" w:eastAsia="等线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ETSI Sophia Antipolis</Company>
  <Pages>2</Pages>
  <Words>456</Words>
  <Characters>2602</Characters>
  <Lines>21</Lines>
  <Paragraphs>6</Paragraphs>
  <TotalTime>0</TotalTime>
  <ScaleCrop>false</ScaleCrop>
  <LinksUpToDate>false</LinksUpToDate>
  <CharactersWithSpaces>3052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2021-08-22T13:26:00Z</dcterms:created>
  <dc:creator>ZTE</dc:creator>
  <cp:lastModifiedBy>ZTE</cp:lastModifiedBy>
  <cp:lastPrinted>2021-05-27T01:53:00Z</cp:lastPrinted>
  <dcterms:modified xsi:type="dcterms:W3CDTF">2021-08-23T07:22:47Z</dcterms:modified>
  <dc:title>LS template for N3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2052-11.8.2.9022</vt:lpwstr>
  </property>
  <property fmtid="{D5CDD505-2E9C-101B-9397-08002B2CF9AE}" pid="4" name="NSCPROP_SA">
    <vt:lpwstr>D:\Work\3GPP\RAN3\RAN3#112e(202105)\Inbox\Drafts\CB # 37_IAB_InterDonorMigrationDetails\Phase2\LS\DraftR3-212880_LS_InterMig_v1.docx</vt:lpwstr>
  </property>
</Properties>
</file>