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w:t>
      </w:r>
      <w:proofErr w:type="gramStart"/>
      <w:r w:rsidRPr="00E14330">
        <w:t>036][</w:t>
      </w:r>
      <w:proofErr w:type="gramEnd"/>
      <w:r w:rsidRPr="00E14330">
        <w:t>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4B716A">
            <w:pPr>
              <w:rPr>
                <w:rFonts w:eastAsia="SimSun"/>
                <w:lang w:eastAsia="zh-CN"/>
              </w:rPr>
            </w:pPr>
            <w:r>
              <w:rPr>
                <w:rFonts w:eastAsia="SimSun"/>
                <w:lang w:eastAsia="zh-CN"/>
              </w:rPr>
              <w:t>Company</w:t>
            </w:r>
          </w:p>
        </w:tc>
        <w:tc>
          <w:tcPr>
            <w:tcW w:w="2902" w:type="dxa"/>
          </w:tcPr>
          <w:p w14:paraId="366009B3" w14:textId="77777777" w:rsidR="009B2A9E" w:rsidRDefault="009B2A9E" w:rsidP="004B716A">
            <w:pPr>
              <w:rPr>
                <w:rFonts w:cs="Arial"/>
              </w:rPr>
            </w:pPr>
            <w:r>
              <w:rPr>
                <w:rFonts w:cs="Arial"/>
              </w:rPr>
              <w:t>Name</w:t>
            </w:r>
          </w:p>
        </w:tc>
        <w:tc>
          <w:tcPr>
            <w:tcW w:w="3544" w:type="dxa"/>
          </w:tcPr>
          <w:p w14:paraId="1D60F517" w14:textId="77777777" w:rsidR="009B2A9E" w:rsidRDefault="009B2A9E" w:rsidP="004B716A">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4B716A">
            <w:r>
              <w:t>MediaTek Inc.</w:t>
            </w:r>
          </w:p>
        </w:tc>
        <w:tc>
          <w:tcPr>
            <w:tcW w:w="2902" w:type="dxa"/>
          </w:tcPr>
          <w:p w14:paraId="75D2DDA7" w14:textId="5EDE0FD4" w:rsidR="009B2A9E" w:rsidRDefault="0049607E" w:rsidP="004B716A">
            <w:r>
              <w:t>Abhishek Roy</w:t>
            </w:r>
          </w:p>
        </w:tc>
        <w:tc>
          <w:tcPr>
            <w:tcW w:w="3544" w:type="dxa"/>
          </w:tcPr>
          <w:p w14:paraId="358E43CF" w14:textId="081219CD" w:rsidR="009B2A9E" w:rsidRDefault="0049607E" w:rsidP="004B716A">
            <w:r>
              <w:t>Abhishek.Roy@mediatek.com</w:t>
            </w:r>
          </w:p>
        </w:tc>
      </w:tr>
      <w:tr w:rsidR="009B2A9E" w14:paraId="62474541" w14:textId="77777777" w:rsidTr="00B875FA">
        <w:tc>
          <w:tcPr>
            <w:tcW w:w="2904" w:type="dxa"/>
          </w:tcPr>
          <w:p w14:paraId="0BA70D50" w14:textId="4F2C0B2A" w:rsidR="009B2A9E" w:rsidRDefault="007A28EE" w:rsidP="004B716A">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4B716A">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544" w:type="dxa"/>
          </w:tcPr>
          <w:p w14:paraId="33B136F8" w14:textId="6DD61E5A" w:rsidR="0089364D" w:rsidRDefault="001A60A2" w:rsidP="004B716A">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4B716A">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4B716A">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4B716A">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proofErr w:type="spellStart"/>
            <w:proofErr w:type="gramStart"/>
            <w:r>
              <w:rPr>
                <w:rFonts w:eastAsia="SimSun" w:cs="Arial"/>
                <w:lang w:eastAsia="zh-CN"/>
              </w:rPr>
              <w:t>odile.rollinger</w:t>
            </w:r>
            <w:proofErr w:type="gramEnd"/>
            <w:r>
              <w:rPr>
                <w:rFonts w:eastAsia="SimSun" w:cs="Arial"/>
                <w:lang w:eastAsia="zh-CN"/>
              </w:rPr>
              <w:t>@huawei,com</w:t>
            </w:r>
            <w:proofErr w:type="spellEnd"/>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0273DE">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0273DE">
            <w:pPr>
              <w:rPr>
                <w:rFonts w:eastAsia="SimSun" w:cs="Arial"/>
                <w:lang w:eastAsia="zh-CN"/>
              </w:rPr>
            </w:pPr>
            <w:proofErr w:type="spellStart"/>
            <w:r>
              <w:rPr>
                <w:rFonts w:eastAsia="SimSun" w:cs="Arial" w:hint="eastAsia"/>
                <w:lang w:eastAsia="zh-CN"/>
              </w:rPr>
              <w:t>Haitao</w:t>
            </w:r>
            <w:proofErr w:type="spellEnd"/>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0273DE">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 xml:space="preserve">Nicolas </w:t>
            </w:r>
            <w:proofErr w:type="spellStart"/>
            <w:r>
              <w:rPr>
                <w:rFonts w:eastAsia="SimSun" w:cs="Arial"/>
                <w:lang w:eastAsia="zh-CN"/>
              </w:rPr>
              <w:t>Chuberre</w:t>
            </w:r>
            <w:proofErr w:type="spellEnd"/>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proofErr w:type="spellStart"/>
            <w:r>
              <w:rPr>
                <w:rFonts w:eastAsia="SimSun"/>
                <w:lang w:val="de-DE" w:eastAsia="zh-CN"/>
              </w:rPr>
              <w:t>Pankaj</w:t>
            </w:r>
            <w:proofErr w:type="spellEnd"/>
            <w:r>
              <w:rPr>
                <w:rFonts w:eastAsia="SimSun"/>
                <w:lang w:val="de-DE" w:eastAsia="zh-CN"/>
              </w:rPr>
              <w:t xml:space="preserve"> </w:t>
            </w:r>
            <w:proofErr w:type="spellStart"/>
            <w:r>
              <w:rPr>
                <w:rFonts w:eastAsia="SimSun"/>
                <w:lang w:val="de-DE" w:eastAsia="zh-CN"/>
              </w:rPr>
              <w:t>Shete</w:t>
            </w:r>
            <w:proofErr w:type="spellEnd"/>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14:paraId="7010DD88" w14:textId="77777777" w:rsidTr="00B875FA">
        <w:tc>
          <w:tcPr>
            <w:tcW w:w="2904" w:type="dxa"/>
          </w:tcPr>
          <w:p w14:paraId="2D0D28AE" w14:textId="5CD41494" w:rsidR="00BC373A" w:rsidRDefault="00BC373A" w:rsidP="00B875FA">
            <w:pPr>
              <w:rPr>
                <w:rFonts w:eastAsia="SimSun"/>
                <w:lang w:val="de-DE" w:eastAsia="zh-CN"/>
              </w:rPr>
            </w:pPr>
            <w:proofErr w:type="spellStart"/>
            <w:r>
              <w:rPr>
                <w:rFonts w:eastAsia="SimSun"/>
                <w:lang w:val="de-DE" w:eastAsia="zh-CN"/>
              </w:rPr>
              <w:t>Gatehouse</w:t>
            </w:r>
            <w:proofErr w:type="spellEnd"/>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14:paraId="36D055DD" w14:textId="77777777" w:rsidTr="00B875FA">
        <w:tc>
          <w:tcPr>
            <w:tcW w:w="2904" w:type="dxa"/>
          </w:tcPr>
          <w:p w14:paraId="5DCC24B1" w14:textId="77777777" w:rsidR="005B6752" w:rsidRDefault="005B6752" w:rsidP="00B875FA">
            <w:pPr>
              <w:rPr>
                <w:rFonts w:eastAsia="SimSun"/>
                <w:lang w:val="de-DE" w:eastAsia="zh-CN"/>
              </w:rPr>
            </w:pPr>
          </w:p>
        </w:tc>
        <w:tc>
          <w:tcPr>
            <w:tcW w:w="2902" w:type="dxa"/>
          </w:tcPr>
          <w:p w14:paraId="7BA88C6A" w14:textId="77777777" w:rsidR="005B6752" w:rsidRDefault="005B6752" w:rsidP="00B875FA">
            <w:pPr>
              <w:rPr>
                <w:rFonts w:eastAsia="SimSun"/>
                <w:lang w:val="de-DE" w:eastAsia="zh-CN"/>
              </w:rPr>
            </w:pPr>
          </w:p>
        </w:tc>
        <w:tc>
          <w:tcPr>
            <w:tcW w:w="3544" w:type="dxa"/>
          </w:tcPr>
          <w:p w14:paraId="0C1FB0DA" w14:textId="77777777" w:rsidR="005B6752" w:rsidRDefault="005B6752" w:rsidP="00B875FA">
            <w:pPr>
              <w:rPr>
                <w:rFonts w:eastAsia="SimSun"/>
                <w:lang w:val="de-DE"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proofErr w:type="gramStart"/>
      <w:r w:rsidR="00583776">
        <w:t>Non C</w:t>
      </w:r>
      <w:r w:rsidR="009A2F14">
        <w:t>ontinuous</w:t>
      </w:r>
      <w:proofErr w:type="gramEnd"/>
      <w:r w:rsidR="009A2F14">
        <w:t xml:space="preserve">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w:t>
            </w:r>
            <w:proofErr w:type="gramStart"/>
            <w:r w:rsidRPr="00583776">
              <w:rPr>
                <w:rFonts w:ascii="Arial" w:hAnsi="Arial" w:cs="Arial"/>
              </w:rPr>
              <w:t>taken into account</w:t>
            </w:r>
            <w:proofErr w:type="gramEnd"/>
            <w:r w:rsidRPr="00583776">
              <w:rPr>
                <w:rFonts w:ascii="Arial" w:hAnsi="Arial" w:cs="Arial"/>
              </w:rPr>
              <w:t xml:space="preserve">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w:t>
            </w:r>
            <w:proofErr w:type="gramStart"/>
            <w:r w:rsidRPr="00583776">
              <w:rPr>
                <w:rFonts w:ascii="Arial" w:hAnsi="Arial" w:cs="Arial"/>
              </w:rPr>
              <w:t>no</w:t>
            </w:r>
            <w:proofErr w:type="gramEnd"/>
            <w:r w:rsidRPr="00583776">
              <w:rPr>
                <w:rFonts w:ascii="Arial" w:hAnsi="Arial" w:cs="Arial"/>
              </w:rPr>
              <w:t xml:space="preserve">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DengXian"/>
              </w:rPr>
              <w:lastRenderedPageBreak/>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DengXian"/>
              </w:rPr>
            </w:pPr>
            <w:r>
              <w:rPr>
                <w:rFonts w:eastAsia="DengXian"/>
              </w:rPr>
              <w:t>OPPO</w:t>
            </w:r>
          </w:p>
        </w:tc>
        <w:tc>
          <w:tcPr>
            <w:tcW w:w="2009" w:type="dxa"/>
            <w:shd w:val="clear" w:color="auto" w:fill="auto"/>
          </w:tcPr>
          <w:p w14:paraId="3E874E6C" w14:textId="77777777" w:rsidR="00F85E94" w:rsidRPr="0040498B" w:rsidRDefault="00F85E94" w:rsidP="000273DE">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0273DE">
            <w:pPr>
              <w:rPr>
                <w:rFonts w:eastAsia="DengXian"/>
              </w:rPr>
            </w:pPr>
            <w:r>
              <w:rPr>
                <w:rFonts w:eastAsia="DengXian"/>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w:t>
            </w:r>
            <w:proofErr w:type="gramStart"/>
            <w:r>
              <w:rPr>
                <w:lang w:eastAsia="sv-SE"/>
              </w:rPr>
              <w:t>mode ,</w:t>
            </w:r>
            <w:proofErr w:type="gramEnd"/>
            <w:r>
              <w:rPr>
                <w:lang w:eastAsia="sv-SE"/>
              </w:rPr>
              <w:t xml:space="preserve">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6F3C4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997B66" w14:paraId="4C2635B2" w14:textId="77777777" w:rsidTr="006F3C46">
        <w:tc>
          <w:tcPr>
            <w:tcW w:w="1496" w:type="dxa"/>
            <w:shd w:val="clear" w:color="auto" w:fill="auto"/>
          </w:tcPr>
          <w:p w14:paraId="2031F371" w14:textId="77777777" w:rsidR="00997B66" w:rsidRPr="0040498B" w:rsidRDefault="00997B66" w:rsidP="002B262A">
            <w:pPr>
              <w:rPr>
                <w:rFonts w:eastAsia="DengXian"/>
              </w:rPr>
            </w:pPr>
          </w:p>
        </w:tc>
        <w:tc>
          <w:tcPr>
            <w:tcW w:w="2009" w:type="dxa"/>
            <w:shd w:val="clear" w:color="auto" w:fill="auto"/>
          </w:tcPr>
          <w:p w14:paraId="37550301" w14:textId="77777777" w:rsidR="00997B66" w:rsidRDefault="00997B66" w:rsidP="002B262A">
            <w:pPr>
              <w:rPr>
                <w:lang w:eastAsia="sv-SE"/>
              </w:rPr>
            </w:pPr>
          </w:p>
        </w:tc>
        <w:tc>
          <w:tcPr>
            <w:tcW w:w="6210" w:type="dxa"/>
            <w:shd w:val="clear" w:color="auto" w:fill="auto"/>
          </w:tcPr>
          <w:p w14:paraId="536105BE" w14:textId="77777777" w:rsidR="00997B66" w:rsidRDefault="00997B66"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DengXian"/>
              </w:rPr>
            </w:pPr>
            <w:r>
              <w:rPr>
                <w:rFonts w:eastAsia="DengXian"/>
              </w:rPr>
              <w:lastRenderedPageBreak/>
              <w:t>OPPO</w:t>
            </w:r>
          </w:p>
        </w:tc>
        <w:tc>
          <w:tcPr>
            <w:tcW w:w="2009" w:type="dxa"/>
            <w:shd w:val="clear" w:color="auto" w:fill="auto"/>
          </w:tcPr>
          <w:p w14:paraId="60E498CE" w14:textId="77777777" w:rsidR="00F85E94" w:rsidRPr="0040498B" w:rsidRDefault="00F85E94" w:rsidP="000273DE">
            <w:pPr>
              <w:rPr>
                <w:rFonts w:eastAsia="DengXian"/>
              </w:rPr>
            </w:pPr>
            <w:r>
              <w:rPr>
                <w:rFonts w:eastAsia="DengXian"/>
              </w:rPr>
              <w:t>Yes</w:t>
            </w:r>
          </w:p>
        </w:tc>
        <w:tc>
          <w:tcPr>
            <w:tcW w:w="6210" w:type="dxa"/>
            <w:shd w:val="clear" w:color="auto" w:fill="auto"/>
          </w:tcPr>
          <w:p w14:paraId="3CC705E1" w14:textId="42E4BCB3" w:rsidR="00F85E94" w:rsidRPr="0040498B" w:rsidRDefault="00F85E94" w:rsidP="000273DE">
            <w:pPr>
              <w:rPr>
                <w:rFonts w:eastAsia="DengXian"/>
              </w:rPr>
            </w:pPr>
            <w:r>
              <w:rPr>
                <w:rFonts w:eastAsia="DengXian"/>
              </w:rPr>
              <w:t xml:space="preserve">According to satellite assistance information, UE can predict the out-of-coverage area </w:t>
            </w:r>
            <w:proofErr w:type="gramStart"/>
            <w:r>
              <w:rPr>
                <w:rFonts w:eastAsia="DengXian"/>
              </w:rPr>
              <w:t>in order to</w:t>
            </w:r>
            <w:proofErr w:type="gramEnd"/>
            <w:r>
              <w:rPr>
                <w:rFonts w:eastAsia="DengXian"/>
              </w:rPr>
              <w:t xml:space="preserve">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6F3C4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involve in calculating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w:t>
            </w:r>
          </w:p>
        </w:tc>
      </w:tr>
      <w:tr w:rsidR="00997B66" w14:paraId="2ED3E9FC" w14:textId="77777777" w:rsidTr="006F3C4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6F3C4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6F3C46">
        <w:tc>
          <w:tcPr>
            <w:tcW w:w="1496" w:type="dxa"/>
            <w:shd w:val="clear" w:color="auto" w:fill="auto"/>
          </w:tcPr>
          <w:p w14:paraId="3EE6D4A7" w14:textId="77777777" w:rsidR="00997B66" w:rsidRPr="0040498B" w:rsidRDefault="00997B66" w:rsidP="002B262A">
            <w:pPr>
              <w:rPr>
                <w:rFonts w:eastAsia="DengXian"/>
              </w:rPr>
            </w:pPr>
          </w:p>
        </w:tc>
        <w:tc>
          <w:tcPr>
            <w:tcW w:w="2009" w:type="dxa"/>
            <w:shd w:val="clear" w:color="auto" w:fill="auto"/>
          </w:tcPr>
          <w:p w14:paraId="3878D5D2" w14:textId="77777777" w:rsidR="00997B66" w:rsidRDefault="00997B66" w:rsidP="002B262A">
            <w:pPr>
              <w:rPr>
                <w:lang w:eastAsia="sv-SE"/>
              </w:rPr>
            </w:pPr>
          </w:p>
        </w:tc>
        <w:tc>
          <w:tcPr>
            <w:tcW w:w="6210" w:type="dxa"/>
            <w:shd w:val="clear" w:color="auto" w:fill="auto"/>
          </w:tcPr>
          <w:p w14:paraId="0EAFBA40" w14:textId="77777777" w:rsidR="00997B66" w:rsidRDefault="00997B66" w:rsidP="002B262A">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lastRenderedPageBreak/>
              <w:t>CATT</w:t>
            </w:r>
          </w:p>
        </w:tc>
        <w:tc>
          <w:tcPr>
            <w:tcW w:w="2009" w:type="dxa"/>
            <w:shd w:val="clear" w:color="auto" w:fill="auto"/>
          </w:tcPr>
          <w:p w14:paraId="68881C79" w14:textId="0C4DA81C" w:rsidR="00997B66" w:rsidRDefault="00997B66" w:rsidP="002B262A">
            <w:pPr>
              <w:rPr>
                <w:lang w:eastAsia="zh-CN"/>
              </w:rPr>
            </w:pPr>
            <w:proofErr w:type="gramStart"/>
            <w:r>
              <w:rPr>
                <w:rFonts w:eastAsia="DengXian"/>
              </w:rPr>
              <w:t>Yes</w:t>
            </w:r>
            <w:proofErr w:type="gramEnd"/>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proofErr w:type="gramStart"/>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proofErr w:type="gramEnd"/>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DengXian"/>
              </w:rPr>
            </w:pPr>
            <w:r>
              <w:rPr>
                <w:rFonts w:eastAsia="DengXian"/>
              </w:rPr>
              <w:t>OPPO</w:t>
            </w:r>
          </w:p>
        </w:tc>
        <w:tc>
          <w:tcPr>
            <w:tcW w:w="2009" w:type="dxa"/>
            <w:shd w:val="clear" w:color="auto" w:fill="auto"/>
          </w:tcPr>
          <w:p w14:paraId="405B77D6" w14:textId="77777777" w:rsidR="00F85E94" w:rsidRPr="0040498B" w:rsidRDefault="00F85E94" w:rsidP="000273DE">
            <w:pPr>
              <w:rPr>
                <w:rFonts w:eastAsia="DengXian"/>
              </w:rPr>
            </w:pPr>
            <w:r>
              <w:rPr>
                <w:rFonts w:eastAsia="DengXian"/>
              </w:rPr>
              <w:t>Yes</w:t>
            </w:r>
          </w:p>
        </w:tc>
        <w:tc>
          <w:tcPr>
            <w:tcW w:w="6210" w:type="dxa"/>
            <w:shd w:val="clear" w:color="auto" w:fill="auto"/>
          </w:tcPr>
          <w:p w14:paraId="10112204" w14:textId="77777777" w:rsidR="00F85E94" w:rsidRPr="0040498B" w:rsidRDefault="00F85E94" w:rsidP="000273DE">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6F3C4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 for idle mode &amp; UE should be released before Discontinuous coverage in connected mode to avoid cell search.</w:t>
            </w:r>
          </w:p>
        </w:tc>
      </w:tr>
      <w:tr w:rsidR="00997B66" w14:paraId="2A0A1FD0" w14:textId="77777777" w:rsidTr="006F3C4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6F3C46">
        <w:tc>
          <w:tcPr>
            <w:tcW w:w="1496" w:type="dxa"/>
            <w:shd w:val="clear" w:color="auto" w:fill="auto"/>
          </w:tcPr>
          <w:p w14:paraId="61733AEA" w14:textId="40325453" w:rsidR="00997B66" w:rsidRPr="0040498B" w:rsidRDefault="005B6752" w:rsidP="002B262A">
            <w:pPr>
              <w:rPr>
                <w:rFonts w:eastAsia="DengXian"/>
              </w:rPr>
            </w:pPr>
            <w:r>
              <w:rPr>
                <w:rFonts w:eastAsia="DengXian"/>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997B66" w14:paraId="457DBA96" w14:textId="77777777" w:rsidTr="006F3C46">
        <w:tc>
          <w:tcPr>
            <w:tcW w:w="1496" w:type="dxa"/>
            <w:shd w:val="clear" w:color="auto" w:fill="auto"/>
          </w:tcPr>
          <w:p w14:paraId="50DC6D5E" w14:textId="77777777" w:rsidR="00997B66" w:rsidRPr="0040498B" w:rsidRDefault="00997B66" w:rsidP="002B262A">
            <w:pPr>
              <w:rPr>
                <w:rFonts w:eastAsia="DengXian"/>
              </w:rPr>
            </w:pPr>
          </w:p>
        </w:tc>
        <w:tc>
          <w:tcPr>
            <w:tcW w:w="2009" w:type="dxa"/>
            <w:shd w:val="clear" w:color="auto" w:fill="auto"/>
          </w:tcPr>
          <w:p w14:paraId="335C9547" w14:textId="77777777" w:rsidR="00997B66" w:rsidRDefault="00997B66" w:rsidP="002B262A">
            <w:pPr>
              <w:rPr>
                <w:lang w:eastAsia="sv-SE"/>
              </w:rPr>
            </w:pPr>
          </w:p>
        </w:tc>
        <w:tc>
          <w:tcPr>
            <w:tcW w:w="6210" w:type="dxa"/>
            <w:shd w:val="clear" w:color="auto" w:fill="auto"/>
          </w:tcPr>
          <w:p w14:paraId="01D78E60" w14:textId="77777777" w:rsidR="00997B66" w:rsidRDefault="00997B66" w:rsidP="002B262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w:t>
            </w:r>
            <w:r w:rsidR="003531D1">
              <w:rPr>
                <w:lang w:eastAsia="sv-SE"/>
              </w:rPr>
              <w:lastRenderedPageBreak/>
              <w:t xml:space="preserve">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DengXian"/>
              </w:rPr>
              <w:lastRenderedPageBreak/>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 xml:space="preserve">PSM, Paging and UE reachability are Core Network functionalities, corresponding WGs should be aware of the issue to make any alignment needed in </w:t>
            </w:r>
            <w:proofErr w:type="gramStart"/>
            <w:r>
              <w:rPr>
                <w:lang w:eastAsia="sv-SE"/>
              </w:rPr>
              <w:t>the their</w:t>
            </w:r>
            <w:proofErr w:type="gramEnd"/>
            <w:r>
              <w:rPr>
                <w:lang w:eastAsia="sv-SE"/>
              </w:rPr>
              <w:t xml:space="preserve">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DengXian"/>
              </w:rPr>
            </w:pPr>
            <w:r>
              <w:rPr>
                <w:rFonts w:eastAsia="DengXian"/>
              </w:rPr>
              <w:t>OPPO</w:t>
            </w:r>
          </w:p>
        </w:tc>
        <w:tc>
          <w:tcPr>
            <w:tcW w:w="2009" w:type="dxa"/>
            <w:shd w:val="clear" w:color="auto" w:fill="auto"/>
          </w:tcPr>
          <w:p w14:paraId="280BFE77" w14:textId="5C280454" w:rsidR="00F85E94" w:rsidRPr="0040498B" w:rsidRDefault="00F85E94" w:rsidP="000273DE">
            <w:pPr>
              <w:rPr>
                <w:rFonts w:eastAsia="DengXian"/>
              </w:rPr>
            </w:pPr>
          </w:p>
        </w:tc>
        <w:tc>
          <w:tcPr>
            <w:tcW w:w="6210" w:type="dxa"/>
            <w:shd w:val="clear" w:color="auto" w:fill="auto"/>
          </w:tcPr>
          <w:p w14:paraId="6F2DEA6D" w14:textId="5CF876F5" w:rsidR="00F85E94" w:rsidRDefault="00F85E94" w:rsidP="000273DE">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0273DE">
            <w:pPr>
              <w:rPr>
                <w:rFonts w:eastAsia="DengXian"/>
              </w:rPr>
            </w:pPr>
          </w:p>
        </w:tc>
      </w:tr>
      <w:tr w:rsidR="00997B66" w14:paraId="79D8C3FB" w14:textId="77777777" w:rsidTr="006F3C4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6F3C4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997B66" w14:paraId="1B8F53B1" w14:textId="77777777" w:rsidTr="006F3C46">
        <w:tc>
          <w:tcPr>
            <w:tcW w:w="1496" w:type="dxa"/>
            <w:shd w:val="clear" w:color="auto" w:fill="auto"/>
          </w:tcPr>
          <w:p w14:paraId="20DCA6BF" w14:textId="77777777" w:rsidR="00997B66" w:rsidRPr="0040498B" w:rsidRDefault="00997B66" w:rsidP="002B262A">
            <w:pPr>
              <w:rPr>
                <w:rFonts w:eastAsia="DengXian"/>
              </w:rPr>
            </w:pPr>
          </w:p>
        </w:tc>
        <w:tc>
          <w:tcPr>
            <w:tcW w:w="2009" w:type="dxa"/>
            <w:shd w:val="clear" w:color="auto" w:fill="auto"/>
          </w:tcPr>
          <w:p w14:paraId="4BF59F4A" w14:textId="77777777" w:rsidR="00997B66" w:rsidRDefault="00997B66" w:rsidP="002B262A">
            <w:pPr>
              <w:rPr>
                <w:lang w:eastAsia="sv-SE"/>
              </w:rPr>
            </w:pPr>
          </w:p>
        </w:tc>
        <w:tc>
          <w:tcPr>
            <w:tcW w:w="6210" w:type="dxa"/>
            <w:shd w:val="clear" w:color="auto" w:fill="auto"/>
          </w:tcPr>
          <w:p w14:paraId="28ECB2AD" w14:textId="77777777" w:rsidR="00997B66" w:rsidRDefault="00997B66" w:rsidP="002B262A">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w:t>
      </w:r>
      <w:proofErr w:type="gramStart"/>
      <w:r>
        <w:rPr>
          <w:rFonts w:ascii="Arial" w:eastAsia="Arial" w:hAnsi="Arial" w:cs="Arial"/>
          <w:color w:val="000000"/>
        </w:rPr>
        <w:t>discussed</w:t>
      </w:r>
      <w:proofErr w:type="gramEnd"/>
      <w:r>
        <w:rPr>
          <w:rFonts w:ascii="Arial" w:eastAsia="Arial" w:hAnsi="Arial" w:cs="Arial"/>
          <w:color w:val="000000"/>
        </w:rPr>
        <w:t xml:space="preserve">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 xml:space="preserve">t may be too early to </w:t>
            </w:r>
            <w:proofErr w:type="gramStart"/>
            <w:r>
              <w:rPr>
                <w:rFonts w:eastAsia="DengXian"/>
                <w:lang w:eastAsia="zh-CN"/>
              </w:rPr>
              <w:t>say</w:t>
            </w:r>
            <w:proofErr w:type="gramEnd"/>
            <w:r>
              <w:rPr>
                <w:rFonts w:eastAsia="DengXian"/>
                <w:lang w:eastAsia="zh-CN"/>
              </w:rPr>
              <w:t xml:space="preserve">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w:t>
            </w:r>
            <w:proofErr w:type="spellStart"/>
            <w:r w:rsidR="00147577">
              <w:rPr>
                <w:rFonts w:eastAsia="DengXian"/>
                <w:lang w:eastAsia="zh-CN"/>
              </w:rPr>
              <w:t>eDRX</w:t>
            </w:r>
            <w:proofErr w:type="spellEnd"/>
            <w:r w:rsidR="00147577">
              <w:rPr>
                <w:rFonts w:eastAsia="DengXian"/>
                <w:lang w:eastAsia="zh-CN"/>
              </w:rPr>
              <w:t>/PSM/WUS and relaxed monitoring in discontinuous coverage. We think legacy 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e.g. DRX, PSM, </w:t>
            </w:r>
            <w:proofErr w:type="spellStart"/>
            <w:r w:rsidRPr="00F34C36">
              <w:rPr>
                <w:rFonts w:eastAsia="DengXian"/>
                <w:lang w:eastAsia="zh-CN"/>
              </w:rPr>
              <w:t>eDRX</w:t>
            </w:r>
            <w:proofErr w:type="spellEnd"/>
            <w:r w:rsidRPr="00F34C36">
              <w:rPr>
                <w:rFonts w:eastAsia="DengXian"/>
                <w:lang w:eastAsia="zh-CN"/>
              </w:rPr>
              <w:t>,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proofErr w:type="gramStart"/>
            <w:r w:rsidRPr="00FB5CF7">
              <w:t>Yes</w:t>
            </w:r>
            <w:proofErr w:type="gramEnd"/>
            <w:r w:rsidRPr="00FB5CF7">
              <w:t xml:space="preserve">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 xml:space="preserve">Need for enhancement, if </w:t>
            </w:r>
            <w:proofErr w:type="gramStart"/>
            <w:r>
              <w:rPr>
                <w:rFonts w:eastAsia="DengXian"/>
              </w:rPr>
              <w:t>any,  should</w:t>
            </w:r>
            <w:proofErr w:type="gramEnd"/>
            <w:r>
              <w:rPr>
                <w:rFonts w:eastAsia="DengXian"/>
              </w:rPr>
              <w:t xml:space="preserve">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DengXian"/>
              </w:rPr>
            </w:pPr>
            <w:r>
              <w:rPr>
                <w:rFonts w:eastAsia="DengXian"/>
              </w:rPr>
              <w:t>OPPO</w:t>
            </w:r>
          </w:p>
        </w:tc>
        <w:tc>
          <w:tcPr>
            <w:tcW w:w="2009" w:type="dxa"/>
            <w:shd w:val="clear" w:color="auto" w:fill="auto"/>
          </w:tcPr>
          <w:p w14:paraId="01BFEDA9" w14:textId="77777777" w:rsidR="00F85E94" w:rsidRPr="0040498B" w:rsidRDefault="00F85E94" w:rsidP="000273DE">
            <w:pPr>
              <w:rPr>
                <w:rFonts w:eastAsia="DengXian"/>
              </w:rPr>
            </w:pPr>
            <w:r>
              <w:rPr>
                <w:rFonts w:eastAsia="DengXian"/>
              </w:rPr>
              <w:t>Yes</w:t>
            </w:r>
          </w:p>
        </w:tc>
        <w:tc>
          <w:tcPr>
            <w:tcW w:w="6210" w:type="dxa"/>
            <w:shd w:val="clear" w:color="auto" w:fill="auto"/>
          </w:tcPr>
          <w:p w14:paraId="3B0D1A54" w14:textId="09ABA4C2" w:rsidR="00F85E94" w:rsidRPr="0040498B" w:rsidRDefault="00F85E94" w:rsidP="000273DE">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6F3C4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6F3C4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However this </w:t>
            </w:r>
            <w:proofErr w:type="spellStart"/>
            <w:r>
              <w:rPr>
                <w:lang w:eastAsia="sv-SE"/>
              </w:rPr>
              <w:t>eDRX</w:t>
            </w:r>
            <w:proofErr w:type="spellEnd"/>
            <w:r>
              <w:rPr>
                <w:lang w:eastAsia="sv-SE"/>
              </w:rPr>
              <w:t>/PSM configuration shall be used to match cycle with discontinuous coverage time.</w:t>
            </w:r>
          </w:p>
        </w:tc>
      </w:tr>
      <w:tr w:rsidR="00AF674C" w14:paraId="37BDA64B" w14:textId="77777777" w:rsidTr="006F3C4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6F3C4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AF674C" w14:paraId="352C855E" w14:textId="77777777" w:rsidTr="006F3C46">
        <w:tc>
          <w:tcPr>
            <w:tcW w:w="1496" w:type="dxa"/>
            <w:shd w:val="clear" w:color="auto" w:fill="auto"/>
          </w:tcPr>
          <w:p w14:paraId="0C1668B5" w14:textId="77777777" w:rsidR="00AF674C" w:rsidRPr="0040498B" w:rsidRDefault="00AF674C" w:rsidP="002B262A">
            <w:pPr>
              <w:rPr>
                <w:rFonts w:eastAsia="DengXian"/>
              </w:rPr>
            </w:pPr>
          </w:p>
        </w:tc>
        <w:tc>
          <w:tcPr>
            <w:tcW w:w="2009" w:type="dxa"/>
            <w:shd w:val="clear" w:color="auto" w:fill="auto"/>
          </w:tcPr>
          <w:p w14:paraId="52BB9443" w14:textId="77777777" w:rsidR="00AF674C" w:rsidRDefault="00AF674C" w:rsidP="002B262A">
            <w:pPr>
              <w:rPr>
                <w:lang w:eastAsia="sv-SE"/>
              </w:rPr>
            </w:pPr>
          </w:p>
        </w:tc>
        <w:tc>
          <w:tcPr>
            <w:tcW w:w="6210" w:type="dxa"/>
            <w:shd w:val="clear" w:color="auto" w:fill="auto"/>
          </w:tcPr>
          <w:p w14:paraId="0133A423" w14:textId="77777777" w:rsidR="00AF674C" w:rsidRDefault="00AF674C" w:rsidP="002B262A">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DengXian"/>
              </w:rPr>
            </w:pPr>
            <w:r>
              <w:rPr>
                <w:rFonts w:eastAsia="DengXian"/>
              </w:rPr>
              <w:t>OPPO</w:t>
            </w:r>
          </w:p>
        </w:tc>
        <w:tc>
          <w:tcPr>
            <w:tcW w:w="2009" w:type="dxa"/>
            <w:shd w:val="clear" w:color="auto" w:fill="auto"/>
          </w:tcPr>
          <w:p w14:paraId="3FB762BA" w14:textId="77777777" w:rsidR="00F85E94" w:rsidRPr="0040498B" w:rsidRDefault="00F85E94" w:rsidP="000273DE">
            <w:pPr>
              <w:rPr>
                <w:rFonts w:eastAsia="DengXian"/>
              </w:rPr>
            </w:pPr>
            <w:r>
              <w:rPr>
                <w:rFonts w:eastAsia="DengXian"/>
              </w:rPr>
              <w:t>Yes</w:t>
            </w:r>
          </w:p>
        </w:tc>
        <w:tc>
          <w:tcPr>
            <w:tcW w:w="6210" w:type="dxa"/>
            <w:shd w:val="clear" w:color="auto" w:fill="auto"/>
          </w:tcPr>
          <w:p w14:paraId="79535222" w14:textId="42F88566" w:rsidR="00F85E94" w:rsidRPr="0040498B" w:rsidRDefault="00F85E94" w:rsidP="000273DE">
            <w:pPr>
              <w:rPr>
                <w:rFonts w:eastAsia="DengXian"/>
              </w:rPr>
            </w:pPr>
            <w:r w:rsidRPr="00851650">
              <w:rPr>
                <w:rFonts w:eastAsia="DengXian"/>
              </w:rPr>
              <w:t xml:space="preserve">For IoT NTN UE, since the </w:t>
            </w:r>
            <w:proofErr w:type="gramStart"/>
            <w:r w:rsidRPr="00851650">
              <w:rPr>
                <w:rFonts w:eastAsia="DengXian"/>
              </w:rPr>
              <w:t>time period</w:t>
            </w:r>
            <w:proofErr w:type="gramEnd"/>
            <w:r w:rsidRPr="00851650">
              <w:rPr>
                <w:rFonts w:eastAsia="DengXian"/>
              </w:rPr>
              <w:t xml:space="preserve">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6F3C4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6F3C4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68BE23D4"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 if time is available and </w:t>
            </w:r>
            <w:proofErr w:type="spellStart"/>
            <w:r>
              <w:rPr>
                <w:lang w:eastAsia="sv-SE"/>
              </w:rPr>
              <w:t>premits</w:t>
            </w:r>
            <w:proofErr w:type="spellEnd"/>
            <w:r>
              <w:rPr>
                <w:lang w:eastAsia="sv-SE"/>
              </w:rPr>
              <w:t xml:space="preserve"> this.</w:t>
            </w:r>
          </w:p>
        </w:tc>
      </w:tr>
      <w:tr w:rsidR="002B262A" w14:paraId="1E7AB578" w14:textId="77777777" w:rsidTr="006F3C46">
        <w:tc>
          <w:tcPr>
            <w:tcW w:w="1496" w:type="dxa"/>
            <w:shd w:val="clear" w:color="auto" w:fill="auto"/>
          </w:tcPr>
          <w:p w14:paraId="7B15CA61" w14:textId="59DFD274" w:rsidR="002B262A" w:rsidRPr="0040498B" w:rsidRDefault="008E73F6" w:rsidP="002B262A">
            <w:pPr>
              <w:rPr>
                <w:rFonts w:eastAsia="DengXian"/>
              </w:rPr>
            </w:pPr>
            <w:r>
              <w:rPr>
                <w:rFonts w:eastAsia="DengXian"/>
              </w:rPr>
              <w:lastRenderedPageBreak/>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 xml:space="preserve">If any enhancements beyond legacy </w:t>
            </w:r>
            <w:proofErr w:type="spellStart"/>
            <w:r>
              <w:rPr>
                <w:lang w:eastAsia="sv-SE"/>
              </w:rPr>
              <w:t>mehanisms</w:t>
            </w:r>
            <w:proofErr w:type="spellEnd"/>
            <w:r>
              <w:rPr>
                <w:lang w:eastAsia="sv-SE"/>
              </w:rPr>
              <w:t xml:space="preserve"> are agreed for idle mode, they may also be applicable in connected mode and as such cannot be precluded at this point.</w:t>
            </w:r>
          </w:p>
        </w:tc>
      </w:tr>
      <w:tr w:rsidR="002B262A" w14:paraId="4602B998" w14:textId="77777777" w:rsidTr="006F3C46">
        <w:tc>
          <w:tcPr>
            <w:tcW w:w="1496" w:type="dxa"/>
            <w:shd w:val="clear" w:color="auto" w:fill="auto"/>
          </w:tcPr>
          <w:p w14:paraId="649086D9" w14:textId="77777777" w:rsidR="002B262A" w:rsidRPr="0040498B" w:rsidRDefault="002B262A" w:rsidP="002B262A">
            <w:pPr>
              <w:rPr>
                <w:rFonts w:eastAsia="DengXian"/>
              </w:rPr>
            </w:pPr>
          </w:p>
        </w:tc>
        <w:tc>
          <w:tcPr>
            <w:tcW w:w="2009" w:type="dxa"/>
            <w:shd w:val="clear" w:color="auto" w:fill="auto"/>
          </w:tcPr>
          <w:p w14:paraId="17920CE6" w14:textId="77777777" w:rsidR="002B262A" w:rsidRDefault="002B262A" w:rsidP="002B262A">
            <w:pPr>
              <w:rPr>
                <w:lang w:eastAsia="sv-SE"/>
              </w:rPr>
            </w:pPr>
          </w:p>
        </w:tc>
        <w:tc>
          <w:tcPr>
            <w:tcW w:w="6210" w:type="dxa"/>
            <w:shd w:val="clear" w:color="auto" w:fill="auto"/>
          </w:tcPr>
          <w:p w14:paraId="590593C4" w14:textId="77777777" w:rsidR="002B262A" w:rsidRDefault="002B262A" w:rsidP="002B262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 xml:space="preserve">Support of discontinuous coverage in IoT </w:t>
      </w:r>
      <w:proofErr w:type="gramStart"/>
      <w:r w:rsidR="00C020B7" w:rsidRPr="00D966A1">
        <w:rPr>
          <w:rFonts w:eastAsia="Times New Roman"/>
          <w:color w:val="000000"/>
          <w:sz w:val="22"/>
          <w:szCs w:val="22"/>
        </w:rPr>
        <w:t>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w:t>
      </w:r>
      <w:proofErr w:type="gramEnd"/>
      <w:r w:rsidR="00C020B7">
        <w:rPr>
          <w:rFonts w:eastAsia="Times New Roman"/>
          <w:color w:val="000000"/>
          <w:sz w:val="22"/>
          <w:szCs w:val="22"/>
        </w:rPr>
        <w:t xml:space="preserve">, </w:t>
      </w:r>
      <w:proofErr w:type="spellStart"/>
      <w:r w:rsidR="00C020B7">
        <w:rPr>
          <w:rFonts w:eastAsia="Times New Roman"/>
          <w:color w:val="000000"/>
          <w:sz w:val="22"/>
          <w:szCs w:val="22"/>
        </w:rPr>
        <w:t>Sanechips</w:t>
      </w:r>
      <w:proofErr w:type="spellEnd"/>
    </w:p>
    <w:p w14:paraId="699B4C9F"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CD04FF"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67EA" w14:textId="77777777" w:rsidR="00CD04FF" w:rsidRDefault="00CD04FF" w:rsidP="00617813">
      <w:pPr>
        <w:spacing w:after="0"/>
      </w:pPr>
      <w:r>
        <w:separator/>
      </w:r>
    </w:p>
  </w:endnote>
  <w:endnote w:type="continuationSeparator" w:id="0">
    <w:p w14:paraId="7C24A75A" w14:textId="77777777" w:rsidR="00CD04FF" w:rsidRDefault="00CD04FF"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1518" w14:textId="77777777" w:rsidR="00CD04FF" w:rsidRDefault="00CD04FF" w:rsidP="00617813">
      <w:pPr>
        <w:spacing w:after="0"/>
      </w:pPr>
      <w:r>
        <w:separator/>
      </w:r>
    </w:p>
  </w:footnote>
  <w:footnote w:type="continuationSeparator" w:id="0">
    <w:p w14:paraId="5D1B63F6" w14:textId="77777777" w:rsidR="00CD04FF" w:rsidRDefault="00CD04FF"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64727"/>
    <w:rsid w:val="00170333"/>
    <w:rsid w:val="001730D9"/>
    <w:rsid w:val="0017656E"/>
    <w:rsid w:val="00192DA2"/>
    <w:rsid w:val="001949B0"/>
    <w:rsid w:val="001976A8"/>
    <w:rsid w:val="001A058B"/>
    <w:rsid w:val="001A50B4"/>
    <w:rsid w:val="001A60A2"/>
    <w:rsid w:val="001A7B94"/>
    <w:rsid w:val="001B6C3E"/>
    <w:rsid w:val="001B7953"/>
    <w:rsid w:val="001C0964"/>
    <w:rsid w:val="001D757F"/>
    <w:rsid w:val="001E016B"/>
    <w:rsid w:val="001F2038"/>
    <w:rsid w:val="001F3177"/>
    <w:rsid w:val="001F753A"/>
    <w:rsid w:val="00213C07"/>
    <w:rsid w:val="00215DA0"/>
    <w:rsid w:val="00221661"/>
    <w:rsid w:val="00233624"/>
    <w:rsid w:val="0023637E"/>
    <w:rsid w:val="00245C18"/>
    <w:rsid w:val="002518DC"/>
    <w:rsid w:val="002605C2"/>
    <w:rsid w:val="00262757"/>
    <w:rsid w:val="00272010"/>
    <w:rsid w:val="0027209E"/>
    <w:rsid w:val="002744B3"/>
    <w:rsid w:val="0028222E"/>
    <w:rsid w:val="00292257"/>
    <w:rsid w:val="00292822"/>
    <w:rsid w:val="00293B72"/>
    <w:rsid w:val="00297A50"/>
    <w:rsid w:val="002B262A"/>
    <w:rsid w:val="002B786A"/>
    <w:rsid w:val="002D7DE8"/>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20748"/>
    <w:rsid w:val="00421560"/>
    <w:rsid w:val="004323C6"/>
    <w:rsid w:val="00434CE2"/>
    <w:rsid w:val="00440C99"/>
    <w:rsid w:val="00452AC8"/>
    <w:rsid w:val="00477052"/>
    <w:rsid w:val="00477C9D"/>
    <w:rsid w:val="00481913"/>
    <w:rsid w:val="0049607E"/>
    <w:rsid w:val="004A41B7"/>
    <w:rsid w:val="004B0F15"/>
    <w:rsid w:val="004B366F"/>
    <w:rsid w:val="004C0240"/>
    <w:rsid w:val="004D2EC3"/>
    <w:rsid w:val="004D7CE8"/>
    <w:rsid w:val="00502CD4"/>
    <w:rsid w:val="00506307"/>
    <w:rsid w:val="00506C90"/>
    <w:rsid w:val="00510E52"/>
    <w:rsid w:val="00512BC7"/>
    <w:rsid w:val="005206FE"/>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7813"/>
    <w:rsid w:val="00625223"/>
    <w:rsid w:val="00631B9C"/>
    <w:rsid w:val="00635017"/>
    <w:rsid w:val="00642208"/>
    <w:rsid w:val="006450F0"/>
    <w:rsid w:val="00646054"/>
    <w:rsid w:val="0064626D"/>
    <w:rsid w:val="00646579"/>
    <w:rsid w:val="00653770"/>
    <w:rsid w:val="00656343"/>
    <w:rsid w:val="00670173"/>
    <w:rsid w:val="00674A42"/>
    <w:rsid w:val="00677AB8"/>
    <w:rsid w:val="00682A62"/>
    <w:rsid w:val="0069328D"/>
    <w:rsid w:val="006A6305"/>
    <w:rsid w:val="006C2B2A"/>
    <w:rsid w:val="006E72F6"/>
    <w:rsid w:val="006E7532"/>
    <w:rsid w:val="006F0D4B"/>
    <w:rsid w:val="006F112D"/>
    <w:rsid w:val="007019E0"/>
    <w:rsid w:val="007147A6"/>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5B57"/>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5364A"/>
    <w:rsid w:val="00B749DF"/>
    <w:rsid w:val="00B8439D"/>
    <w:rsid w:val="00B875FA"/>
    <w:rsid w:val="00BA02CA"/>
    <w:rsid w:val="00BA21E1"/>
    <w:rsid w:val="00BA7D3E"/>
    <w:rsid w:val="00BB1EAA"/>
    <w:rsid w:val="00BB40BA"/>
    <w:rsid w:val="00BC373A"/>
    <w:rsid w:val="00BC6CE1"/>
    <w:rsid w:val="00BD2893"/>
    <w:rsid w:val="00BE7539"/>
    <w:rsid w:val="00BF150D"/>
    <w:rsid w:val="00BF28D4"/>
    <w:rsid w:val="00C01C44"/>
    <w:rsid w:val="00C020B7"/>
    <w:rsid w:val="00C11E4F"/>
    <w:rsid w:val="00C13CDD"/>
    <w:rsid w:val="00C26AB8"/>
    <w:rsid w:val="00C348D3"/>
    <w:rsid w:val="00C40063"/>
    <w:rsid w:val="00C46F6F"/>
    <w:rsid w:val="00C4720D"/>
    <w:rsid w:val="00C479C2"/>
    <w:rsid w:val="00C563CA"/>
    <w:rsid w:val="00C56C8A"/>
    <w:rsid w:val="00C5752F"/>
    <w:rsid w:val="00C80689"/>
    <w:rsid w:val="00C96DA7"/>
    <w:rsid w:val="00CA43A2"/>
    <w:rsid w:val="00CA50BA"/>
    <w:rsid w:val="00CA6CE6"/>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D0B7B"/>
    <w:rsid w:val="00EF0F77"/>
    <w:rsid w:val="00F01FC5"/>
    <w:rsid w:val="00F034BC"/>
    <w:rsid w:val="00F075EE"/>
    <w:rsid w:val="00F1051E"/>
    <w:rsid w:val="00F12193"/>
    <w:rsid w:val="00F212BD"/>
    <w:rsid w:val="00F251C6"/>
    <w:rsid w:val="00F34C36"/>
    <w:rsid w:val="00F43A98"/>
    <w:rsid w:val="00F6599B"/>
    <w:rsid w:val="00F7728D"/>
    <w:rsid w:val="00F8208B"/>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F7F52D-D524-4F56-A887-E4459C66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3187</Words>
  <Characters>18172</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Pavan Nuggehalli</cp:lastModifiedBy>
  <cp:revision>4</cp:revision>
  <dcterms:created xsi:type="dcterms:W3CDTF">2021-08-19T17:14:00Z</dcterms:created>
  <dcterms:modified xsi:type="dcterms:W3CDTF">2021-08-19T17:37:00Z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