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proofErr w:type="gramStart"/>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w:t>
      </w:r>
      <w:proofErr w:type="gramEnd"/>
      <w:r w:rsidR="002133D6" w:rsidRPr="002133D6">
        <w:rPr>
          <w:rFonts w:ascii="Arial" w:hAnsi="Arial" w:cs="Arial"/>
          <w:b/>
          <w:bCs/>
          <w:color w:val="auto"/>
          <w:lang w:eastAsia="zh-CN"/>
        </w:rPr>
        <w:t>NBIOT/eMTC R17] NB-IoT/eMTC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w:t>
      </w:r>
      <w:proofErr w:type="gramStart"/>
      <w:r w:rsidR="001333E7" w:rsidRPr="001333E7">
        <w:rPr>
          <w:i/>
          <w:lang w:eastAsia="zh-CN"/>
        </w:rPr>
        <w:t>302][</w:t>
      </w:r>
      <w:proofErr w:type="gramEnd"/>
      <w:r w:rsidR="001333E7" w:rsidRPr="001333E7">
        <w:rPr>
          <w:i/>
          <w:lang w:eastAsia="zh-CN"/>
        </w:rPr>
        <w:t>NBIOT/eMTC R17] NB-IoT/eMTC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w:t>
      </w:r>
      <w:proofErr w:type="gramStart"/>
      <w:r w:rsidRPr="001333E7">
        <w:rPr>
          <w:i/>
          <w:szCs w:val="20"/>
        </w:rPr>
        <w:t>302][</w:t>
      </w:r>
      <w:proofErr w:type="gramEnd"/>
      <w:r w:rsidRPr="001333E7">
        <w:rPr>
          <w:i/>
          <w:szCs w:val="20"/>
        </w:rPr>
        <w:t>NBIOT/eMTC R17] NB-IoT/eMTC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w:t>
      </w:r>
      <w:proofErr w:type="gramStart"/>
      <w:r w:rsidR="001333E7" w:rsidRPr="001333E7">
        <w:rPr>
          <w:i/>
          <w:szCs w:val="20"/>
        </w:rPr>
        <w:t>24</w:t>
      </w:r>
      <w:proofErr w:type="gramEnd"/>
      <w:r w:rsidR="001333E7" w:rsidRPr="001333E7">
        <w:rPr>
          <w:i/>
          <w:szCs w:val="20"/>
        </w:rPr>
        <w:t xml:space="preserve">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BodyText"/>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BodyText"/>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Huawei, HiSilicon</w:t>
            </w:r>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Odile Rollinger</w:t>
            </w:r>
          </w:p>
        </w:tc>
        <w:tc>
          <w:tcPr>
            <w:tcW w:w="5108" w:type="dxa"/>
          </w:tcPr>
          <w:p w14:paraId="7D323641" w14:textId="457F085B" w:rsidR="001333E7" w:rsidRPr="00857FD5" w:rsidRDefault="007C0A70" w:rsidP="002052A2">
            <w:pPr>
              <w:rPr>
                <w:sz w:val="22"/>
              </w:rPr>
            </w:pPr>
            <w:hyperlink r:id="rId12" w:history="1">
              <w:r w:rsidR="00AE2785" w:rsidRPr="00E417DC">
                <w:rPr>
                  <w:rStyle w:val="Hyperlink"/>
                  <w:sz w:val="22"/>
                </w:rPr>
                <w:t>odile.rollinger@huawei.com</w:t>
              </w:r>
            </w:hyperlink>
          </w:p>
        </w:tc>
      </w:tr>
      <w:tr w:rsidR="00AE2785" w:rsidRPr="00857FD5" w14:paraId="24BAD112" w14:textId="77777777" w:rsidTr="0044711B">
        <w:tc>
          <w:tcPr>
            <w:tcW w:w="1696" w:type="dxa"/>
            <w:tcMar>
              <w:top w:w="0" w:type="dxa"/>
              <w:left w:w="108" w:type="dxa"/>
              <w:bottom w:w="0" w:type="dxa"/>
              <w:right w:w="108" w:type="dxa"/>
            </w:tcMar>
            <w:vAlign w:val="center"/>
          </w:tcPr>
          <w:p w14:paraId="5131B6BF" w14:textId="0C67F08F" w:rsidR="00AE2785" w:rsidRDefault="00AE2785" w:rsidP="008769B1">
            <w:r>
              <w:t>Nokia</w:t>
            </w:r>
          </w:p>
        </w:tc>
        <w:tc>
          <w:tcPr>
            <w:tcW w:w="2835" w:type="dxa"/>
            <w:tcMar>
              <w:top w:w="0" w:type="dxa"/>
              <w:left w:w="108" w:type="dxa"/>
              <w:bottom w:w="0" w:type="dxa"/>
              <w:right w:w="108" w:type="dxa"/>
            </w:tcMar>
          </w:tcPr>
          <w:p w14:paraId="7B3C9E6A" w14:textId="26B62890" w:rsidR="00AE2785" w:rsidRDefault="00AE2785" w:rsidP="008769B1">
            <w:pPr>
              <w:rPr>
                <w:sz w:val="22"/>
              </w:rPr>
            </w:pPr>
            <w:r>
              <w:rPr>
                <w:sz w:val="22"/>
              </w:rPr>
              <w:t>Srinivasan</w:t>
            </w:r>
          </w:p>
        </w:tc>
        <w:tc>
          <w:tcPr>
            <w:tcW w:w="5108" w:type="dxa"/>
          </w:tcPr>
          <w:p w14:paraId="5F965153" w14:textId="3A33BBB0" w:rsidR="00AE2785" w:rsidRDefault="007C0A70" w:rsidP="002052A2">
            <w:pPr>
              <w:rPr>
                <w:sz w:val="22"/>
              </w:rPr>
            </w:pPr>
            <w:hyperlink r:id="rId13" w:history="1">
              <w:r w:rsidR="00142C6D" w:rsidRPr="003004AC">
                <w:rPr>
                  <w:rStyle w:val="Hyperlink"/>
                  <w:sz w:val="22"/>
                </w:rPr>
                <w:t>Srinivasan.selvaganapathy@nokia.com</w:t>
              </w:r>
            </w:hyperlink>
          </w:p>
        </w:tc>
      </w:tr>
      <w:tr w:rsidR="00142C6D" w:rsidRPr="00857FD5" w14:paraId="004D5B02" w14:textId="77777777" w:rsidTr="0044711B">
        <w:tc>
          <w:tcPr>
            <w:tcW w:w="1696" w:type="dxa"/>
            <w:tcMar>
              <w:top w:w="0" w:type="dxa"/>
              <w:left w:w="108" w:type="dxa"/>
              <w:bottom w:w="0" w:type="dxa"/>
              <w:right w:w="108" w:type="dxa"/>
            </w:tcMar>
            <w:vAlign w:val="center"/>
          </w:tcPr>
          <w:p w14:paraId="0C493580" w14:textId="64AFBE98" w:rsidR="00142C6D" w:rsidRDefault="00142C6D" w:rsidP="008769B1">
            <w:r>
              <w:t>Sequans</w:t>
            </w:r>
          </w:p>
        </w:tc>
        <w:tc>
          <w:tcPr>
            <w:tcW w:w="2835" w:type="dxa"/>
            <w:tcMar>
              <w:top w:w="0" w:type="dxa"/>
              <w:left w:w="108" w:type="dxa"/>
              <w:bottom w:w="0" w:type="dxa"/>
              <w:right w:w="108" w:type="dxa"/>
            </w:tcMar>
          </w:tcPr>
          <w:p w14:paraId="6F961C3B" w14:textId="09389ED0" w:rsidR="00142C6D" w:rsidRDefault="00142C6D" w:rsidP="008769B1">
            <w:pPr>
              <w:rPr>
                <w:sz w:val="22"/>
              </w:rPr>
            </w:pPr>
            <w:r>
              <w:rPr>
                <w:sz w:val="22"/>
              </w:rPr>
              <w:t>Noam Cayron</w:t>
            </w:r>
          </w:p>
        </w:tc>
        <w:tc>
          <w:tcPr>
            <w:tcW w:w="5108" w:type="dxa"/>
          </w:tcPr>
          <w:p w14:paraId="6CC5EE21" w14:textId="3BD98F48" w:rsidR="00142C6D" w:rsidRDefault="00142C6D" w:rsidP="002052A2">
            <w:pPr>
              <w:rPr>
                <w:sz w:val="22"/>
              </w:rPr>
            </w:pPr>
            <w:r>
              <w:rPr>
                <w:sz w:val="22"/>
              </w:rPr>
              <w:t>noam.cayron@sequans.com</w:t>
            </w:r>
          </w:p>
        </w:tc>
      </w:tr>
      <w:tr w:rsidR="007C0A70" w:rsidRPr="00857FD5" w14:paraId="7FE25117" w14:textId="77777777" w:rsidTr="0044711B">
        <w:tc>
          <w:tcPr>
            <w:tcW w:w="1696" w:type="dxa"/>
            <w:tcMar>
              <w:top w:w="0" w:type="dxa"/>
              <w:left w:w="108" w:type="dxa"/>
              <w:bottom w:w="0" w:type="dxa"/>
              <w:right w:w="108" w:type="dxa"/>
            </w:tcMar>
            <w:vAlign w:val="center"/>
          </w:tcPr>
          <w:p w14:paraId="080C63C2" w14:textId="47E3C828" w:rsidR="007C0A70" w:rsidRDefault="007C0A70" w:rsidP="008769B1">
            <w:r>
              <w:t>Ericsson</w:t>
            </w:r>
          </w:p>
        </w:tc>
        <w:tc>
          <w:tcPr>
            <w:tcW w:w="2835" w:type="dxa"/>
            <w:tcMar>
              <w:top w:w="0" w:type="dxa"/>
              <w:left w:w="108" w:type="dxa"/>
              <w:bottom w:w="0" w:type="dxa"/>
              <w:right w:w="108" w:type="dxa"/>
            </w:tcMar>
          </w:tcPr>
          <w:p w14:paraId="5E5BC09F" w14:textId="16ACC277" w:rsidR="007C0A70" w:rsidRDefault="007C0A70" w:rsidP="008769B1">
            <w:pPr>
              <w:rPr>
                <w:sz w:val="22"/>
              </w:rPr>
            </w:pPr>
            <w:r>
              <w:rPr>
                <w:sz w:val="22"/>
              </w:rPr>
              <w:t>Emre A. Yavuz</w:t>
            </w:r>
          </w:p>
        </w:tc>
        <w:tc>
          <w:tcPr>
            <w:tcW w:w="5108" w:type="dxa"/>
          </w:tcPr>
          <w:p w14:paraId="00F987FB" w14:textId="068AEA4A" w:rsidR="007C0A70" w:rsidRDefault="007C0A70" w:rsidP="002052A2">
            <w:pPr>
              <w:rPr>
                <w:sz w:val="22"/>
              </w:rPr>
            </w:pPr>
            <w:r>
              <w:rPr>
                <w:sz w:val="22"/>
              </w:rPr>
              <w:t>emre.yavuz@ericsson.com</w:t>
            </w:r>
          </w:p>
        </w:tc>
      </w:tr>
    </w:tbl>
    <w:p w14:paraId="7D323643" w14:textId="77777777" w:rsidR="00DD502F" w:rsidRPr="00CF70F0" w:rsidRDefault="001333E7" w:rsidP="00216383">
      <w:pPr>
        <w:pStyle w:val="Heading1"/>
        <w:snapToGrid w:val="0"/>
        <w:spacing w:before="120" w:after="120" w:line="288" w:lineRule="auto"/>
        <w:rPr>
          <w:lang w:val="en-US"/>
        </w:rPr>
      </w:pPr>
      <w:r>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lastRenderedPageBreak/>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lastRenderedPageBreak/>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D323667" w14:textId="77777777" w:rsidR="00D45A82" w:rsidRPr="008A55EE" w:rsidRDefault="008A55EE" w:rsidP="0038083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BodyText"/>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 xml:space="preserve">For 16-QAM in NB-IoT,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 xml:space="preserve">As discussed last meeting, we don’t need to refer to ASN.1 </w:t>
            </w:r>
            <w:proofErr w:type="gramStart"/>
            <w:r>
              <w:t>details</w:t>
            </w:r>
            <w:proofErr w:type="gramEnd"/>
            <w:r>
              <w:t xml:space="preserve">. </w:t>
            </w:r>
            <w:proofErr w:type="gramStart"/>
            <w:r>
              <w:t>Also</w:t>
            </w:r>
            <w:proofErr w:type="gramEnd"/>
            <w:r>
              <w:t xml:space="preserve">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7D323685"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lastRenderedPageBreak/>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7C0A70" w:rsidP="009A7017">
            <w:pPr>
              <w:pStyle w:val="BodyText"/>
              <w:snapToGrid w:val="0"/>
              <w:spacing w:before="60" w:after="60" w:line="288" w:lineRule="auto"/>
              <w:jc w:val="both"/>
              <w:rPr>
                <w:rFonts w:eastAsia="SimSun"/>
                <w:sz w:val="18"/>
                <w:szCs w:val="18"/>
                <w:lang w:val="en-US" w:eastAsia="zh-CN"/>
              </w:rPr>
            </w:pPr>
            <w:hyperlink r:id="rId14"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proofErr w:type="gramStart"/>
      <w:r w:rsidR="009A7017">
        <w:t>to revise</w:t>
      </w:r>
      <w:proofErr w:type="gramEnd"/>
      <w:r w:rsidR="009A7017">
        <w:t xml:space="preserv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 xml:space="preserve">During the discussion in rel-14, it was highlighted that higher data rate or TBS did not change the traffic model and in theory there was no need to increase the L2 buffer size. However, it was also felt that it would be beneficial to increase to some extent to </w:t>
            </w:r>
            <w:proofErr w:type="gramStart"/>
            <w:r>
              <w:rPr>
                <w:bCs/>
              </w:rPr>
              <w:t xml:space="preserve">allow  </w:t>
            </w:r>
            <w:r>
              <w:rPr>
                <w:bCs/>
              </w:rPr>
              <w:lastRenderedPageBreak/>
              <w:t>new</w:t>
            </w:r>
            <w:proofErr w:type="gramEnd"/>
            <w:r>
              <w:rPr>
                <w:bCs/>
              </w:rPr>
              <w:t xml:space="preserve">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lastRenderedPageBreak/>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BodyText"/>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BodyText"/>
              <w:spacing w:after="0"/>
              <w:jc w:val="both"/>
            </w:pPr>
            <w:r>
              <w:t xml:space="preserve">Use of TBS sizes of 16QAM seems to be right calculation. </w:t>
            </w:r>
            <w:proofErr w:type="gramStart"/>
            <w:r>
              <w:t>However</w:t>
            </w:r>
            <w:proofErr w:type="gramEnd"/>
            <w:r>
              <w:t xml:space="preserve"> both Alt2/Alt3 leads to approximately same number as minimum requirements. </w:t>
            </w:r>
            <w:proofErr w:type="gramStart"/>
            <w:r>
              <w:t>So</w:t>
            </w:r>
            <w:proofErr w:type="gramEnd"/>
            <w:r>
              <w:t xml:space="preserve">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1 preferrable</w:t>
            </w:r>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BodyText"/>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BodyText"/>
              <w:spacing w:after="0"/>
              <w:jc w:val="both"/>
            </w:pPr>
          </w:p>
        </w:tc>
      </w:tr>
    </w:tbl>
    <w:p w14:paraId="7D3236B8" w14:textId="604EC7F2"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w:t>
      </w:r>
      <w:proofErr w:type="gramStart"/>
      <w:r>
        <w:rPr>
          <w:lang w:eastAsia="zh-CN"/>
        </w:rPr>
        <w:t>So</w:t>
      </w:r>
      <w:proofErr w:type="gramEnd"/>
      <w:r>
        <w:rPr>
          <w:lang w:eastAsia="zh-CN"/>
        </w:rPr>
        <w:t xml:space="preserve">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7D3236D1"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lastRenderedPageBreak/>
        <w:t>Proposal:</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xml:space="preserve">. </w:t>
            </w:r>
            <w:proofErr w:type="gramStart"/>
            <w:r>
              <w:rPr>
                <w:lang w:eastAsia="zh-CN"/>
              </w:rPr>
              <w:t>So</w:t>
            </w:r>
            <w:proofErr w:type="gramEnd"/>
            <w:r>
              <w:rPr>
                <w:lang w:eastAsia="zh-CN"/>
              </w:rPr>
              <w:t xml:space="preserve">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CommentReference"/>
              </w:rPr>
              <w:t xml:space="preserve"> </w:t>
            </w:r>
          </w:p>
        </w:tc>
        <w:tc>
          <w:tcPr>
            <w:tcW w:w="6945" w:type="dxa"/>
            <w:shd w:val="clear" w:color="auto" w:fill="auto"/>
            <w:vAlign w:val="center"/>
          </w:tcPr>
          <w:p w14:paraId="033251D1" w14:textId="29BAF2FE" w:rsidR="00021D6E" w:rsidRDefault="00021D6E" w:rsidP="00700BF1">
            <w:pPr>
              <w:spacing w:after="0"/>
            </w:pPr>
          </w:p>
        </w:tc>
      </w:tr>
    </w:tbl>
    <w:p w14:paraId="7D3236E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w:t>
      </w:r>
      <w:proofErr w:type="gramStart"/>
      <w:r>
        <w:rPr>
          <w:lang w:eastAsia="zh-CN"/>
        </w:rPr>
        <w:t>So</w:t>
      </w:r>
      <w:proofErr w:type="gramEnd"/>
      <w:r>
        <w:rPr>
          <w:lang w:eastAsia="zh-CN"/>
        </w:rPr>
        <w:t xml:space="preserve"> company think </w:t>
      </w:r>
      <w:r w:rsidRPr="00112A44">
        <w:rPr>
          <w:lang w:eastAsia="zh-CN"/>
        </w:rPr>
        <w:t xml:space="preserve">RAN1 may need </w:t>
      </w:r>
      <w:r w:rsidRPr="00112A44">
        <w:rPr>
          <w:lang w:eastAsia="zh-CN"/>
        </w:rPr>
        <w:lastRenderedPageBreak/>
        <w:t>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BodyText"/>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BodyText"/>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BodyText"/>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4C4C5B" w:rsidRDefault="008769B1" w:rsidP="008769B1">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7D323714"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lastRenderedPageBreak/>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7D32372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7D32374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Default="007B5A9E" w:rsidP="007B5A9E">
      <w:pPr>
        <w:pStyle w:val="BodyText"/>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w:t>
      </w:r>
      <w:proofErr w:type="gramStart"/>
      <w:r w:rsidR="00E970DA">
        <w:rPr>
          <w:rFonts w:hint="eastAsia"/>
          <w:lang w:eastAsia="zh-CN"/>
        </w:rPr>
        <w:t>LS[</w:t>
      </w:r>
      <w:proofErr w:type="gramEnd"/>
      <w:r w:rsidR="00E970DA">
        <w:rPr>
          <w:rFonts w:hint="eastAsia"/>
          <w:lang w:eastAsia="zh-CN"/>
        </w:rPr>
        <w:t>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BodyText"/>
        <w:snapToGrid w:val="0"/>
        <w:spacing w:before="60" w:after="60" w:line="288" w:lineRule="auto"/>
        <w:jc w:val="both"/>
        <w:rPr>
          <w:b/>
          <w:sz w:val="22"/>
          <w:szCs w:val="22"/>
          <w:u w:val="single"/>
          <w:lang w:eastAsia="zh-CN"/>
        </w:rPr>
      </w:pPr>
    </w:p>
    <w:p w14:paraId="7D323752" w14:textId="77777777" w:rsidR="007B5A9E"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lastRenderedPageBreak/>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7D323766"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080143">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 xml:space="preserve">Total layer 2 buffer size can be adjusted for 14 HARQ processes if multiplied with a factor </w:t>
            </w:r>
            <w:proofErr w:type="gramStart"/>
            <w:r w:rsidRPr="00417DED">
              <w:rPr>
                <w:rFonts w:ascii="Times New Roman" w:hAnsi="Times New Roman"/>
                <w:sz w:val="18"/>
                <w:szCs w:val="18"/>
                <w:lang w:val="en-US"/>
              </w:rPr>
              <w:t>of .</w:t>
            </w:r>
            <w:proofErr w:type="gramEnd"/>
            <w:r w:rsidRPr="00417DED">
              <w:rPr>
                <w:rFonts w:ascii="Times New Roman" w:hAnsi="Times New Roman"/>
                <w:sz w:val="18"/>
                <w:szCs w:val="18"/>
                <w:lang w:val="en-US"/>
              </w:rPr>
              <w:t>~1.3: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lastRenderedPageBreak/>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7D3237A0"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BodyText"/>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bl>
    <w:p w14:paraId="7D3237B7"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lastRenderedPageBreak/>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 xml:space="preserve">Agree that it can be more complicated to support with respect to </w:t>
            </w:r>
            <w:proofErr w:type="gramStart"/>
            <w:r>
              <w:t>PUR</w:t>
            </w:r>
            <w:proofErr w:type="gramEnd"/>
            <w:r>
              <w:t xml:space="preserve"> but it is possible.</w:t>
            </w:r>
          </w:p>
        </w:tc>
      </w:tr>
    </w:tbl>
    <w:p w14:paraId="7D3237C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Heading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 xml:space="preserve">Huawei, </w:t>
      </w:r>
      <w:proofErr w:type="spellStart"/>
      <w:r w:rsidRPr="001333E7">
        <w:rPr>
          <w:rFonts w:ascii="Times New Roman" w:hAnsi="Times New Roman"/>
        </w:rPr>
        <w:t>HiSilicon</w:t>
      </w:r>
      <w:proofErr w:type="spellEnd"/>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DED74" w14:textId="77777777" w:rsidR="007C0A70" w:rsidRDefault="007C0A70">
      <w:pPr>
        <w:spacing w:after="0"/>
      </w:pPr>
      <w:r>
        <w:separator/>
      </w:r>
    </w:p>
  </w:endnote>
  <w:endnote w:type="continuationSeparator" w:id="0">
    <w:p w14:paraId="72381836" w14:textId="77777777" w:rsidR="007C0A70" w:rsidRDefault="007C0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B7C72" w14:textId="77777777" w:rsidR="007C0A70" w:rsidRDefault="007C0A70">
      <w:pPr>
        <w:spacing w:after="0"/>
      </w:pPr>
      <w:r>
        <w:separator/>
      </w:r>
    </w:p>
  </w:footnote>
  <w:footnote w:type="continuationSeparator" w:id="0">
    <w:p w14:paraId="04A191B0" w14:textId="77777777" w:rsidR="007C0A70" w:rsidRDefault="007C0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7C0A70" w:rsidRDefault="007C0A70"/>
  <w:p w14:paraId="7D3237DF" w14:textId="77777777" w:rsidR="007C0A70" w:rsidRDefault="007C0A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styleId="UnresolvedMention">
    <w:name w:val="Unresolved Mention"/>
    <w:basedOn w:val="DefaultParagraphFont"/>
    <w:uiPriority w:val="99"/>
    <w:semiHidden/>
    <w:unhideWhenUsed/>
    <w:rsid w:val="00AE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9BF657D6-56BD-429A-9CB5-91354138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4224</Words>
  <Characters>21188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Emre A. Yavuz</cp:lastModifiedBy>
  <cp:revision>21</cp:revision>
  <cp:lastPrinted>2017-03-22T08:13:00Z</cp:lastPrinted>
  <dcterms:created xsi:type="dcterms:W3CDTF">2021-05-21T15:41:00Z</dcterms:created>
  <dcterms:modified xsi:type="dcterms:W3CDTF">2021-05-24T12:03:00Z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1621586518</vt:lpwstr>
  </property>
  <property fmtid="{D5CDD505-2E9C-101B-9397-08002B2CF9AE}" pid="7" name="ContentTypeId">
    <vt:lpwstr>0x010100F3E9551B3FDDA24EBF0A209BAAD637CA</vt:lpwstr>
  </property>
</Properties>
</file>