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eDRX are not clear to us, remembering UE should request eDRX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BodyText"/>
              <w:rPr>
                <w:rFonts w:eastAsia="SimSun"/>
                <w:lang w:val="en-US"/>
              </w:rPr>
            </w:pPr>
            <w:r>
              <w:rPr>
                <w:rFonts w:eastAsia="SimSun"/>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then a wearable UE has to choose either 1.28sec (the current behavior with NO power-saving) or the next avalible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r w:rsidR="00BB5FE5">
              <w:rPr>
                <w:rFonts w:eastAsia="SimSun"/>
                <w:lang w:val="en-US"/>
              </w:rPr>
              <w:t xml:space="preserve">eDRX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BodyText"/>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55EF12D5" w14:textId="77777777" w:rsidR="00892E52" w:rsidRPr="00364C37" w:rsidRDefault="00892E52" w:rsidP="003F5EFC">
            <w:pPr>
              <w:pStyle w:val="BodyText"/>
              <w:rPr>
                <w:rFonts w:eastAsia="SimSun"/>
              </w:rPr>
            </w:pP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r>
              <w:rPr>
                <w:rFonts w:eastAsia="Malgun Gothic"/>
                <w:bCs/>
                <w:lang w:val="en-US" w:eastAsia="ko-KR"/>
              </w:rPr>
              <w:t>Xiaomi</w:t>
            </w:r>
          </w:p>
        </w:tc>
        <w:tc>
          <w:tcPr>
            <w:tcW w:w="1560" w:type="dxa"/>
          </w:tcPr>
          <w:p w14:paraId="1CCD9FB1" w14:textId="66AFF8AD" w:rsidR="004F2F9A" w:rsidRPr="00F85A5B" w:rsidRDefault="008713B7" w:rsidP="004F2F9A">
            <w:pPr>
              <w:pStyle w:val="BodyText"/>
              <w:rPr>
                <w:rFonts w:eastAsia="SimSun"/>
                <w:lang w:val="en-US"/>
              </w:rPr>
            </w:pPr>
            <w:r w:rsidRPr="00F85A5B">
              <w:rPr>
                <w:rFonts w:eastAsia="SimSun"/>
                <w:lang w:val="en-US"/>
              </w:rPr>
              <w:t>5.12 s</w:t>
            </w:r>
          </w:p>
        </w:tc>
        <w:tc>
          <w:tcPr>
            <w:tcW w:w="6378" w:type="dxa"/>
          </w:tcPr>
          <w:p w14:paraId="17741787" w14:textId="644A5820" w:rsidR="004F2F9A" w:rsidRPr="00F85A5B" w:rsidRDefault="008713B7" w:rsidP="004F2F9A">
            <w:pPr>
              <w:pStyle w:val="BodyText"/>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We are OK to define this value to have more flexibility on the lower end values for eDRX.</w:t>
            </w:r>
          </w:p>
        </w:tc>
      </w:tr>
      <w:tr w:rsidR="0078379E" w:rsidRPr="00F85A5B" w14:paraId="3EB4FA5C" w14:textId="77777777" w:rsidTr="004C1E21">
        <w:tc>
          <w:tcPr>
            <w:tcW w:w="1696" w:type="dxa"/>
          </w:tcPr>
          <w:p w14:paraId="7853105D" w14:textId="7945F72F" w:rsidR="0078379E" w:rsidRPr="00F85A5B" w:rsidRDefault="0078379E" w:rsidP="0078379E">
            <w:pPr>
              <w:pStyle w:val="BodyText"/>
              <w:rPr>
                <w:rFonts w:eastAsia="Malgun Gothic"/>
                <w:bCs/>
                <w:lang w:val="en-US" w:eastAsia="ko-KR"/>
              </w:rPr>
            </w:pPr>
          </w:p>
        </w:tc>
        <w:tc>
          <w:tcPr>
            <w:tcW w:w="1560" w:type="dxa"/>
          </w:tcPr>
          <w:p w14:paraId="25A7C370" w14:textId="431E378D" w:rsidR="0078379E" w:rsidRPr="00F85A5B" w:rsidRDefault="0078379E" w:rsidP="0078379E">
            <w:pPr>
              <w:pStyle w:val="BodyText"/>
              <w:rPr>
                <w:rFonts w:eastAsia="SimSun"/>
                <w:lang w:val="en-US"/>
              </w:rPr>
            </w:pPr>
          </w:p>
        </w:tc>
        <w:tc>
          <w:tcPr>
            <w:tcW w:w="6378" w:type="dxa"/>
          </w:tcPr>
          <w:p w14:paraId="300158B6" w14:textId="3DCB80EF" w:rsidR="0078379E" w:rsidRPr="00F85A5B" w:rsidRDefault="0078379E" w:rsidP="0078379E">
            <w:pPr>
              <w:pStyle w:val="BodyText"/>
              <w:rPr>
                <w:rFonts w:eastAsia="SimSun"/>
                <w:lang w:val="en-US"/>
              </w:rPr>
            </w:pPr>
          </w:p>
        </w:tc>
      </w:tr>
      <w:tr w:rsidR="00A01923" w:rsidRPr="00F85A5B" w14:paraId="763F5489" w14:textId="77777777" w:rsidTr="004C1E21">
        <w:tc>
          <w:tcPr>
            <w:tcW w:w="1696" w:type="dxa"/>
          </w:tcPr>
          <w:p w14:paraId="07C121EB" w14:textId="107CC3E0" w:rsidR="00A01923" w:rsidRPr="00F85A5B" w:rsidRDefault="00A01923" w:rsidP="00A01923">
            <w:pPr>
              <w:pStyle w:val="BodyText"/>
              <w:rPr>
                <w:rFonts w:eastAsiaTheme="minorEastAsia"/>
                <w:bCs/>
                <w:lang w:val="en-US" w:eastAsia="ja-JP"/>
              </w:rPr>
            </w:pPr>
          </w:p>
        </w:tc>
        <w:tc>
          <w:tcPr>
            <w:tcW w:w="1560" w:type="dxa"/>
          </w:tcPr>
          <w:p w14:paraId="173EEF31" w14:textId="77777777" w:rsidR="00A01923" w:rsidRPr="00F85A5B" w:rsidRDefault="00A01923" w:rsidP="00A01923">
            <w:pPr>
              <w:pStyle w:val="BodyText"/>
              <w:rPr>
                <w:rFonts w:eastAsiaTheme="minorEastAsia"/>
                <w:lang w:val="en-US" w:eastAsia="ja-JP"/>
              </w:rPr>
            </w:pPr>
          </w:p>
        </w:tc>
        <w:tc>
          <w:tcPr>
            <w:tcW w:w="6378" w:type="dxa"/>
          </w:tcPr>
          <w:p w14:paraId="646AF4D4" w14:textId="0C28B38C" w:rsidR="00A01923" w:rsidRPr="00F85A5B" w:rsidRDefault="00A01923" w:rsidP="00A01923">
            <w:pPr>
              <w:pStyle w:val="BodyText"/>
              <w:rPr>
                <w:rFonts w:eastAsiaTheme="minorEastAsia"/>
                <w:lang w:val="en-US" w:eastAsia="ja-JP"/>
              </w:rPr>
            </w:pPr>
          </w:p>
        </w:tc>
      </w:tr>
      <w:tr w:rsidR="00EF3818" w:rsidRPr="00F85A5B" w14:paraId="07628E46" w14:textId="77777777" w:rsidTr="004C1E21">
        <w:tc>
          <w:tcPr>
            <w:tcW w:w="1696" w:type="dxa"/>
          </w:tcPr>
          <w:p w14:paraId="7F5383B1" w14:textId="13FEBD9F" w:rsidR="00EF3818" w:rsidRPr="00F85A5B" w:rsidRDefault="00EF3818" w:rsidP="00833843">
            <w:pPr>
              <w:pStyle w:val="BodyText"/>
              <w:rPr>
                <w:rFonts w:eastAsia="DengXian"/>
                <w:bCs/>
                <w:lang w:val="en-US"/>
              </w:rPr>
            </w:pPr>
          </w:p>
        </w:tc>
        <w:tc>
          <w:tcPr>
            <w:tcW w:w="1560" w:type="dxa"/>
          </w:tcPr>
          <w:p w14:paraId="41F00B85" w14:textId="6425AA2F" w:rsidR="00EF3818" w:rsidRPr="00F85A5B" w:rsidRDefault="00EF3818" w:rsidP="00833843">
            <w:pPr>
              <w:pStyle w:val="BodyText"/>
              <w:rPr>
                <w:rFonts w:eastAsia="DengXian"/>
                <w:bCs/>
                <w:lang w:val="en-US"/>
              </w:rPr>
            </w:pPr>
          </w:p>
        </w:tc>
        <w:tc>
          <w:tcPr>
            <w:tcW w:w="6378" w:type="dxa"/>
          </w:tcPr>
          <w:p w14:paraId="30F6CEA6" w14:textId="1D731CD4" w:rsidR="00EF3818" w:rsidRPr="00F85A5B" w:rsidRDefault="00EF3818" w:rsidP="00833843">
            <w:pPr>
              <w:pStyle w:val="BodyText"/>
              <w:rPr>
                <w:rFonts w:eastAsia="DengXian"/>
                <w:bCs/>
                <w:lang w:val="en-US"/>
              </w:rPr>
            </w:pPr>
          </w:p>
        </w:tc>
      </w:tr>
      <w:tr w:rsidR="00F15C86" w:rsidRPr="00F85A5B" w14:paraId="55D89B00" w14:textId="77777777" w:rsidTr="004C1E21">
        <w:tc>
          <w:tcPr>
            <w:tcW w:w="1696" w:type="dxa"/>
          </w:tcPr>
          <w:p w14:paraId="09F7B926" w14:textId="1EBE3B9C" w:rsidR="00F15C86" w:rsidRPr="00F85A5B" w:rsidRDefault="00F15C86" w:rsidP="00833843">
            <w:pPr>
              <w:pStyle w:val="BodyText"/>
              <w:rPr>
                <w:rFonts w:eastAsia="DengXian"/>
                <w:bCs/>
                <w:lang w:val="en-US"/>
              </w:rPr>
            </w:pPr>
          </w:p>
        </w:tc>
        <w:tc>
          <w:tcPr>
            <w:tcW w:w="1560" w:type="dxa"/>
          </w:tcPr>
          <w:p w14:paraId="7F86A85D" w14:textId="29EDB179" w:rsidR="00F15C86" w:rsidRPr="00F85A5B" w:rsidRDefault="00F15C86" w:rsidP="00833843">
            <w:pPr>
              <w:pStyle w:val="BodyText"/>
              <w:rPr>
                <w:rFonts w:eastAsia="DengXian"/>
                <w:bCs/>
                <w:lang w:val="en-US"/>
              </w:rPr>
            </w:pPr>
          </w:p>
        </w:tc>
        <w:tc>
          <w:tcPr>
            <w:tcW w:w="6378" w:type="dxa"/>
          </w:tcPr>
          <w:p w14:paraId="6BF5F583" w14:textId="2EBD297F" w:rsidR="00F15C86" w:rsidRPr="00F85A5B" w:rsidRDefault="00F15C86" w:rsidP="00F15C86">
            <w:pPr>
              <w:pStyle w:val="BodyText"/>
              <w:rPr>
                <w:rFonts w:eastAsia="DengXian"/>
                <w:bCs/>
                <w:lang w:val="en-US"/>
              </w:rPr>
            </w:pPr>
          </w:p>
        </w:tc>
      </w:tr>
      <w:tr w:rsidR="00AF3E66" w:rsidRPr="00F85A5B" w14:paraId="4FC5C441" w14:textId="77777777" w:rsidTr="004C1E21">
        <w:tc>
          <w:tcPr>
            <w:tcW w:w="1696" w:type="dxa"/>
          </w:tcPr>
          <w:p w14:paraId="6F82DD20" w14:textId="70C58449" w:rsidR="00AF3E66" w:rsidRPr="00F85A5B" w:rsidRDefault="00AF3E66" w:rsidP="00AF3E66">
            <w:pPr>
              <w:pStyle w:val="BodyText"/>
              <w:rPr>
                <w:rFonts w:eastAsia="DengXian"/>
                <w:bCs/>
                <w:lang w:val="en-US"/>
              </w:rPr>
            </w:pPr>
          </w:p>
        </w:tc>
        <w:tc>
          <w:tcPr>
            <w:tcW w:w="1560" w:type="dxa"/>
          </w:tcPr>
          <w:p w14:paraId="0A6A0924" w14:textId="77777777" w:rsidR="00AF3E66" w:rsidRPr="00F85A5B" w:rsidRDefault="00AF3E66" w:rsidP="00AF3E66">
            <w:pPr>
              <w:pStyle w:val="BodyText"/>
              <w:rPr>
                <w:rFonts w:eastAsia="DengXian"/>
                <w:bCs/>
                <w:lang w:val="en-US"/>
              </w:rPr>
            </w:pPr>
          </w:p>
        </w:tc>
        <w:tc>
          <w:tcPr>
            <w:tcW w:w="6378" w:type="dxa"/>
          </w:tcPr>
          <w:p w14:paraId="20ED6EF0" w14:textId="0301A28C" w:rsidR="00AF3E66" w:rsidRPr="00F85A5B" w:rsidRDefault="00AF3E66" w:rsidP="00AF3E66">
            <w:pPr>
              <w:pStyle w:val="BodyText"/>
              <w:rPr>
                <w:rFonts w:eastAsia="SimSun"/>
                <w:lang w:val="en-US"/>
              </w:rPr>
            </w:pPr>
          </w:p>
        </w:tc>
      </w:tr>
      <w:tr w:rsidR="00764301" w:rsidRPr="00F85A5B" w14:paraId="2D69A8C2" w14:textId="77777777" w:rsidTr="004C1E21">
        <w:tc>
          <w:tcPr>
            <w:tcW w:w="1696" w:type="dxa"/>
          </w:tcPr>
          <w:p w14:paraId="4B24C95B" w14:textId="59E3D761" w:rsidR="00764301" w:rsidRPr="00F85A5B" w:rsidRDefault="00764301" w:rsidP="00764301">
            <w:pPr>
              <w:pStyle w:val="BodyText"/>
              <w:rPr>
                <w:rFonts w:eastAsia="DengXian"/>
                <w:bCs/>
                <w:lang w:val="en-US"/>
              </w:rPr>
            </w:pPr>
          </w:p>
        </w:tc>
        <w:tc>
          <w:tcPr>
            <w:tcW w:w="1560" w:type="dxa"/>
          </w:tcPr>
          <w:p w14:paraId="5D4D8053" w14:textId="6470E3E6" w:rsidR="00764301" w:rsidRPr="00F85A5B" w:rsidRDefault="00764301" w:rsidP="00764301">
            <w:pPr>
              <w:pStyle w:val="BodyText"/>
              <w:rPr>
                <w:rFonts w:eastAsia="DengXian"/>
                <w:bCs/>
                <w:lang w:val="en-US"/>
              </w:rPr>
            </w:pPr>
          </w:p>
        </w:tc>
        <w:tc>
          <w:tcPr>
            <w:tcW w:w="6378" w:type="dxa"/>
          </w:tcPr>
          <w:p w14:paraId="0140C8F2" w14:textId="77777777" w:rsidR="00764301" w:rsidRPr="00F85A5B" w:rsidRDefault="00764301" w:rsidP="00764301">
            <w:pPr>
              <w:pStyle w:val="BodyText"/>
              <w:rPr>
                <w:rFonts w:eastAsia="SimSun"/>
                <w:lang w:val="en-US"/>
              </w:rPr>
            </w:pPr>
          </w:p>
        </w:tc>
      </w:tr>
      <w:tr w:rsidR="006237DC" w:rsidRPr="00F85A5B" w14:paraId="594C8130" w14:textId="77777777" w:rsidTr="004C1E21">
        <w:tc>
          <w:tcPr>
            <w:tcW w:w="1696" w:type="dxa"/>
          </w:tcPr>
          <w:p w14:paraId="40877F93" w14:textId="37FD2F4F" w:rsidR="006237DC" w:rsidRPr="00F85A5B" w:rsidRDefault="006237DC" w:rsidP="006237DC">
            <w:pPr>
              <w:pStyle w:val="BodyText"/>
              <w:rPr>
                <w:rFonts w:eastAsia="Malgun Gothic"/>
                <w:bCs/>
                <w:lang w:val="en-US" w:eastAsia="ko-KR"/>
              </w:rPr>
            </w:pPr>
          </w:p>
        </w:tc>
        <w:tc>
          <w:tcPr>
            <w:tcW w:w="1560" w:type="dxa"/>
          </w:tcPr>
          <w:p w14:paraId="2935F987" w14:textId="14CA8280" w:rsidR="006237DC" w:rsidRPr="00F85A5B" w:rsidRDefault="006237DC" w:rsidP="006237DC">
            <w:pPr>
              <w:pStyle w:val="BodyText"/>
              <w:rPr>
                <w:rFonts w:eastAsia="SimSun"/>
                <w:lang w:val="en-US"/>
              </w:rPr>
            </w:pPr>
          </w:p>
        </w:tc>
        <w:tc>
          <w:tcPr>
            <w:tcW w:w="6378" w:type="dxa"/>
          </w:tcPr>
          <w:p w14:paraId="16B282B1" w14:textId="77777777" w:rsidR="006237DC" w:rsidRPr="00F85A5B" w:rsidRDefault="006237DC" w:rsidP="006237DC">
            <w:pPr>
              <w:pStyle w:val="BodyText"/>
              <w:rPr>
                <w:rFonts w:eastAsia="SimSun"/>
                <w:lang w:val="en-US"/>
              </w:rPr>
            </w:pPr>
          </w:p>
        </w:tc>
      </w:tr>
    </w:tbl>
    <w:p w14:paraId="34DD46EB" w14:textId="2654ABD9" w:rsidR="00F04884" w:rsidRPr="00F85A5B" w:rsidRDefault="00E11B81" w:rsidP="00F04884">
      <w:pPr>
        <w:pStyle w:val="Heading1"/>
        <w:rPr>
          <w:rFonts w:eastAsia="SimSun"/>
          <w:lang w:val="en-US"/>
        </w:rPr>
      </w:pPr>
      <w:r w:rsidRPr="00F85A5B">
        <w:rPr>
          <w:rFonts w:eastAsia="SimSun"/>
          <w:lang w:val="en-US"/>
        </w:rPr>
        <w:lastRenderedPageBreak/>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8E713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5pt;mso-width-percent:0;mso-height-percent:0;mso-width-percent:0;mso-height-percent:0" o:ole="">
            <v:imagedata r:id="rId11" o:title=""/>
          </v:shape>
          <o:OLEObject Type="Embed" ProgID="Visio.Drawing.15" ShapeID="_x0000_i1025" DrawAspect="Content" ObjectID="_1683363659"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lastRenderedPageBreak/>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lastRenderedPageBreak/>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0A74737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eDRX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in proportion to eDRX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eDRX cycle for RRC Idle but much shorter eDRX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eDRX, </w:t>
            </w:r>
            <w:r w:rsidR="004C2CA8" w:rsidRPr="004C2CA8">
              <w:rPr>
                <w:rFonts w:eastAsia="SimSun"/>
                <w:lang w:val="en-US"/>
              </w:rPr>
              <w:t xml:space="preserve">regardless </w:t>
            </w:r>
            <w:r w:rsidR="004C2CA8">
              <w:rPr>
                <w:rFonts w:eastAsia="SimSun"/>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BodyText"/>
              <w:rPr>
                <w:rFonts w:eastAsia="SimSun"/>
                <w:lang w:val="en-US"/>
              </w:rPr>
            </w:pPr>
            <w:r>
              <w:rPr>
                <w:rFonts w:eastAsia="SimSun"/>
                <w:lang w:val="en-US"/>
              </w:rPr>
              <w:t xml:space="preserve">Following the same PTW length with CN eDRX has another benefit of saving </w:t>
            </w:r>
            <w:r w:rsidR="00F90CC0">
              <w:rPr>
                <w:rFonts w:eastAsia="SimSun"/>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BodyText"/>
              <w:rPr>
                <w:rFonts w:eastAsia="DengXian"/>
                <w:bCs/>
              </w:rPr>
            </w:pPr>
            <w:r>
              <w:rPr>
                <w:rFonts w:eastAsia="DengXian"/>
                <w:bCs/>
                <w:lang w:val="en-US"/>
              </w:rPr>
              <w:lastRenderedPageBreak/>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lastRenderedPageBreak/>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BB1229" w:rsidRPr="00F85A5B" w14:paraId="7FB1FFD8" w14:textId="77777777" w:rsidTr="00115DE5">
        <w:tc>
          <w:tcPr>
            <w:tcW w:w="1696" w:type="dxa"/>
          </w:tcPr>
          <w:p w14:paraId="5FBBE9AB" w14:textId="5F30100D" w:rsidR="00BB1229" w:rsidRPr="00F85A5B" w:rsidRDefault="00BB1229" w:rsidP="00BB1229">
            <w:pPr>
              <w:pStyle w:val="BodyText"/>
              <w:rPr>
                <w:rFonts w:eastAsia="Malgun Gothic"/>
                <w:bCs/>
                <w:lang w:val="en-US" w:eastAsia="ko-KR"/>
              </w:rPr>
            </w:pPr>
          </w:p>
        </w:tc>
        <w:tc>
          <w:tcPr>
            <w:tcW w:w="2127" w:type="dxa"/>
          </w:tcPr>
          <w:p w14:paraId="47001C56" w14:textId="6323603E" w:rsidR="00BB1229" w:rsidRPr="00F85A5B" w:rsidRDefault="00BB1229" w:rsidP="00BB1229">
            <w:pPr>
              <w:pStyle w:val="BodyText"/>
              <w:rPr>
                <w:rFonts w:eastAsia="SimSun"/>
                <w:lang w:val="en-US"/>
              </w:rPr>
            </w:pPr>
          </w:p>
        </w:tc>
        <w:tc>
          <w:tcPr>
            <w:tcW w:w="5811" w:type="dxa"/>
          </w:tcPr>
          <w:p w14:paraId="6A4BF990" w14:textId="5B86F2F4" w:rsidR="00BB1229" w:rsidRPr="00F85A5B" w:rsidRDefault="00BB1229" w:rsidP="00BB1229">
            <w:pPr>
              <w:pStyle w:val="BodyText"/>
              <w:rPr>
                <w:rFonts w:eastAsia="SimSun"/>
                <w:lang w:val="en-US"/>
              </w:rPr>
            </w:pPr>
          </w:p>
        </w:tc>
      </w:tr>
      <w:tr w:rsidR="00BB1229" w:rsidRPr="00F85A5B" w14:paraId="7116CA14" w14:textId="77777777" w:rsidTr="00115DE5">
        <w:tc>
          <w:tcPr>
            <w:tcW w:w="1696" w:type="dxa"/>
          </w:tcPr>
          <w:p w14:paraId="1F501642" w14:textId="2CADD90D" w:rsidR="00BB1229" w:rsidRPr="00F85A5B" w:rsidRDefault="00BB1229" w:rsidP="00BB1229">
            <w:pPr>
              <w:pStyle w:val="BodyText"/>
              <w:rPr>
                <w:rFonts w:eastAsia="Malgun Gothic"/>
                <w:bCs/>
                <w:lang w:val="en-US" w:eastAsia="ko-KR"/>
              </w:rPr>
            </w:pPr>
          </w:p>
        </w:tc>
        <w:tc>
          <w:tcPr>
            <w:tcW w:w="2127" w:type="dxa"/>
          </w:tcPr>
          <w:p w14:paraId="5E729FA4" w14:textId="4B0C29D6" w:rsidR="00BB1229" w:rsidRPr="00F85A5B" w:rsidRDefault="00BB1229" w:rsidP="00BB1229">
            <w:pPr>
              <w:pStyle w:val="BodyText"/>
              <w:rPr>
                <w:rFonts w:eastAsia="SimSun"/>
                <w:lang w:val="en-US"/>
              </w:rPr>
            </w:pPr>
          </w:p>
        </w:tc>
        <w:tc>
          <w:tcPr>
            <w:tcW w:w="5811" w:type="dxa"/>
          </w:tcPr>
          <w:p w14:paraId="6E634339" w14:textId="51E4A148" w:rsidR="00BB1229" w:rsidRPr="00F85A5B" w:rsidRDefault="00BB1229" w:rsidP="00BB1229">
            <w:pPr>
              <w:pStyle w:val="BodyText"/>
              <w:rPr>
                <w:rFonts w:eastAsia="SimSun"/>
                <w:lang w:val="en-US"/>
              </w:rPr>
            </w:pPr>
          </w:p>
        </w:tc>
      </w:tr>
      <w:tr w:rsidR="00BB1229" w:rsidRPr="00F85A5B" w14:paraId="319AE669" w14:textId="77777777" w:rsidTr="00115DE5">
        <w:tc>
          <w:tcPr>
            <w:tcW w:w="1696" w:type="dxa"/>
          </w:tcPr>
          <w:p w14:paraId="052E0417" w14:textId="5C051D6C" w:rsidR="00BB1229" w:rsidRPr="00F85A5B" w:rsidRDefault="00BB1229" w:rsidP="00BB1229">
            <w:pPr>
              <w:pStyle w:val="BodyText"/>
              <w:rPr>
                <w:rFonts w:eastAsiaTheme="minorEastAsia"/>
                <w:bCs/>
                <w:lang w:val="en-US" w:eastAsia="ja-JP"/>
              </w:rPr>
            </w:pPr>
          </w:p>
        </w:tc>
        <w:tc>
          <w:tcPr>
            <w:tcW w:w="2127" w:type="dxa"/>
          </w:tcPr>
          <w:p w14:paraId="515F9842" w14:textId="728B1081" w:rsidR="00BB1229" w:rsidRPr="00F85A5B" w:rsidRDefault="00BB1229" w:rsidP="00BB1229">
            <w:pPr>
              <w:pStyle w:val="BodyText"/>
              <w:rPr>
                <w:rFonts w:eastAsiaTheme="minorEastAsia"/>
                <w:lang w:val="en-US" w:eastAsia="ja-JP"/>
              </w:rPr>
            </w:pPr>
          </w:p>
        </w:tc>
        <w:tc>
          <w:tcPr>
            <w:tcW w:w="5811" w:type="dxa"/>
          </w:tcPr>
          <w:p w14:paraId="5B60F4C4" w14:textId="246C8730" w:rsidR="00BB1229" w:rsidRPr="00F85A5B" w:rsidRDefault="00BB1229" w:rsidP="00BB1229">
            <w:pPr>
              <w:pStyle w:val="BodyText"/>
              <w:rPr>
                <w:rFonts w:eastAsiaTheme="minorEastAsia"/>
                <w:lang w:val="en-US" w:eastAsia="ja-JP"/>
              </w:rPr>
            </w:pP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BodyText"/>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lastRenderedPageBreak/>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eDRX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eDRX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r w:rsidRPr="00722587">
              <w:t>PTW_start</w:t>
            </w:r>
            <w:r>
              <w:t xml:space="preserve"> is not power efficient for the UE.</w:t>
            </w:r>
          </w:p>
          <w:p w14:paraId="698C7533" w14:textId="086250F6" w:rsidR="00A3274D" w:rsidRDefault="00A3274D" w:rsidP="00A3274D">
            <w:pPr>
              <w:pStyle w:val="BodyText"/>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BodyText"/>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BB1229" w:rsidRPr="00F85A5B" w14:paraId="3608F146" w14:textId="77777777" w:rsidTr="00115DE5">
        <w:tc>
          <w:tcPr>
            <w:tcW w:w="1696" w:type="dxa"/>
          </w:tcPr>
          <w:p w14:paraId="1C0D0C58" w14:textId="759CB2FC" w:rsidR="00BB1229" w:rsidRPr="00F85A5B" w:rsidRDefault="00BB1229" w:rsidP="00BB1229">
            <w:pPr>
              <w:pStyle w:val="BodyText"/>
              <w:rPr>
                <w:rFonts w:eastAsia="Malgun Gothic"/>
                <w:bCs/>
                <w:lang w:val="en-US" w:eastAsia="ko-KR"/>
              </w:rPr>
            </w:pPr>
          </w:p>
        </w:tc>
        <w:tc>
          <w:tcPr>
            <w:tcW w:w="2127" w:type="dxa"/>
          </w:tcPr>
          <w:p w14:paraId="3B9F3F85" w14:textId="718E27E0" w:rsidR="00BB1229" w:rsidRPr="00F85A5B" w:rsidRDefault="00BB1229" w:rsidP="00BB1229">
            <w:pPr>
              <w:pStyle w:val="BodyText"/>
              <w:rPr>
                <w:rFonts w:eastAsia="SimSun"/>
                <w:lang w:val="en-US"/>
              </w:rPr>
            </w:pPr>
          </w:p>
        </w:tc>
        <w:tc>
          <w:tcPr>
            <w:tcW w:w="5811" w:type="dxa"/>
          </w:tcPr>
          <w:p w14:paraId="6754A9F4" w14:textId="77777777" w:rsidR="00BB1229" w:rsidRPr="00F85A5B" w:rsidRDefault="00BB1229" w:rsidP="00BB1229">
            <w:pPr>
              <w:pStyle w:val="BodyText"/>
              <w:rPr>
                <w:rFonts w:eastAsia="SimSun"/>
                <w:lang w:val="en-US"/>
              </w:rPr>
            </w:pP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eDRX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lastRenderedPageBreak/>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for RAN eDRX and CN eDRX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BB1229" w:rsidRPr="00F85A5B" w14:paraId="7506E077" w14:textId="77777777" w:rsidTr="00A3274D">
        <w:tc>
          <w:tcPr>
            <w:tcW w:w="1696" w:type="dxa"/>
          </w:tcPr>
          <w:p w14:paraId="45D20F35" w14:textId="77777777" w:rsidR="00BB1229" w:rsidRPr="00F85A5B" w:rsidRDefault="00BB1229" w:rsidP="00BB1229">
            <w:pPr>
              <w:pStyle w:val="BodyText"/>
              <w:rPr>
                <w:rFonts w:eastAsia="Malgun Gothic"/>
                <w:bCs/>
                <w:lang w:val="en-US" w:eastAsia="ko-KR"/>
              </w:rPr>
            </w:pPr>
          </w:p>
        </w:tc>
        <w:tc>
          <w:tcPr>
            <w:tcW w:w="2127" w:type="dxa"/>
          </w:tcPr>
          <w:p w14:paraId="269E41B1" w14:textId="77777777" w:rsidR="00BB1229" w:rsidRPr="00F85A5B" w:rsidRDefault="00BB1229" w:rsidP="00BB1229">
            <w:pPr>
              <w:pStyle w:val="BodyText"/>
              <w:rPr>
                <w:rFonts w:eastAsia="SimSun"/>
                <w:lang w:val="en-US"/>
              </w:rPr>
            </w:pPr>
          </w:p>
        </w:tc>
        <w:tc>
          <w:tcPr>
            <w:tcW w:w="5811" w:type="dxa"/>
          </w:tcPr>
          <w:p w14:paraId="204AEA2F" w14:textId="77777777" w:rsidR="00BB1229" w:rsidRPr="00F85A5B" w:rsidRDefault="00BB1229" w:rsidP="00BB1229">
            <w:pPr>
              <w:pStyle w:val="BodyText"/>
              <w:rPr>
                <w:rFonts w:eastAsia="SimSun"/>
                <w:lang w:val="en-US"/>
              </w:rPr>
            </w:pP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Discussion on eDRX  for RedCap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Discussion on eDRX  for RedCap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Leftover issues for eDRX,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RedCap UE power-saving with 2.56 DRX cycle, Apple Inc, FaceBook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On eDRX for RedCap, ZTE Corporation, Sanechips,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PTW configuration and minimum cycle length for eDRX, Ericsson, RAN2#114e, e, May 2021</w:t>
      </w:r>
      <w:bookmarkEnd w:id="9"/>
    </w:p>
    <w:bookmarkStart w:id="10" w:name="_Ref8"/>
    <w:p w14:paraId="3870BC3A" w14:textId="033F3EF4" w:rsidR="00062C65" w:rsidRPr="00F85A5B" w:rsidRDefault="00062C65" w:rsidP="00062C65">
      <w:pPr>
        <w:pStyle w:val="Reference"/>
      </w:pPr>
      <w:r w:rsidRPr="00F85A5B">
        <w:lastRenderedPageBreak/>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Discussion on eDRX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Open issues on eDRX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eDRX for RedCap UE, Huawei, HiSilicon,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Remaining issues for eDRX,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Consideration on eDRX for RedCap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eDRX for REDCAP, Nokia, Nokia Shanghai Bell, RAN2#114e, e, May 2021</w:t>
      </w:r>
      <w:bookmarkEnd w:id="15"/>
    </w:p>
    <w:p w14:paraId="713E7610" w14:textId="0A4BF2F5" w:rsidR="00062C65" w:rsidRPr="00F85A5B" w:rsidRDefault="00E33CE8" w:rsidP="00062C65">
      <w:pPr>
        <w:pStyle w:val="Reference"/>
      </w:pPr>
      <w:hyperlink r:id="rId14">
        <w:r w:rsidR="00062C65" w:rsidRPr="00F85A5B">
          <w:rPr>
            <w:rStyle w:val="Hyperlink"/>
            <w:color w:val="0563C1" w:themeColor="hyperlink"/>
          </w:rPr>
          <w:t>R2-2105881</w:t>
        </w:r>
      </w:hyperlink>
      <w:r w:rsidR="00062C65" w:rsidRPr="00F85A5B">
        <w:t>, Support for eDRXs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Leftover issues for eDRX,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5"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A7B73BC"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15719D63" w:rsidR="00F2616E" w:rsidRPr="00F85A5B" w:rsidRDefault="00F2616E" w:rsidP="00115DE5">
            <w:pPr>
              <w:jc w:val="center"/>
              <w:rPr>
                <w:rStyle w:val="Hyperlink"/>
                <w:color w:val="000000" w:themeColor="text1"/>
              </w:rPr>
            </w:pPr>
          </w:p>
        </w:tc>
      </w:tr>
      <w:tr w:rsidR="00BF601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63355DA" w:rsidR="00BF601A" w:rsidRPr="00F85A5B" w:rsidRDefault="00BF601A" w:rsidP="00BF601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01A1D7B" w:rsidR="00BF601A" w:rsidRPr="00F85A5B" w:rsidRDefault="00BF601A" w:rsidP="00BF601A">
            <w:pPr>
              <w:jc w:val="center"/>
              <w:rPr>
                <w:rStyle w:val="Hyperlink"/>
              </w:rPr>
            </w:pPr>
          </w:p>
        </w:tc>
      </w:tr>
      <w:tr w:rsidR="00BF601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39F30AFB" w:rsidR="00BF601A" w:rsidRPr="00F85A5B" w:rsidRDefault="00BF601A"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2AF9CFE" w:rsidR="00BF601A" w:rsidRPr="00F85A5B" w:rsidRDefault="00BF601A" w:rsidP="00BF601A">
            <w:pPr>
              <w:jc w:val="center"/>
              <w:rPr>
                <w:rStyle w:val="Hyperlink"/>
                <w:rFonts w:eastAsiaTheme="minorEastAsia"/>
                <w:u w:val="none"/>
                <w:lang w:eastAsia="ja-JP"/>
              </w:rPr>
            </w:pPr>
          </w:p>
        </w:tc>
      </w:tr>
      <w:tr w:rsidR="00240366"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21AB0BDE" w:rsidR="00240366" w:rsidRPr="00F85A5B" w:rsidRDefault="00240366"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66268E81" w:rsidR="00240366" w:rsidRPr="00F85A5B" w:rsidRDefault="00240366" w:rsidP="00BF601A">
            <w:pPr>
              <w:jc w:val="center"/>
              <w:rPr>
                <w:rStyle w:val="Hyperlink"/>
                <w:rFonts w:eastAsiaTheme="minorEastAsia"/>
                <w:color w:val="auto"/>
                <w:u w:val="none"/>
                <w:lang w:eastAsia="ja-JP"/>
              </w:rPr>
            </w:pPr>
          </w:p>
        </w:tc>
      </w:tr>
      <w:tr w:rsidR="00AF3E66"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2F210AE0" w:rsidR="00AF3E66" w:rsidRPr="00F85A5B" w:rsidRDefault="00AF3E66" w:rsidP="00AF3E66">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6D5693D6" w:rsidR="00AF3E66" w:rsidRPr="00F85A5B" w:rsidRDefault="00AF3E66" w:rsidP="00AF3E66">
            <w:pPr>
              <w:jc w:val="center"/>
              <w:rPr>
                <w:rStyle w:val="Hyperlink"/>
                <w:rFonts w:eastAsiaTheme="minorEastAsia"/>
                <w:color w:val="auto"/>
                <w:u w:val="none"/>
                <w:lang w:eastAsia="ja-JP"/>
              </w:rPr>
            </w:pPr>
          </w:p>
        </w:tc>
      </w:tr>
      <w:tr w:rsidR="00D74A96"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D74A96" w:rsidRPr="00F85A5B" w:rsidRDefault="00D74A96" w:rsidP="00AF3E66">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D74A96" w:rsidRPr="00F85A5B" w:rsidRDefault="00D74A96" w:rsidP="00AF3E66">
            <w:pPr>
              <w:jc w:val="center"/>
              <w:rPr>
                <w:rStyle w:val="Hyperlink"/>
                <w:color w:val="000000" w:themeColor="text1"/>
                <w:u w:val="none"/>
              </w:rPr>
            </w:pPr>
          </w:p>
        </w:tc>
      </w:tr>
      <w:tr w:rsidR="00702043"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702043" w:rsidRPr="00F85A5B" w:rsidRDefault="00702043" w:rsidP="00702043">
            <w:pPr>
              <w:jc w:val="center"/>
              <w:rPr>
                <w:rStyle w:val="Hyperlink"/>
                <w:color w:val="000000" w:themeColor="text1"/>
                <w:u w:val="none"/>
              </w:rPr>
            </w:pPr>
          </w:p>
        </w:tc>
      </w:tr>
      <w:tr w:rsidR="00702043"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702043" w:rsidRPr="00F85A5B" w:rsidRDefault="00702043" w:rsidP="00702043">
            <w:pPr>
              <w:jc w:val="center"/>
              <w:rPr>
                <w:rStyle w:val="Hyperlink"/>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3434F" w14:textId="77777777" w:rsidR="007E450C" w:rsidRDefault="007E450C" w:rsidP="00796430">
      <w:r>
        <w:separator/>
      </w:r>
    </w:p>
  </w:endnote>
  <w:endnote w:type="continuationSeparator" w:id="0">
    <w:p w14:paraId="5F0E047B" w14:textId="77777777" w:rsidR="007E450C" w:rsidRDefault="007E450C" w:rsidP="00796430">
      <w:r>
        <w:continuationSeparator/>
      </w:r>
    </w:p>
  </w:endnote>
  <w:endnote w:type="continuationNotice" w:id="1">
    <w:p w14:paraId="164D76DD" w14:textId="77777777" w:rsidR="007E450C" w:rsidRDefault="007E45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769BD106" w:rsidR="00A3274D" w:rsidRDefault="00A3274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11C1">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11C1">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70D97" w14:textId="77777777" w:rsidR="007E450C" w:rsidRDefault="007E450C" w:rsidP="00796430">
      <w:r>
        <w:separator/>
      </w:r>
    </w:p>
  </w:footnote>
  <w:footnote w:type="continuationSeparator" w:id="0">
    <w:p w14:paraId="453AE20C" w14:textId="77777777" w:rsidR="007E450C" w:rsidRDefault="007E450C" w:rsidP="00796430">
      <w:r>
        <w:continuationSeparator/>
      </w:r>
    </w:p>
  </w:footnote>
  <w:footnote w:type="continuationNotice" w:id="1">
    <w:p w14:paraId="0D2EC111" w14:textId="77777777" w:rsidR="007E450C" w:rsidRDefault="007E45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A3274D" w:rsidRDefault="00A3274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EAAA4-0A59-4FA8-889D-B0F8D3F07F20}">
  <ds:schemaRefs>
    <ds:schemaRef ds:uri="http://schemas.openxmlformats.org/officeDocument/2006/bibliography"/>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3003</Words>
  <Characters>15905</Characters>
  <Application>Microsoft Office Word</Application>
  <DocSecurity>0</DocSecurity>
  <Lines>132</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18871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Nokia (Samuli)</cp:lastModifiedBy>
  <cp:revision>2</cp:revision>
  <cp:lastPrinted>2016-09-19T16:11:00Z</cp:lastPrinted>
  <dcterms:created xsi:type="dcterms:W3CDTF">2021-05-24T09:10:00Z</dcterms:created>
  <dcterms:modified xsi:type="dcterms:W3CDTF">2021-05-24T09:10:00Z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